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F708B3" w14:textId="201C1433" w:rsidR="0026647D" w:rsidRDefault="00F57171" w:rsidP="00F57171">
      <w:pPr>
        <w:pStyle w:val="Pagedecouverture"/>
        <w:rPr>
          <w:noProof/>
          <w:lang w:val="en-GB"/>
        </w:rPr>
      </w:pPr>
      <w:bookmarkStart w:id="0" w:name="LW_BM_COVERPAGE"/>
      <w:r>
        <w:rPr>
          <w:noProof/>
          <w:lang w:val="en-GB"/>
        </w:rPr>
        <w:pict w14:anchorId="7A6C66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7F293793-33BF-4922-A849-C720FDF8A3E9" style="width:455.25pt;height:360.75pt">
            <v:imagedata r:id="rId8" o:title=""/>
          </v:shape>
        </w:pict>
      </w:r>
    </w:p>
    <w:bookmarkEnd w:id="0"/>
    <w:p w14:paraId="7A82EC77" w14:textId="1A43F3F5" w:rsidR="00F9762F" w:rsidRPr="0036474B" w:rsidRDefault="00F9762F" w:rsidP="00516D3E">
      <w:pPr>
        <w:rPr>
          <w:noProof/>
          <w:lang w:val="en-GB"/>
        </w:rPr>
        <w:sectPr w:rsidR="00F9762F" w:rsidRPr="0036474B" w:rsidSect="00F57171">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A5D6BE4" w14:textId="1CDC6309" w:rsidR="00A2779A" w:rsidRPr="00064CC0" w:rsidRDefault="00654AC4" w:rsidP="00A2779A">
      <w:pPr>
        <w:rPr>
          <w:rFonts w:ascii="Times New Roman" w:hAnsi="Times New Roman" w:cs="Times New Roman"/>
          <w:b/>
          <w:bCs/>
          <w:noProof/>
          <w:sz w:val="24"/>
          <w:szCs w:val="24"/>
          <w:lang w:val="en-GB"/>
        </w:rPr>
      </w:pPr>
      <w:bookmarkStart w:id="1" w:name="_GoBack"/>
      <w:bookmarkEnd w:id="1"/>
      <w:r w:rsidRPr="00064CC0">
        <w:rPr>
          <w:rFonts w:ascii="Times New Roman" w:hAnsi="Times New Roman" w:cs="Times New Roman"/>
          <w:b/>
          <w:bCs/>
          <w:noProof/>
          <w:sz w:val="24"/>
          <w:szCs w:val="24"/>
          <w:lang w:val="en-GB"/>
        </w:rPr>
        <w:lastRenderedPageBreak/>
        <w:t>TABLE OF CONTENTS</w:t>
      </w:r>
    </w:p>
    <w:sdt>
      <w:sdtPr>
        <w:rPr>
          <w:rFonts w:ascii="Times New Roman" w:eastAsiaTheme="minorEastAsia" w:hAnsi="Times New Roman" w:cs="Times New Roman"/>
          <w:noProof/>
          <w:color w:val="auto"/>
          <w:sz w:val="24"/>
          <w:szCs w:val="24"/>
          <w:lang w:val="en-IE"/>
        </w:rPr>
        <w:id w:val="143013173"/>
        <w:docPartObj>
          <w:docPartGallery w:val="Table of Contents"/>
          <w:docPartUnique/>
        </w:docPartObj>
      </w:sdtPr>
      <w:sdtEndPr>
        <w:rPr>
          <w:b/>
          <w:bCs/>
          <w:lang w:val="en-US"/>
        </w:rPr>
      </w:sdtEndPr>
      <w:sdtContent>
        <w:p w14:paraId="3944B193" w14:textId="4CA74B39" w:rsidR="00147DA4" w:rsidRPr="0036474B" w:rsidRDefault="00147DA4">
          <w:pPr>
            <w:pStyle w:val="TOCHeading"/>
            <w:rPr>
              <w:rFonts w:ascii="Times New Roman" w:hAnsi="Times New Roman" w:cs="Times New Roman"/>
              <w:noProof/>
              <w:sz w:val="24"/>
              <w:szCs w:val="24"/>
            </w:rPr>
          </w:pPr>
        </w:p>
        <w:p w14:paraId="15B1F255" w14:textId="54124424" w:rsidR="000C4D8F" w:rsidRPr="00DB5AC1" w:rsidRDefault="00147DA4">
          <w:pPr>
            <w:pStyle w:val="TOC1"/>
            <w:tabs>
              <w:tab w:val="left" w:pos="440"/>
              <w:tab w:val="right" w:leader="dot" w:pos="9016"/>
            </w:tabs>
            <w:rPr>
              <w:rFonts w:ascii="Times New Roman" w:eastAsiaTheme="minorEastAsia" w:hAnsi="Times New Roman" w:cs="Times New Roman"/>
              <w:noProof/>
              <w:kern w:val="2"/>
              <w:sz w:val="24"/>
              <w:szCs w:val="24"/>
              <w:lang w:eastAsia="en-IE"/>
              <w14:ligatures w14:val="standardContextual"/>
            </w:rPr>
          </w:pPr>
          <w:r w:rsidRPr="00DB5AC1">
            <w:rPr>
              <w:rFonts w:ascii="Times New Roman" w:hAnsi="Times New Roman" w:cs="Times New Roman"/>
              <w:noProof/>
              <w:sz w:val="24"/>
              <w:szCs w:val="24"/>
            </w:rPr>
            <w:fldChar w:fldCharType="begin"/>
          </w:r>
          <w:r w:rsidRPr="00DB5AC1">
            <w:rPr>
              <w:rFonts w:ascii="Times New Roman" w:hAnsi="Times New Roman" w:cs="Times New Roman"/>
              <w:noProof/>
              <w:sz w:val="24"/>
              <w:szCs w:val="24"/>
            </w:rPr>
            <w:instrText>TOC \o "1-3" \z \u \h</w:instrText>
          </w:r>
          <w:r w:rsidRPr="00DB5AC1">
            <w:rPr>
              <w:rFonts w:ascii="Times New Roman" w:hAnsi="Times New Roman" w:cs="Times New Roman"/>
              <w:noProof/>
              <w:sz w:val="24"/>
              <w:szCs w:val="24"/>
            </w:rPr>
            <w:fldChar w:fldCharType="separate"/>
          </w:r>
          <w:hyperlink w:anchor="_Toc234341720" w:history="1">
            <w:r w:rsidR="000C4D8F" w:rsidRPr="00DB5AC1">
              <w:rPr>
                <w:rStyle w:val="Hyperlink"/>
                <w:rFonts w:ascii="Times New Roman" w:hAnsi="Times New Roman" w:cs="Times New Roman"/>
                <w:b/>
                <w:bCs/>
                <w:noProof/>
                <w:lang w:val="en-GB"/>
              </w:rPr>
              <w:t>1.</w:t>
            </w:r>
            <w:r w:rsidR="000C4D8F" w:rsidRPr="00DB5AC1">
              <w:rPr>
                <w:rFonts w:ascii="Times New Roman" w:eastAsiaTheme="minorEastAsia" w:hAnsi="Times New Roman" w:cs="Times New Roman"/>
                <w:noProof/>
                <w:kern w:val="2"/>
                <w:sz w:val="24"/>
                <w:szCs w:val="24"/>
                <w:lang w:eastAsia="en-IE"/>
                <w14:ligatures w14:val="standardContextual"/>
              </w:rPr>
              <w:tab/>
            </w:r>
            <w:r w:rsidR="000C4D8F" w:rsidRPr="00DB5AC1">
              <w:rPr>
                <w:rStyle w:val="Hyperlink"/>
                <w:rFonts w:ascii="Times New Roman" w:hAnsi="Times New Roman" w:cs="Times New Roman"/>
                <w:b/>
                <w:bCs/>
                <w:noProof/>
                <w:lang w:val="en-GB"/>
              </w:rPr>
              <w:t>INTRODUCTION</w:t>
            </w:r>
            <w:r w:rsidR="000C4D8F" w:rsidRPr="00DB5AC1">
              <w:rPr>
                <w:rFonts w:ascii="Times New Roman" w:hAnsi="Times New Roman" w:cs="Times New Roman"/>
                <w:noProof/>
                <w:webHidden/>
              </w:rPr>
              <w:tab/>
            </w:r>
            <w:r w:rsidR="000C4D8F" w:rsidRPr="00DB5AC1">
              <w:rPr>
                <w:rFonts w:ascii="Times New Roman" w:hAnsi="Times New Roman" w:cs="Times New Roman"/>
                <w:noProof/>
                <w:webHidden/>
              </w:rPr>
              <w:fldChar w:fldCharType="begin"/>
            </w:r>
            <w:r w:rsidR="000C4D8F" w:rsidRPr="00DB5AC1">
              <w:rPr>
                <w:rFonts w:ascii="Times New Roman" w:hAnsi="Times New Roman" w:cs="Times New Roman"/>
                <w:noProof/>
                <w:webHidden/>
              </w:rPr>
              <w:instrText xml:space="preserve"> PAGEREF _Toc234341720 \h </w:instrText>
            </w:r>
            <w:r w:rsidR="000C4D8F" w:rsidRPr="00DB5AC1">
              <w:rPr>
                <w:rFonts w:ascii="Times New Roman" w:hAnsi="Times New Roman" w:cs="Times New Roman"/>
                <w:noProof/>
                <w:webHidden/>
              </w:rPr>
            </w:r>
            <w:r w:rsidR="000C4D8F" w:rsidRPr="00DB5AC1">
              <w:rPr>
                <w:rFonts w:ascii="Times New Roman" w:hAnsi="Times New Roman" w:cs="Times New Roman"/>
                <w:noProof/>
                <w:webHidden/>
              </w:rPr>
              <w:fldChar w:fldCharType="separate"/>
            </w:r>
            <w:r w:rsidR="00263CCB">
              <w:rPr>
                <w:rFonts w:ascii="Times New Roman" w:hAnsi="Times New Roman" w:cs="Times New Roman"/>
                <w:noProof/>
                <w:webHidden/>
              </w:rPr>
              <w:t>2</w:t>
            </w:r>
            <w:r w:rsidR="000C4D8F" w:rsidRPr="00DB5AC1">
              <w:rPr>
                <w:rFonts w:ascii="Times New Roman" w:hAnsi="Times New Roman" w:cs="Times New Roman"/>
                <w:noProof/>
                <w:webHidden/>
              </w:rPr>
              <w:fldChar w:fldCharType="end"/>
            </w:r>
          </w:hyperlink>
        </w:p>
        <w:p w14:paraId="66AA50FD" w14:textId="3BCFFDD7" w:rsidR="000C4D8F" w:rsidRPr="00DB5AC1" w:rsidRDefault="00F57171">
          <w:pPr>
            <w:pStyle w:val="TOC1"/>
            <w:tabs>
              <w:tab w:val="left" w:pos="440"/>
              <w:tab w:val="right" w:leader="dot" w:pos="9016"/>
            </w:tabs>
            <w:rPr>
              <w:rFonts w:ascii="Times New Roman" w:eastAsiaTheme="minorEastAsia" w:hAnsi="Times New Roman" w:cs="Times New Roman"/>
              <w:noProof/>
              <w:kern w:val="2"/>
              <w:sz w:val="24"/>
              <w:szCs w:val="24"/>
              <w:lang w:eastAsia="en-IE"/>
              <w14:ligatures w14:val="standardContextual"/>
            </w:rPr>
          </w:pPr>
          <w:hyperlink w:anchor="_Toc234341721" w:history="1">
            <w:r w:rsidR="000C4D8F" w:rsidRPr="00DB5AC1">
              <w:rPr>
                <w:rStyle w:val="Hyperlink"/>
                <w:rFonts w:ascii="Times New Roman" w:hAnsi="Times New Roman" w:cs="Times New Roman"/>
                <w:b/>
                <w:bCs/>
                <w:noProof/>
                <w:lang w:val="en-GB"/>
              </w:rPr>
              <w:t>2.</w:t>
            </w:r>
            <w:r w:rsidR="000C4D8F" w:rsidRPr="00DB5AC1">
              <w:rPr>
                <w:rFonts w:ascii="Times New Roman" w:eastAsiaTheme="minorEastAsia" w:hAnsi="Times New Roman" w:cs="Times New Roman"/>
                <w:noProof/>
                <w:kern w:val="2"/>
                <w:sz w:val="24"/>
                <w:szCs w:val="24"/>
                <w:lang w:eastAsia="en-IE"/>
                <w14:ligatures w14:val="standardContextual"/>
              </w:rPr>
              <w:tab/>
            </w:r>
            <w:r w:rsidR="000C4D8F" w:rsidRPr="00DB5AC1">
              <w:rPr>
                <w:rStyle w:val="Hyperlink"/>
                <w:rFonts w:ascii="Times New Roman" w:hAnsi="Times New Roman" w:cs="Times New Roman"/>
                <w:b/>
                <w:bCs/>
                <w:noProof/>
                <w:lang w:val="en-GB"/>
              </w:rPr>
              <w:t>ECONOMIC ANALYSIS OF THE BANKING SECTOR</w:t>
            </w:r>
            <w:r w:rsidR="000C4D8F" w:rsidRPr="00DB5AC1">
              <w:rPr>
                <w:rFonts w:ascii="Times New Roman" w:hAnsi="Times New Roman" w:cs="Times New Roman"/>
                <w:noProof/>
                <w:webHidden/>
              </w:rPr>
              <w:tab/>
            </w:r>
            <w:r w:rsidR="000C4D8F" w:rsidRPr="00DB5AC1">
              <w:rPr>
                <w:rFonts w:ascii="Times New Roman" w:hAnsi="Times New Roman" w:cs="Times New Roman"/>
                <w:noProof/>
                <w:webHidden/>
              </w:rPr>
              <w:fldChar w:fldCharType="begin"/>
            </w:r>
            <w:r w:rsidR="000C4D8F" w:rsidRPr="00DB5AC1">
              <w:rPr>
                <w:rFonts w:ascii="Times New Roman" w:hAnsi="Times New Roman" w:cs="Times New Roman"/>
                <w:noProof/>
                <w:webHidden/>
              </w:rPr>
              <w:instrText xml:space="preserve"> PAGEREF _Toc234341721 \h </w:instrText>
            </w:r>
            <w:r w:rsidR="000C4D8F" w:rsidRPr="00DB5AC1">
              <w:rPr>
                <w:rFonts w:ascii="Times New Roman" w:hAnsi="Times New Roman" w:cs="Times New Roman"/>
                <w:noProof/>
                <w:webHidden/>
              </w:rPr>
            </w:r>
            <w:r w:rsidR="000C4D8F" w:rsidRPr="00DB5AC1">
              <w:rPr>
                <w:rFonts w:ascii="Times New Roman" w:hAnsi="Times New Roman" w:cs="Times New Roman"/>
                <w:noProof/>
                <w:webHidden/>
              </w:rPr>
              <w:fldChar w:fldCharType="separate"/>
            </w:r>
            <w:r w:rsidR="00263CCB">
              <w:rPr>
                <w:rFonts w:ascii="Times New Roman" w:hAnsi="Times New Roman" w:cs="Times New Roman"/>
                <w:noProof/>
                <w:webHidden/>
              </w:rPr>
              <w:t>3</w:t>
            </w:r>
            <w:r w:rsidR="000C4D8F" w:rsidRPr="00DB5AC1">
              <w:rPr>
                <w:rFonts w:ascii="Times New Roman" w:hAnsi="Times New Roman" w:cs="Times New Roman"/>
                <w:noProof/>
                <w:webHidden/>
              </w:rPr>
              <w:fldChar w:fldCharType="end"/>
            </w:r>
          </w:hyperlink>
        </w:p>
        <w:p w14:paraId="2EF1D6E6" w14:textId="6FDFA218" w:rsidR="000C4D8F" w:rsidRPr="00DB5AC1" w:rsidRDefault="00F57171">
          <w:pPr>
            <w:pStyle w:val="TOC2"/>
            <w:tabs>
              <w:tab w:val="left" w:pos="960"/>
              <w:tab w:val="right" w:leader="dot" w:pos="9016"/>
            </w:tabs>
            <w:rPr>
              <w:rFonts w:ascii="Times New Roman" w:eastAsiaTheme="minorEastAsia" w:hAnsi="Times New Roman" w:cs="Times New Roman"/>
              <w:noProof/>
              <w:kern w:val="2"/>
              <w:sz w:val="24"/>
              <w:szCs w:val="24"/>
              <w:lang w:eastAsia="en-IE"/>
              <w14:ligatures w14:val="standardContextual"/>
            </w:rPr>
          </w:pPr>
          <w:hyperlink w:anchor="_Toc234341722" w:history="1">
            <w:r w:rsidR="000C4D8F" w:rsidRPr="00DB5AC1">
              <w:rPr>
                <w:rStyle w:val="Hyperlink"/>
                <w:rFonts w:ascii="Times New Roman" w:hAnsi="Times New Roman" w:cs="Times New Roman"/>
                <w:b/>
                <w:bCs/>
                <w:noProof/>
                <w:lang w:val="en-GB"/>
              </w:rPr>
              <w:t>2.1.</w:t>
            </w:r>
            <w:r w:rsidR="000C4D8F" w:rsidRPr="00DB5AC1">
              <w:rPr>
                <w:rFonts w:ascii="Times New Roman" w:eastAsiaTheme="minorEastAsia" w:hAnsi="Times New Roman" w:cs="Times New Roman"/>
                <w:noProof/>
                <w:kern w:val="2"/>
                <w:sz w:val="24"/>
                <w:szCs w:val="24"/>
                <w:lang w:eastAsia="en-IE"/>
                <w14:ligatures w14:val="standardContextual"/>
              </w:rPr>
              <w:tab/>
            </w:r>
            <w:r w:rsidR="000C4D8F" w:rsidRPr="00DB5AC1">
              <w:rPr>
                <w:rStyle w:val="Hyperlink"/>
                <w:rFonts w:ascii="Times New Roman" w:hAnsi="Times New Roman" w:cs="Times New Roman"/>
                <w:b/>
                <w:bCs/>
                <w:noProof/>
                <w:lang w:val="en-GB"/>
              </w:rPr>
              <w:t>The role of banks in the EU economy</w:t>
            </w:r>
            <w:r w:rsidR="000C4D8F" w:rsidRPr="00DB5AC1">
              <w:rPr>
                <w:rFonts w:ascii="Times New Roman" w:hAnsi="Times New Roman" w:cs="Times New Roman"/>
                <w:noProof/>
                <w:webHidden/>
              </w:rPr>
              <w:tab/>
            </w:r>
            <w:r w:rsidR="000C4D8F" w:rsidRPr="00DB5AC1">
              <w:rPr>
                <w:rFonts w:ascii="Times New Roman" w:hAnsi="Times New Roman" w:cs="Times New Roman"/>
                <w:noProof/>
                <w:webHidden/>
              </w:rPr>
              <w:fldChar w:fldCharType="begin"/>
            </w:r>
            <w:r w:rsidR="000C4D8F" w:rsidRPr="00DB5AC1">
              <w:rPr>
                <w:rFonts w:ascii="Times New Roman" w:hAnsi="Times New Roman" w:cs="Times New Roman"/>
                <w:noProof/>
                <w:webHidden/>
              </w:rPr>
              <w:instrText xml:space="preserve"> PAGEREF _Toc234341722 \h </w:instrText>
            </w:r>
            <w:r w:rsidR="000C4D8F" w:rsidRPr="00DB5AC1">
              <w:rPr>
                <w:rFonts w:ascii="Times New Roman" w:hAnsi="Times New Roman" w:cs="Times New Roman"/>
                <w:noProof/>
                <w:webHidden/>
              </w:rPr>
            </w:r>
            <w:r w:rsidR="000C4D8F" w:rsidRPr="00DB5AC1">
              <w:rPr>
                <w:rFonts w:ascii="Times New Roman" w:hAnsi="Times New Roman" w:cs="Times New Roman"/>
                <w:noProof/>
                <w:webHidden/>
              </w:rPr>
              <w:fldChar w:fldCharType="separate"/>
            </w:r>
            <w:r w:rsidR="00263CCB">
              <w:rPr>
                <w:rFonts w:ascii="Times New Roman" w:hAnsi="Times New Roman" w:cs="Times New Roman"/>
                <w:noProof/>
                <w:webHidden/>
              </w:rPr>
              <w:t>3</w:t>
            </w:r>
            <w:r w:rsidR="000C4D8F" w:rsidRPr="00DB5AC1">
              <w:rPr>
                <w:rFonts w:ascii="Times New Roman" w:hAnsi="Times New Roman" w:cs="Times New Roman"/>
                <w:noProof/>
                <w:webHidden/>
              </w:rPr>
              <w:fldChar w:fldCharType="end"/>
            </w:r>
          </w:hyperlink>
        </w:p>
        <w:p w14:paraId="0ECDF8FE" w14:textId="3605F8C3" w:rsidR="000C4D8F" w:rsidRPr="00DB5AC1" w:rsidRDefault="00F57171">
          <w:pPr>
            <w:pStyle w:val="TOC3"/>
            <w:tabs>
              <w:tab w:val="left" w:pos="1200"/>
              <w:tab w:val="right" w:leader="dot" w:pos="9016"/>
            </w:tabs>
            <w:rPr>
              <w:rFonts w:ascii="Times New Roman" w:hAnsi="Times New Roman"/>
              <w:noProof/>
              <w:kern w:val="2"/>
              <w:sz w:val="24"/>
              <w:szCs w:val="24"/>
              <w:lang w:val="en-IE" w:eastAsia="en-IE"/>
              <w14:ligatures w14:val="standardContextual"/>
            </w:rPr>
          </w:pPr>
          <w:hyperlink w:anchor="_Toc234341723" w:history="1">
            <w:r w:rsidR="000C4D8F" w:rsidRPr="00DB5AC1">
              <w:rPr>
                <w:rStyle w:val="Hyperlink"/>
                <w:rFonts w:ascii="Times New Roman" w:hAnsi="Times New Roman"/>
                <w:b/>
                <w:noProof/>
                <w:lang w:val="en-GB"/>
              </w:rPr>
              <w:t>2.1.1.</w:t>
            </w:r>
            <w:r w:rsidR="000C4D8F" w:rsidRPr="00DB5AC1">
              <w:rPr>
                <w:rFonts w:ascii="Times New Roman" w:hAnsi="Times New Roman"/>
                <w:noProof/>
                <w:kern w:val="2"/>
                <w:sz w:val="24"/>
                <w:szCs w:val="24"/>
                <w:lang w:val="en-IE" w:eastAsia="en-IE"/>
                <w14:ligatures w14:val="standardContextual"/>
              </w:rPr>
              <w:tab/>
            </w:r>
            <w:r w:rsidR="000C4D8F" w:rsidRPr="00DB5AC1">
              <w:rPr>
                <w:rStyle w:val="Hyperlink"/>
                <w:rFonts w:ascii="Times New Roman" w:hAnsi="Times New Roman"/>
                <w:b/>
                <w:noProof/>
                <w:lang w:val="en-GB"/>
              </w:rPr>
              <w:t>Lending: EU banks’ core financing function</w:t>
            </w:r>
            <w:r w:rsidR="000C4D8F" w:rsidRPr="00DB5AC1">
              <w:rPr>
                <w:rFonts w:ascii="Times New Roman" w:hAnsi="Times New Roman"/>
                <w:noProof/>
                <w:webHidden/>
              </w:rPr>
              <w:tab/>
            </w:r>
            <w:r w:rsidR="000C4D8F" w:rsidRPr="00DB5AC1">
              <w:rPr>
                <w:rFonts w:ascii="Times New Roman" w:hAnsi="Times New Roman"/>
                <w:noProof/>
                <w:webHidden/>
              </w:rPr>
              <w:fldChar w:fldCharType="begin"/>
            </w:r>
            <w:r w:rsidR="000C4D8F" w:rsidRPr="00DB5AC1">
              <w:rPr>
                <w:rFonts w:ascii="Times New Roman" w:hAnsi="Times New Roman"/>
                <w:noProof/>
                <w:webHidden/>
              </w:rPr>
              <w:instrText xml:space="preserve"> PAGEREF _Toc234341723 \h </w:instrText>
            </w:r>
            <w:r w:rsidR="000C4D8F" w:rsidRPr="00DB5AC1">
              <w:rPr>
                <w:rFonts w:ascii="Times New Roman" w:hAnsi="Times New Roman"/>
                <w:noProof/>
                <w:webHidden/>
              </w:rPr>
            </w:r>
            <w:r w:rsidR="000C4D8F" w:rsidRPr="00DB5AC1">
              <w:rPr>
                <w:rFonts w:ascii="Times New Roman" w:hAnsi="Times New Roman"/>
                <w:noProof/>
                <w:webHidden/>
              </w:rPr>
              <w:fldChar w:fldCharType="separate"/>
            </w:r>
            <w:r w:rsidR="00263CCB">
              <w:rPr>
                <w:rFonts w:ascii="Times New Roman" w:hAnsi="Times New Roman"/>
                <w:noProof/>
                <w:webHidden/>
              </w:rPr>
              <w:t>3</w:t>
            </w:r>
            <w:r w:rsidR="000C4D8F" w:rsidRPr="00DB5AC1">
              <w:rPr>
                <w:rFonts w:ascii="Times New Roman" w:hAnsi="Times New Roman"/>
                <w:noProof/>
                <w:webHidden/>
              </w:rPr>
              <w:fldChar w:fldCharType="end"/>
            </w:r>
          </w:hyperlink>
        </w:p>
        <w:p w14:paraId="0ED5EE09" w14:textId="0FBE4B19" w:rsidR="000C4D8F" w:rsidRPr="00DB5AC1" w:rsidRDefault="00F57171">
          <w:pPr>
            <w:pStyle w:val="TOC3"/>
            <w:tabs>
              <w:tab w:val="left" w:pos="1200"/>
              <w:tab w:val="right" w:leader="dot" w:pos="9016"/>
            </w:tabs>
            <w:rPr>
              <w:rFonts w:ascii="Times New Roman" w:hAnsi="Times New Roman"/>
              <w:noProof/>
              <w:kern w:val="2"/>
              <w:sz w:val="24"/>
              <w:szCs w:val="24"/>
              <w:lang w:val="en-IE" w:eastAsia="en-IE"/>
              <w14:ligatures w14:val="standardContextual"/>
            </w:rPr>
          </w:pPr>
          <w:hyperlink w:anchor="_Toc234341724" w:history="1">
            <w:r w:rsidR="000C4D8F" w:rsidRPr="00DB5AC1">
              <w:rPr>
                <w:rStyle w:val="Hyperlink"/>
                <w:rFonts w:ascii="Times New Roman" w:hAnsi="Times New Roman"/>
                <w:b/>
                <w:noProof/>
                <w:lang w:val="en-GB"/>
              </w:rPr>
              <w:t>2.1.2.</w:t>
            </w:r>
            <w:r w:rsidR="000C4D8F" w:rsidRPr="00DB5AC1">
              <w:rPr>
                <w:rFonts w:ascii="Times New Roman" w:hAnsi="Times New Roman"/>
                <w:noProof/>
                <w:kern w:val="2"/>
                <w:sz w:val="24"/>
                <w:szCs w:val="24"/>
                <w:lang w:val="en-IE" w:eastAsia="en-IE"/>
                <w14:ligatures w14:val="standardContextual"/>
              </w:rPr>
              <w:tab/>
            </w:r>
            <w:r w:rsidR="000C4D8F" w:rsidRPr="00DB5AC1">
              <w:rPr>
                <w:rStyle w:val="Hyperlink"/>
                <w:rFonts w:ascii="Times New Roman" w:hAnsi="Times New Roman"/>
                <w:b/>
                <w:noProof/>
                <w:lang w:val="en-GB"/>
              </w:rPr>
              <w:t>Productivity and bank lending</w:t>
            </w:r>
            <w:r w:rsidR="000C4D8F" w:rsidRPr="00DB5AC1">
              <w:rPr>
                <w:rFonts w:ascii="Times New Roman" w:hAnsi="Times New Roman"/>
                <w:noProof/>
                <w:webHidden/>
              </w:rPr>
              <w:tab/>
            </w:r>
            <w:r w:rsidR="000C4D8F" w:rsidRPr="00DB5AC1">
              <w:rPr>
                <w:rFonts w:ascii="Times New Roman" w:hAnsi="Times New Roman"/>
                <w:noProof/>
                <w:webHidden/>
              </w:rPr>
              <w:fldChar w:fldCharType="begin"/>
            </w:r>
            <w:r w:rsidR="000C4D8F" w:rsidRPr="00DB5AC1">
              <w:rPr>
                <w:rFonts w:ascii="Times New Roman" w:hAnsi="Times New Roman"/>
                <w:noProof/>
                <w:webHidden/>
              </w:rPr>
              <w:instrText xml:space="preserve"> PAGEREF _Toc234341724 \h </w:instrText>
            </w:r>
            <w:r w:rsidR="000C4D8F" w:rsidRPr="00DB5AC1">
              <w:rPr>
                <w:rFonts w:ascii="Times New Roman" w:hAnsi="Times New Roman"/>
                <w:noProof/>
                <w:webHidden/>
              </w:rPr>
            </w:r>
            <w:r w:rsidR="000C4D8F" w:rsidRPr="00DB5AC1">
              <w:rPr>
                <w:rFonts w:ascii="Times New Roman" w:hAnsi="Times New Roman"/>
                <w:noProof/>
                <w:webHidden/>
              </w:rPr>
              <w:fldChar w:fldCharType="separate"/>
            </w:r>
            <w:r w:rsidR="00263CCB">
              <w:rPr>
                <w:rFonts w:ascii="Times New Roman" w:hAnsi="Times New Roman"/>
                <w:noProof/>
                <w:webHidden/>
              </w:rPr>
              <w:t>9</w:t>
            </w:r>
            <w:r w:rsidR="000C4D8F" w:rsidRPr="00DB5AC1">
              <w:rPr>
                <w:rFonts w:ascii="Times New Roman" w:hAnsi="Times New Roman"/>
                <w:noProof/>
                <w:webHidden/>
              </w:rPr>
              <w:fldChar w:fldCharType="end"/>
            </w:r>
          </w:hyperlink>
        </w:p>
        <w:p w14:paraId="401986DE" w14:textId="3031483A" w:rsidR="000C4D8F" w:rsidRPr="00DB5AC1" w:rsidRDefault="00F57171">
          <w:pPr>
            <w:pStyle w:val="TOC3"/>
            <w:tabs>
              <w:tab w:val="left" w:pos="1200"/>
              <w:tab w:val="right" w:leader="dot" w:pos="9016"/>
            </w:tabs>
            <w:rPr>
              <w:rFonts w:ascii="Times New Roman" w:hAnsi="Times New Roman"/>
              <w:noProof/>
              <w:kern w:val="2"/>
              <w:sz w:val="24"/>
              <w:szCs w:val="24"/>
              <w:lang w:val="en-IE" w:eastAsia="en-IE"/>
              <w14:ligatures w14:val="standardContextual"/>
            </w:rPr>
          </w:pPr>
          <w:hyperlink w:anchor="_Toc234341725" w:history="1">
            <w:r w:rsidR="000C4D8F" w:rsidRPr="00DB5AC1">
              <w:rPr>
                <w:rStyle w:val="Hyperlink"/>
                <w:rFonts w:ascii="Times New Roman" w:hAnsi="Times New Roman"/>
                <w:b/>
                <w:noProof/>
                <w:lang w:val="en-GB"/>
              </w:rPr>
              <w:t>2.1.3.</w:t>
            </w:r>
            <w:r w:rsidR="000C4D8F" w:rsidRPr="00DB5AC1">
              <w:rPr>
                <w:rFonts w:ascii="Times New Roman" w:hAnsi="Times New Roman"/>
                <w:noProof/>
                <w:kern w:val="2"/>
                <w:sz w:val="24"/>
                <w:szCs w:val="24"/>
                <w:lang w:val="en-IE" w:eastAsia="en-IE"/>
                <w14:ligatures w14:val="standardContextual"/>
              </w:rPr>
              <w:tab/>
            </w:r>
            <w:r w:rsidR="000C4D8F" w:rsidRPr="00DB5AC1">
              <w:rPr>
                <w:rStyle w:val="Hyperlink"/>
                <w:rFonts w:ascii="Times New Roman" w:hAnsi="Times New Roman"/>
                <w:b/>
                <w:noProof/>
                <w:lang w:val="en-GB"/>
              </w:rPr>
              <w:t>Banks as market intermediaries</w:t>
            </w:r>
            <w:r w:rsidR="000C4D8F" w:rsidRPr="00DB5AC1">
              <w:rPr>
                <w:rFonts w:ascii="Times New Roman" w:hAnsi="Times New Roman"/>
                <w:noProof/>
                <w:webHidden/>
              </w:rPr>
              <w:tab/>
            </w:r>
            <w:r w:rsidR="000C4D8F" w:rsidRPr="00DB5AC1">
              <w:rPr>
                <w:rFonts w:ascii="Times New Roman" w:hAnsi="Times New Roman"/>
                <w:noProof/>
                <w:webHidden/>
              </w:rPr>
              <w:fldChar w:fldCharType="begin"/>
            </w:r>
            <w:r w:rsidR="000C4D8F" w:rsidRPr="00DB5AC1">
              <w:rPr>
                <w:rFonts w:ascii="Times New Roman" w:hAnsi="Times New Roman"/>
                <w:noProof/>
                <w:webHidden/>
              </w:rPr>
              <w:instrText xml:space="preserve"> PAGEREF _Toc234341725 \h </w:instrText>
            </w:r>
            <w:r w:rsidR="000C4D8F" w:rsidRPr="00DB5AC1">
              <w:rPr>
                <w:rFonts w:ascii="Times New Roman" w:hAnsi="Times New Roman"/>
                <w:noProof/>
                <w:webHidden/>
              </w:rPr>
            </w:r>
            <w:r w:rsidR="000C4D8F" w:rsidRPr="00DB5AC1">
              <w:rPr>
                <w:rFonts w:ascii="Times New Roman" w:hAnsi="Times New Roman"/>
                <w:noProof/>
                <w:webHidden/>
              </w:rPr>
              <w:fldChar w:fldCharType="separate"/>
            </w:r>
            <w:r w:rsidR="00263CCB">
              <w:rPr>
                <w:rFonts w:ascii="Times New Roman" w:hAnsi="Times New Roman"/>
                <w:noProof/>
                <w:webHidden/>
              </w:rPr>
              <w:t>11</w:t>
            </w:r>
            <w:r w:rsidR="000C4D8F" w:rsidRPr="00DB5AC1">
              <w:rPr>
                <w:rFonts w:ascii="Times New Roman" w:hAnsi="Times New Roman"/>
                <w:noProof/>
                <w:webHidden/>
              </w:rPr>
              <w:fldChar w:fldCharType="end"/>
            </w:r>
          </w:hyperlink>
        </w:p>
        <w:p w14:paraId="2E57C3F2" w14:textId="1187124A" w:rsidR="000C4D8F" w:rsidRPr="00DB5AC1" w:rsidRDefault="00F57171">
          <w:pPr>
            <w:pStyle w:val="TOC2"/>
            <w:tabs>
              <w:tab w:val="left" w:pos="960"/>
              <w:tab w:val="right" w:leader="dot" w:pos="9016"/>
            </w:tabs>
            <w:rPr>
              <w:rFonts w:ascii="Times New Roman" w:eastAsiaTheme="minorEastAsia" w:hAnsi="Times New Roman" w:cs="Times New Roman"/>
              <w:noProof/>
              <w:kern w:val="2"/>
              <w:sz w:val="24"/>
              <w:szCs w:val="24"/>
              <w:lang w:eastAsia="en-IE"/>
              <w14:ligatures w14:val="standardContextual"/>
            </w:rPr>
          </w:pPr>
          <w:hyperlink w:anchor="_Toc234341726" w:history="1">
            <w:r w:rsidR="000C4D8F" w:rsidRPr="00DB5AC1">
              <w:rPr>
                <w:rStyle w:val="Hyperlink"/>
                <w:rFonts w:ascii="Times New Roman" w:hAnsi="Times New Roman" w:cs="Times New Roman"/>
                <w:b/>
                <w:bCs/>
                <w:noProof/>
                <w:lang w:val="en-GB"/>
              </w:rPr>
              <w:t>2.2.</w:t>
            </w:r>
            <w:r w:rsidR="000C4D8F" w:rsidRPr="00DB5AC1">
              <w:rPr>
                <w:rFonts w:ascii="Times New Roman" w:eastAsiaTheme="minorEastAsia" w:hAnsi="Times New Roman" w:cs="Times New Roman"/>
                <w:noProof/>
                <w:kern w:val="2"/>
                <w:sz w:val="24"/>
                <w:szCs w:val="24"/>
                <w:lang w:eastAsia="en-IE"/>
                <w14:ligatures w14:val="standardContextual"/>
              </w:rPr>
              <w:tab/>
            </w:r>
            <w:r w:rsidR="000C4D8F" w:rsidRPr="00DB5AC1">
              <w:rPr>
                <w:rStyle w:val="Hyperlink"/>
                <w:rFonts w:ascii="Times New Roman" w:hAnsi="Times New Roman" w:cs="Times New Roman"/>
                <w:b/>
                <w:bCs/>
                <w:noProof/>
                <w:lang w:val="en-GB"/>
              </w:rPr>
              <w:t>Resilience, profitability and market valuations</w:t>
            </w:r>
            <w:r w:rsidR="000C4D8F" w:rsidRPr="00DB5AC1">
              <w:rPr>
                <w:rFonts w:ascii="Times New Roman" w:hAnsi="Times New Roman" w:cs="Times New Roman"/>
                <w:noProof/>
                <w:webHidden/>
              </w:rPr>
              <w:tab/>
            </w:r>
            <w:r w:rsidR="000C4D8F" w:rsidRPr="00DB5AC1">
              <w:rPr>
                <w:rFonts w:ascii="Times New Roman" w:hAnsi="Times New Roman" w:cs="Times New Roman"/>
                <w:noProof/>
                <w:webHidden/>
              </w:rPr>
              <w:fldChar w:fldCharType="begin"/>
            </w:r>
            <w:r w:rsidR="000C4D8F" w:rsidRPr="00DB5AC1">
              <w:rPr>
                <w:rFonts w:ascii="Times New Roman" w:hAnsi="Times New Roman" w:cs="Times New Roman"/>
                <w:noProof/>
                <w:webHidden/>
              </w:rPr>
              <w:instrText xml:space="preserve"> PAGEREF _Toc234341726 \h </w:instrText>
            </w:r>
            <w:r w:rsidR="000C4D8F" w:rsidRPr="00DB5AC1">
              <w:rPr>
                <w:rFonts w:ascii="Times New Roman" w:hAnsi="Times New Roman" w:cs="Times New Roman"/>
                <w:noProof/>
                <w:webHidden/>
              </w:rPr>
            </w:r>
            <w:r w:rsidR="000C4D8F" w:rsidRPr="00DB5AC1">
              <w:rPr>
                <w:rFonts w:ascii="Times New Roman" w:hAnsi="Times New Roman" w:cs="Times New Roman"/>
                <w:noProof/>
                <w:webHidden/>
              </w:rPr>
              <w:fldChar w:fldCharType="separate"/>
            </w:r>
            <w:r w:rsidR="00263CCB">
              <w:rPr>
                <w:rFonts w:ascii="Times New Roman" w:hAnsi="Times New Roman" w:cs="Times New Roman"/>
                <w:noProof/>
                <w:webHidden/>
              </w:rPr>
              <w:t>13</w:t>
            </w:r>
            <w:r w:rsidR="000C4D8F" w:rsidRPr="00DB5AC1">
              <w:rPr>
                <w:rFonts w:ascii="Times New Roman" w:hAnsi="Times New Roman" w:cs="Times New Roman"/>
                <w:noProof/>
                <w:webHidden/>
              </w:rPr>
              <w:fldChar w:fldCharType="end"/>
            </w:r>
          </w:hyperlink>
        </w:p>
        <w:p w14:paraId="7804F7D2" w14:textId="6708FCF3" w:rsidR="000C4D8F" w:rsidRPr="00DB5AC1" w:rsidRDefault="00F57171">
          <w:pPr>
            <w:pStyle w:val="TOC3"/>
            <w:tabs>
              <w:tab w:val="left" w:pos="1200"/>
              <w:tab w:val="right" w:leader="dot" w:pos="9016"/>
            </w:tabs>
            <w:rPr>
              <w:rFonts w:ascii="Times New Roman" w:hAnsi="Times New Roman"/>
              <w:noProof/>
              <w:kern w:val="2"/>
              <w:sz w:val="24"/>
              <w:szCs w:val="24"/>
              <w:lang w:val="en-IE" w:eastAsia="en-IE"/>
              <w14:ligatures w14:val="standardContextual"/>
            </w:rPr>
          </w:pPr>
          <w:hyperlink w:anchor="_Toc234341727" w:history="1">
            <w:r w:rsidR="000C4D8F" w:rsidRPr="00DB5AC1">
              <w:rPr>
                <w:rStyle w:val="Hyperlink"/>
                <w:rFonts w:ascii="Times New Roman" w:hAnsi="Times New Roman"/>
                <w:b/>
                <w:noProof/>
                <w:lang w:val="en-GB"/>
              </w:rPr>
              <w:t>2.2.1.</w:t>
            </w:r>
            <w:r w:rsidR="000C4D8F" w:rsidRPr="00DB5AC1">
              <w:rPr>
                <w:rFonts w:ascii="Times New Roman" w:hAnsi="Times New Roman"/>
                <w:noProof/>
                <w:kern w:val="2"/>
                <w:sz w:val="24"/>
                <w:szCs w:val="24"/>
                <w:lang w:val="en-IE" w:eastAsia="en-IE"/>
                <w14:ligatures w14:val="standardContextual"/>
              </w:rPr>
              <w:tab/>
            </w:r>
            <w:r w:rsidR="000C4D8F" w:rsidRPr="00DB5AC1">
              <w:rPr>
                <w:rStyle w:val="Hyperlink"/>
                <w:rFonts w:ascii="Times New Roman" w:hAnsi="Times New Roman"/>
                <w:b/>
                <w:noProof/>
                <w:lang w:val="en-GB"/>
              </w:rPr>
              <w:t>Capital has increased and asset quality has strengthened</w:t>
            </w:r>
            <w:r w:rsidR="000C4D8F" w:rsidRPr="00DB5AC1">
              <w:rPr>
                <w:rFonts w:ascii="Times New Roman" w:hAnsi="Times New Roman"/>
                <w:noProof/>
                <w:webHidden/>
              </w:rPr>
              <w:tab/>
            </w:r>
            <w:r w:rsidR="000C4D8F" w:rsidRPr="00DB5AC1">
              <w:rPr>
                <w:rFonts w:ascii="Times New Roman" w:hAnsi="Times New Roman"/>
                <w:noProof/>
                <w:webHidden/>
              </w:rPr>
              <w:fldChar w:fldCharType="begin"/>
            </w:r>
            <w:r w:rsidR="000C4D8F" w:rsidRPr="00DB5AC1">
              <w:rPr>
                <w:rFonts w:ascii="Times New Roman" w:hAnsi="Times New Roman"/>
                <w:noProof/>
                <w:webHidden/>
              </w:rPr>
              <w:instrText xml:space="preserve"> PAGEREF _Toc234341727 \h </w:instrText>
            </w:r>
            <w:r w:rsidR="000C4D8F" w:rsidRPr="00DB5AC1">
              <w:rPr>
                <w:rFonts w:ascii="Times New Roman" w:hAnsi="Times New Roman"/>
                <w:noProof/>
                <w:webHidden/>
              </w:rPr>
            </w:r>
            <w:r w:rsidR="000C4D8F" w:rsidRPr="00DB5AC1">
              <w:rPr>
                <w:rFonts w:ascii="Times New Roman" w:hAnsi="Times New Roman"/>
                <w:noProof/>
                <w:webHidden/>
              </w:rPr>
              <w:fldChar w:fldCharType="separate"/>
            </w:r>
            <w:r w:rsidR="00263CCB">
              <w:rPr>
                <w:rFonts w:ascii="Times New Roman" w:hAnsi="Times New Roman"/>
                <w:noProof/>
                <w:webHidden/>
              </w:rPr>
              <w:t>14</w:t>
            </w:r>
            <w:r w:rsidR="000C4D8F" w:rsidRPr="00DB5AC1">
              <w:rPr>
                <w:rFonts w:ascii="Times New Roman" w:hAnsi="Times New Roman"/>
                <w:noProof/>
                <w:webHidden/>
              </w:rPr>
              <w:fldChar w:fldCharType="end"/>
            </w:r>
          </w:hyperlink>
        </w:p>
        <w:p w14:paraId="71A43C7B" w14:textId="5BC676ED" w:rsidR="000C4D8F" w:rsidRPr="00DB5AC1" w:rsidRDefault="00F57171">
          <w:pPr>
            <w:pStyle w:val="TOC3"/>
            <w:tabs>
              <w:tab w:val="left" w:pos="1200"/>
              <w:tab w:val="right" w:leader="dot" w:pos="9016"/>
            </w:tabs>
            <w:rPr>
              <w:rFonts w:ascii="Times New Roman" w:hAnsi="Times New Roman"/>
              <w:noProof/>
              <w:kern w:val="2"/>
              <w:sz w:val="24"/>
              <w:szCs w:val="24"/>
              <w:lang w:val="en-IE" w:eastAsia="en-IE"/>
              <w14:ligatures w14:val="standardContextual"/>
            </w:rPr>
          </w:pPr>
          <w:hyperlink w:anchor="_Toc234341728" w:history="1">
            <w:r w:rsidR="000C4D8F" w:rsidRPr="00DB5AC1">
              <w:rPr>
                <w:rStyle w:val="Hyperlink"/>
                <w:rFonts w:ascii="Times New Roman" w:hAnsi="Times New Roman"/>
                <w:b/>
                <w:bCs/>
                <w:noProof/>
                <w:lang w:val="en-GB"/>
              </w:rPr>
              <w:t>2.2.2.</w:t>
            </w:r>
            <w:r w:rsidR="000C4D8F" w:rsidRPr="00DB5AC1">
              <w:rPr>
                <w:rFonts w:ascii="Times New Roman" w:hAnsi="Times New Roman"/>
                <w:noProof/>
                <w:kern w:val="2"/>
                <w:sz w:val="24"/>
                <w:szCs w:val="24"/>
                <w:lang w:val="en-IE" w:eastAsia="en-IE"/>
                <w14:ligatures w14:val="standardContextual"/>
              </w:rPr>
              <w:tab/>
            </w:r>
            <w:r w:rsidR="000C4D8F" w:rsidRPr="00DB5AC1">
              <w:rPr>
                <w:rStyle w:val="Hyperlink"/>
                <w:rFonts w:ascii="Times New Roman" w:hAnsi="Times New Roman"/>
                <w:b/>
                <w:bCs/>
                <w:noProof/>
                <w:lang w:val="en-GB"/>
              </w:rPr>
              <w:t>Profitability has recovered and remains sustained</w:t>
            </w:r>
            <w:r w:rsidR="000C4D8F" w:rsidRPr="00DB5AC1">
              <w:rPr>
                <w:rFonts w:ascii="Times New Roman" w:hAnsi="Times New Roman"/>
                <w:noProof/>
                <w:webHidden/>
              </w:rPr>
              <w:tab/>
            </w:r>
            <w:r w:rsidR="000C4D8F" w:rsidRPr="00DB5AC1">
              <w:rPr>
                <w:rFonts w:ascii="Times New Roman" w:hAnsi="Times New Roman"/>
                <w:noProof/>
                <w:webHidden/>
              </w:rPr>
              <w:fldChar w:fldCharType="begin"/>
            </w:r>
            <w:r w:rsidR="000C4D8F" w:rsidRPr="00DB5AC1">
              <w:rPr>
                <w:rFonts w:ascii="Times New Roman" w:hAnsi="Times New Roman"/>
                <w:noProof/>
                <w:webHidden/>
              </w:rPr>
              <w:instrText xml:space="preserve"> PAGEREF _Toc234341728 \h </w:instrText>
            </w:r>
            <w:r w:rsidR="000C4D8F" w:rsidRPr="00DB5AC1">
              <w:rPr>
                <w:rFonts w:ascii="Times New Roman" w:hAnsi="Times New Roman"/>
                <w:noProof/>
                <w:webHidden/>
              </w:rPr>
            </w:r>
            <w:r w:rsidR="000C4D8F" w:rsidRPr="00DB5AC1">
              <w:rPr>
                <w:rFonts w:ascii="Times New Roman" w:hAnsi="Times New Roman"/>
                <w:noProof/>
                <w:webHidden/>
              </w:rPr>
              <w:fldChar w:fldCharType="separate"/>
            </w:r>
            <w:r w:rsidR="00263CCB">
              <w:rPr>
                <w:rFonts w:ascii="Times New Roman" w:hAnsi="Times New Roman"/>
                <w:noProof/>
                <w:webHidden/>
              </w:rPr>
              <w:t>17</w:t>
            </w:r>
            <w:r w:rsidR="000C4D8F" w:rsidRPr="00DB5AC1">
              <w:rPr>
                <w:rFonts w:ascii="Times New Roman" w:hAnsi="Times New Roman"/>
                <w:noProof/>
                <w:webHidden/>
              </w:rPr>
              <w:fldChar w:fldCharType="end"/>
            </w:r>
          </w:hyperlink>
        </w:p>
        <w:p w14:paraId="44B12B00" w14:textId="49CB9D7A" w:rsidR="000C4D8F" w:rsidRPr="00DB5AC1" w:rsidRDefault="00F57171">
          <w:pPr>
            <w:pStyle w:val="TOC3"/>
            <w:tabs>
              <w:tab w:val="left" w:pos="1200"/>
              <w:tab w:val="right" w:leader="dot" w:pos="9016"/>
            </w:tabs>
            <w:rPr>
              <w:rFonts w:ascii="Times New Roman" w:hAnsi="Times New Roman"/>
              <w:noProof/>
              <w:kern w:val="2"/>
              <w:sz w:val="24"/>
              <w:szCs w:val="24"/>
              <w:lang w:val="en-IE" w:eastAsia="en-IE"/>
              <w14:ligatures w14:val="standardContextual"/>
            </w:rPr>
          </w:pPr>
          <w:hyperlink w:anchor="_Toc234341729" w:history="1">
            <w:r w:rsidR="000C4D8F" w:rsidRPr="00DB5AC1">
              <w:rPr>
                <w:rStyle w:val="Hyperlink"/>
                <w:rFonts w:ascii="Times New Roman" w:hAnsi="Times New Roman"/>
                <w:b/>
                <w:bCs/>
                <w:noProof/>
                <w:lang w:val="en-GB"/>
              </w:rPr>
              <w:t>2.2.3.</w:t>
            </w:r>
            <w:r w:rsidR="000C4D8F" w:rsidRPr="00DB5AC1">
              <w:rPr>
                <w:rFonts w:ascii="Times New Roman" w:hAnsi="Times New Roman"/>
                <w:noProof/>
                <w:kern w:val="2"/>
                <w:sz w:val="24"/>
                <w:szCs w:val="24"/>
                <w:lang w:val="en-IE" w:eastAsia="en-IE"/>
                <w14:ligatures w14:val="standardContextual"/>
              </w:rPr>
              <w:tab/>
            </w:r>
            <w:r w:rsidR="000C4D8F" w:rsidRPr="00DB5AC1">
              <w:rPr>
                <w:rStyle w:val="Hyperlink"/>
                <w:rFonts w:ascii="Times New Roman" w:hAnsi="Times New Roman"/>
                <w:b/>
                <w:bCs/>
                <w:noProof/>
                <w:lang w:val="en-GB"/>
              </w:rPr>
              <w:t>Market perception and valuations</w:t>
            </w:r>
            <w:r w:rsidR="000C4D8F" w:rsidRPr="00DB5AC1">
              <w:rPr>
                <w:rFonts w:ascii="Times New Roman" w:hAnsi="Times New Roman"/>
                <w:noProof/>
                <w:webHidden/>
              </w:rPr>
              <w:tab/>
            </w:r>
            <w:r w:rsidR="000C4D8F" w:rsidRPr="00DB5AC1">
              <w:rPr>
                <w:rFonts w:ascii="Times New Roman" w:hAnsi="Times New Roman"/>
                <w:noProof/>
                <w:webHidden/>
              </w:rPr>
              <w:fldChar w:fldCharType="begin"/>
            </w:r>
            <w:r w:rsidR="000C4D8F" w:rsidRPr="00DB5AC1">
              <w:rPr>
                <w:rFonts w:ascii="Times New Roman" w:hAnsi="Times New Roman"/>
                <w:noProof/>
                <w:webHidden/>
              </w:rPr>
              <w:instrText xml:space="preserve"> PAGEREF _Toc234341729 \h </w:instrText>
            </w:r>
            <w:r w:rsidR="000C4D8F" w:rsidRPr="00DB5AC1">
              <w:rPr>
                <w:rFonts w:ascii="Times New Roman" w:hAnsi="Times New Roman"/>
                <w:noProof/>
                <w:webHidden/>
              </w:rPr>
            </w:r>
            <w:r w:rsidR="000C4D8F" w:rsidRPr="00DB5AC1">
              <w:rPr>
                <w:rFonts w:ascii="Times New Roman" w:hAnsi="Times New Roman"/>
                <w:noProof/>
                <w:webHidden/>
              </w:rPr>
              <w:fldChar w:fldCharType="separate"/>
            </w:r>
            <w:r w:rsidR="00263CCB">
              <w:rPr>
                <w:rFonts w:ascii="Times New Roman" w:hAnsi="Times New Roman"/>
                <w:noProof/>
                <w:webHidden/>
              </w:rPr>
              <w:t>24</w:t>
            </w:r>
            <w:r w:rsidR="000C4D8F" w:rsidRPr="00DB5AC1">
              <w:rPr>
                <w:rFonts w:ascii="Times New Roman" w:hAnsi="Times New Roman"/>
                <w:noProof/>
                <w:webHidden/>
              </w:rPr>
              <w:fldChar w:fldCharType="end"/>
            </w:r>
          </w:hyperlink>
        </w:p>
        <w:p w14:paraId="5BCB83A1" w14:textId="7BA2D0A6" w:rsidR="000C4D8F" w:rsidRPr="00DB5AC1" w:rsidRDefault="00F57171">
          <w:pPr>
            <w:pStyle w:val="TOC1"/>
            <w:tabs>
              <w:tab w:val="left" w:pos="440"/>
              <w:tab w:val="right" w:leader="dot" w:pos="9016"/>
            </w:tabs>
            <w:rPr>
              <w:rFonts w:ascii="Times New Roman" w:eastAsiaTheme="minorEastAsia" w:hAnsi="Times New Roman" w:cs="Times New Roman"/>
              <w:noProof/>
              <w:kern w:val="2"/>
              <w:sz w:val="24"/>
              <w:szCs w:val="24"/>
              <w:lang w:eastAsia="en-IE"/>
              <w14:ligatures w14:val="standardContextual"/>
            </w:rPr>
          </w:pPr>
          <w:hyperlink w:anchor="_Toc234341730" w:history="1">
            <w:r w:rsidR="000C4D8F" w:rsidRPr="00DB5AC1">
              <w:rPr>
                <w:rStyle w:val="Hyperlink"/>
                <w:rFonts w:ascii="Times New Roman" w:hAnsi="Times New Roman" w:cs="Times New Roman"/>
                <w:b/>
                <w:noProof/>
                <w:lang w:val="en-GB"/>
              </w:rPr>
              <w:t>3.</w:t>
            </w:r>
            <w:r w:rsidR="000C4D8F" w:rsidRPr="00DB5AC1">
              <w:rPr>
                <w:rFonts w:ascii="Times New Roman" w:eastAsiaTheme="minorEastAsia" w:hAnsi="Times New Roman" w:cs="Times New Roman"/>
                <w:noProof/>
                <w:kern w:val="2"/>
                <w:sz w:val="24"/>
                <w:szCs w:val="24"/>
                <w:lang w:eastAsia="en-IE"/>
                <w14:ligatures w14:val="standardContextual"/>
              </w:rPr>
              <w:tab/>
            </w:r>
            <w:r w:rsidR="000C4D8F" w:rsidRPr="00DB5AC1">
              <w:rPr>
                <w:rStyle w:val="Hyperlink"/>
                <w:rFonts w:ascii="Times New Roman" w:hAnsi="Times New Roman" w:cs="Times New Roman"/>
                <w:b/>
                <w:noProof/>
                <w:lang w:val="en-GB"/>
              </w:rPr>
              <w:t>REMAINING CHALLENGES</w:t>
            </w:r>
            <w:r w:rsidR="000C4D8F" w:rsidRPr="00DB5AC1">
              <w:rPr>
                <w:rFonts w:ascii="Times New Roman" w:hAnsi="Times New Roman" w:cs="Times New Roman"/>
                <w:noProof/>
                <w:webHidden/>
              </w:rPr>
              <w:tab/>
            </w:r>
            <w:r w:rsidR="000C4D8F" w:rsidRPr="00DB5AC1">
              <w:rPr>
                <w:rFonts w:ascii="Times New Roman" w:hAnsi="Times New Roman" w:cs="Times New Roman"/>
                <w:noProof/>
                <w:webHidden/>
              </w:rPr>
              <w:fldChar w:fldCharType="begin"/>
            </w:r>
            <w:r w:rsidR="000C4D8F" w:rsidRPr="00DB5AC1">
              <w:rPr>
                <w:rFonts w:ascii="Times New Roman" w:hAnsi="Times New Roman" w:cs="Times New Roman"/>
                <w:noProof/>
                <w:webHidden/>
              </w:rPr>
              <w:instrText xml:space="preserve"> PAGEREF _Toc234341730 \h </w:instrText>
            </w:r>
            <w:r w:rsidR="000C4D8F" w:rsidRPr="00DB5AC1">
              <w:rPr>
                <w:rFonts w:ascii="Times New Roman" w:hAnsi="Times New Roman" w:cs="Times New Roman"/>
                <w:noProof/>
                <w:webHidden/>
              </w:rPr>
            </w:r>
            <w:r w:rsidR="000C4D8F" w:rsidRPr="00DB5AC1">
              <w:rPr>
                <w:rFonts w:ascii="Times New Roman" w:hAnsi="Times New Roman" w:cs="Times New Roman"/>
                <w:noProof/>
                <w:webHidden/>
              </w:rPr>
              <w:fldChar w:fldCharType="separate"/>
            </w:r>
            <w:r w:rsidR="00263CCB">
              <w:rPr>
                <w:rFonts w:ascii="Times New Roman" w:hAnsi="Times New Roman" w:cs="Times New Roman"/>
                <w:noProof/>
                <w:webHidden/>
              </w:rPr>
              <w:t>28</w:t>
            </w:r>
            <w:r w:rsidR="000C4D8F" w:rsidRPr="00DB5AC1">
              <w:rPr>
                <w:rFonts w:ascii="Times New Roman" w:hAnsi="Times New Roman" w:cs="Times New Roman"/>
                <w:noProof/>
                <w:webHidden/>
              </w:rPr>
              <w:fldChar w:fldCharType="end"/>
            </w:r>
          </w:hyperlink>
        </w:p>
        <w:p w14:paraId="29858F28" w14:textId="0CFE032F" w:rsidR="000C4D8F" w:rsidRPr="00DB5AC1" w:rsidRDefault="00F57171">
          <w:pPr>
            <w:pStyle w:val="TOC2"/>
            <w:tabs>
              <w:tab w:val="left" w:pos="960"/>
              <w:tab w:val="right" w:leader="dot" w:pos="9016"/>
            </w:tabs>
            <w:rPr>
              <w:rFonts w:ascii="Times New Roman" w:eastAsiaTheme="minorEastAsia" w:hAnsi="Times New Roman" w:cs="Times New Roman"/>
              <w:noProof/>
              <w:kern w:val="2"/>
              <w:sz w:val="24"/>
              <w:szCs w:val="24"/>
              <w:lang w:eastAsia="en-IE"/>
              <w14:ligatures w14:val="standardContextual"/>
            </w:rPr>
          </w:pPr>
          <w:hyperlink w:anchor="_Toc234341731" w:history="1">
            <w:r w:rsidR="000C4D8F" w:rsidRPr="00DB5AC1">
              <w:rPr>
                <w:rStyle w:val="Hyperlink"/>
                <w:rFonts w:ascii="Times New Roman" w:hAnsi="Times New Roman" w:cs="Times New Roman"/>
                <w:b/>
                <w:noProof/>
                <w:lang w:val="en-GB"/>
              </w:rPr>
              <w:t>3.1.</w:t>
            </w:r>
            <w:r w:rsidR="000C4D8F" w:rsidRPr="00DB5AC1">
              <w:rPr>
                <w:rFonts w:ascii="Times New Roman" w:eastAsiaTheme="minorEastAsia" w:hAnsi="Times New Roman" w:cs="Times New Roman"/>
                <w:noProof/>
                <w:kern w:val="2"/>
                <w:sz w:val="24"/>
                <w:szCs w:val="24"/>
                <w:lang w:eastAsia="en-IE"/>
                <w14:ligatures w14:val="standardContextual"/>
              </w:rPr>
              <w:tab/>
            </w:r>
            <w:r w:rsidR="000C4D8F" w:rsidRPr="00DB5AC1">
              <w:rPr>
                <w:rStyle w:val="Hyperlink"/>
                <w:rFonts w:ascii="Times New Roman" w:hAnsi="Times New Roman" w:cs="Times New Roman"/>
                <w:b/>
                <w:noProof/>
                <w:lang w:val="en-GB"/>
              </w:rPr>
              <w:t>Fragmentation of the single market in banking – Main issues</w:t>
            </w:r>
            <w:r w:rsidR="000C4D8F" w:rsidRPr="00DB5AC1">
              <w:rPr>
                <w:rFonts w:ascii="Times New Roman" w:hAnsi="Times New Roman" w:cs="Times New Roman"/>
                <w:noProof/>
                <w:webHidden/>
              </w:rPr>
              <w:tab/>
            </w:r>
            <w:r w:rsidR="000C4D8F" w:rsidRPr="00DB5AC1">
              <w:rPr>
                <w:rFonts w:ascii="Times New Roman" w:hAnsi="Times New Roman" w:cs="Times New Roman"/>
                <w:noProof/>
                <w:webHidden/>
              </w:rPr>
              <w:fldChar w:fldCharType="begin"/>
            </w:r>
            <w:r w:rsidR="000C4D8F" w:rsidRPr="00DB5AC1">
              <w:rPr>
                <w:rFonts w:ascii="Times New Roman" w:hAnsi="Times New Roman" w:cs="Times New Roman"/>
                <w:noProof/>
                <w:webHidden/>
              </w:rPr>
              <w:instrText xml:space="preserve"> PAGEREF _Toc234341731 \h </w:instrText>
            </w:r>
            <w:r w:rsidR="000C4D8F" w:rsidRPr="00DB5AC1">
              <w:rPr>
                <w:rFonts w:ascii="Times New Roman" w:hAnsi="Times New Roman" w:cs="Times New Roman"/>
                <w:noProof/>
                <w:webHidden/>
              </w:rPr>
            </w:r>
            <w:r w:rsidR="000C4D8F" w:rsidRPr="00DB5AC1">
              <w:rPr>
                <w:rFonts w:ascii="Times New Roman" w:hAnsi="Times New Roman" w:cs="Times New Roman"/>
                <w:noProof/>
                <w:webHidden/>
              </w:rPr>
              <w:fldChar w:fldCharType="separate"/>
            </w:r>
            <w:r w:rsidR="00263CCB">
              <w:rPr>
                <w:rFonts w:ascii="Times New Roman" w:hAnsi="Times New Roman" w:cs="Times New Roman"/>
                <w:noProof/>
                <w:webHidden/>
              </w:rPr>
              <w:t>28</w:t>
            </w:r>
            <w:r w:rsidR="000C4D8F" w:rsidRPr="00DB5AC1">
              <w:rPr>
                <w:rFonts w:ascii="Times New Roman" w:hAnsi="Times New Roman" w:cs="Times New Roman"/>
                <w:noProof/>
                <w:webHidden/>
              </w:rPr>
              <w:fldChar w:fldCharType="end"/>
            </w:r>
          </w:hyperlink>
        </w:p>
        <w:p w14:paraId="03D1B8F1" w14:textId="5A095E4C" w:rsidR="000C4D8F" w:rsidRPr="00DB5AC1" w:rsidRDefault="00F57171">
          <w:pPr>
            <w:pStyle w:val="TOC3"/>
            <w:tabs>
              <w:tab w:val="left" w:pos="1200"/>
              <w:tab w:val="right" w:leader="dot" w:pos="9016"/>
            </w:tabs>
            <w:rPr>
              <w:rFonts w:ascii="Times New Roman" w:hAnsi="Times New Roman"/>
              <w:noProof/>
              <w:kern w:val="2"/>
              <w:sz w:val="24"/>
              <w:szCs w:val="24"/>
              <w:lang w:val="en-IE" w:eastAsia="en-IE"/>
              <w14:ligatures w14:val="standardContextual"/>
            </w:rPr>
          </w:pPr>
          <w:hyperlink w:anchor="_Toc234341732" w:history="1">
            <w:r w:rsidR="000C4D8F" w:rsidRPr="00DB5AC1">
              <w:rPr>
                <w:rStyle w:val="Hyperlink"/>
                <w:rFonts w:ascii="Times New Roman" w:hAnsi="Times New Roman"/>
                <w:b/>
                <w:bCs/>
                <w:noProof/>
                <w:lang w:val="en-GB"/>
              </w:rPr>
              <w:t>3.1.1.</w:t>
            </w:r>
            <w:r w:rsidR="000C4D8F" w:rsidRPr="00DB5AC1">
              <w:rPr>
                <w:rFonts w:ascii="Times New Roman" w:hAnsi="Times New Roman"/>
                <w:noProof/>
                <w:kern w:val="2"/>
                <w:sz w:val="24"/>
                <w:szCs w:val="24"/>
                <w:lang w:val="en-IE" w:eastAsia="en-IE"/>
                <w14:ligatures w14:val="standardContextual"/>
              </w:rPr>
              <w:tab/>
            </w:r>
            <w:r w:rsidR="000C4D8F" w:rsidRPr="00DB5AC1">
              <w:rPr>
                <w:rStyle w:val="Hyperlink"/>
                <w:rFonts w:ascii="Times New Roman" w:hAnsi="Times New Roman"/>
                <w:b/>
                <w:bCs/>
                <w:noProof/>
                <w:lang w:val="en-GB"/>
              </w:rPr>
              <w:t>Evidence of a fragmented banking sector</w:t>
            </w:r>
            <w:r w:rsidR="000C4D8F" w:rsidRPr="00DB5AC1">
              <w:rPr>
                <w:rFonts w:ascii="Times New Roman" w:hAnsi="Times New Roman"/>
                <w:noProof/>
                <w:webHidden/>
              </w:rPr>
              <w:tab/>
            </w:r>
            <w:r w:rsidR="000C4D8F" w:rsidRPr="00DB5AC1">
              <w:rPr>
                <w:rFonts w:ascii="Times New Roman" w:hAnsi="Times New Roman"/>
                <w:noProof/>
                <w:webHidden/>
              </w:rPr>
              <w:fldChar w:fldCharType="begin"/>
            </w:r>
            <w:r w:rsidR="000C4D8F" w:rsidRPr="00DB5AC1">
              <w:rPr>
                <w:rFonts w:ascii="Times New Roman" w:hAnsi="Times New Roman"/>
                <w:noProof/>
                <w:webHidden/>
              </w:rPr>
              <w:instrText xml:space="preserve"> PAGEREF _Toc234341732 \h </w:instrText>
            </w:r>
            <w:r w:rsidR="000C4D8F" w:rsidRPr="00DB5AC1">
              <w:rPr>
                <w:rFonts w:ascii="Times New Roman" w:hAnsi="Times New Roman"/>
                <w:noProof/>
                <w:webHidden/>
              </w:rPr>
            </w:r>
            <w:r w:rsidR="000C4D8F" w:rsidRPr="00DB5AC1">
              <w:rPr>
                <w:rFonts w:ascii="Times New Roman" w:hAnsi="Times New Roman"/>
                <w:noProof/>
                <w:webHidden/>
              </w:rPr>
              <w:fldChar w:fldCharType="separate"/>
            </w:r>
            <w:r w:rsidR="00263CCB">
              <w:rPr>
                <w:rFonts w:ascii="Times New Roman" w:hAnsi="Times New Roman"/>
                <w:noProof/>
                <w:webHidden/>
              </w:rPr>
              <w:t>28</w:t>
            </w:r>
            <w:r w:rsidR="000C4D8F" w:rsidRPr="00DB5AC1">
              <w:rPr>
                <w:rFonts w:ascii="Times New Roman" w:hAnsi="Times New Roman"/>
                <w:noProof/>
                <w:webHidden/>
              </w:rPr>
              <w:fldChar w:fldCharType="end"/>
            </w:r>
          </w:hyperlink>
        </w:p>
        <w:p w14:paraId="1FB0AD00" w14:textId="4A02E137" w:rsidR="000C4D8F" w:rsidRPr="00DB5AC1" w:rsidRDefault="00F57171">
          <w:pPr>
            <w:pStyle w:val="TOC3"/>
            <w:tabs>
              <w:tab w:val="left" w:pos="1200"/>
              <w:tab w:val="right" w:leader="dot" w:pos="9016"/>
            </w:tabs>
            <w:rPr>
              <w:rFonts w:ascii="Times New Roman" w:hAnsi="Times New Roman"/>
              <w:noProof/>
              <w:kern w:val="2"/>
              <w:sz w:val="24"/>
              <w:szCs w:val="24"/>
              <w:lang w:val="en-IE" w:eastAsia="en-IE"/>
              <w14:ligatures w14:val="standardContextual"/>
            </w:rPr>
          </w:pPr>
          <w:hyperlink w:anchor="_Toc234341733" w:history="1">
            <w:r w:rsidR="000C4D8F" w:rsidRPr="00DB5AC1">
              <w:rPr>
                <w:rStyle w:val="Hyperlink"/>
                <w:rFonts w:ascii="Times New Roman" w:hAnsi="Times New Roman"/>
                <w:b/>
                <w:bCs/>
                <w:noProof/>
                <w:lang w:val="en-GB"/>
              </w:rPr>
              <w:t>3.1.2.</w:t>
            </w:r>
            <w:r w:rsidR="000C4D8F" w:rsidRPr="00DB5AC1">
              <w:rPr>
                <w:rFonts w:ascii="Times New Roman" w:hAnsi="Times New Roman"/>
                <w:noProof/>
                <w:kern w:val="2"/>
                <w:sz w:val="24"/>
                <w:szCs w:val="24"/>
                <w:lang w:val="en-IE" w:eastAsia="en-IE"/>
                <w14:ligatures w14:val="standardContextual"/>
              </w:rPr>
              <w:tab/>
            </w:r>
            <w:r w:rsidR="000C4D8F" w:rsidRPr="00DB5AC1">
              <w:rPr>
                <w:rStyle w:val="Hyperlink"/>
                <w:rFonts w:ascii="Times New Roman" w:hAnsi="Times New Roman"/>
                <w:b/>
                <w:bCs/>
                <w:noProof/>
                <w:lang w:val="en-GB"/>
              </w:rPr>
              <w:t>Fragmentation has resulted in a chronic lack of scale</w:t>
            </w:r>
            <w:r w:rsidR="000C4D8F" w:rsidRPr="00DB5AC1">
              <w:rPr>
                <w:rFonts w:ascii="Times New Roman" w:hAnsi="Times New Roman"/>
                <w:noProof/>
                <w:webHidden/>
              </w:rPr>
              <w:tab/>
            </w:r>
            <w:r w:rsidR="000C4D8F" w:rsidRPr="00DB5AC1">
              <w:rPr>
                <w:rFonts w:ascii="Times New Roman" w:hAnsi="Times New Roman"/>
                <w:noProof/>
                <w:webHidden/>
              </w:rPr>
              <w:fldChar w:fldCharType="begin"/>
            </w:r>
            <w:r w:rsidR="000C4D8F" w:rsidRPr="00DB5AC1">
              <w:rPr>
                <w:rFonts w:ascii="Times New Roman" w:hAnsi="Times New Roman"/>
                <w:noProof/>
                <w:webHidden/>
              </w:rPr>
              <w:instrText xml:space="preserve"> PAGEREF _Toc234341733 \h </w:instrText>
            </w:r>
            <w:r w:rsidR="000C4D8F" w:rsidRPr="00DB5AC1">
              <w:rPr>
                <w:rFonts w:ascii="Times New Roman" w:hAnsi="Times New Roman"/>
                <w:noProof/>
                <w:webHidden/>
              </w:rPr>
            </w:r>
            <w:r w:rsidR="000C4D8F" w:rsidRPr="00DB5AC1">
              <w:rPr>
                <w:rFonts w:ascii="Times New Roman" w:hAnsi="Times New Roman"/>
                <w:noProof/>
                <w:webHidden/>
              </w:rPr>
              <w:fldChar w:fldCharType="separate"/>
            </w:r>
            <w:r w:rsidR="00263CCB">
              <w:rPr>
                <w:rFonts w:ascii="Times New Roman" w:hAnsi="Times New Roman"/>
                <w:noProof/>
                <w:webHidden/>
              </w:rPr>
              <w:t>31</w:t>
            </w:r>
            <w:r w:rsidR="000C4D8F" w:rsidRPr="00DB5AC1">
              <w:rPr>
                <w:rFonts w:ascii="Times New Roman" w:hAnsi="Times New Roman"/>
                <w:noProof/>
                <w:webHidden/>
              </w:rPr>
              <w:fldChar w:fldCharType="end"/>
            </w:r>
          </w:hyperlink>
        </w:p>
        <w:p w14:paraId="57E99C5C" w14:textId="305CD9EB" w:rsidR="000C4D8F" w:rsidRPr="00DB5AC1" w:rsidRDefault="00F57171">
          <w:pPr>
            <w:pStyle w:val="TOC3"/>
            <w:tabs>
              <w:tab w:val="left" w:pos="1200"/>
              <w:tab w:val="right" w:leader="dot" w:pos="9016"/>
            </w:tabs>
            <w:rPr>
              <w:rFonts w:ascii="Times New Roman" w:hAnsi="Times New Roman"/>
              <w:noProof/>
              <w:kern w:val="2"/>
              <w:sz w:val="24"/>
              <w:szCs w:val="24"/>
              <w:lang w:val="en-IE" w:eastAsia="en-IE"/>
              <w14:ligatures w14:val="standardContextual"/>
            </w:rPr>
          </w:pPr>
          <w:hyperlink w:anchor="_Toc234341734" w:history="1">
            <w:r w:rsidR="000C4D8F" w:rsidRPr="00DB5AC1">
              <w:rPr>
                <w:rStyle w:val="Hyperlink"/>
                <w:rFonts w:ascii="Times New Roman" w:hAnsi="Times New Roman"/>
                <w:b/>
                <w:bCs/>
                <w:noProof/>
                <w:lang w:val="en-GB"/>
              </w:rPr>
              <w:t>3.1.3.</w:t>
            </w:r>
            <w:r w:rsidR="000C4D8F" w:rsidRPr="00DB5AC1">
              <w:rPr>
                <w:rFonts w:ascii="Times New Roman" w:hAnsi="Times New Roman"/>
                <w:noProof/>
                <w:kern w:val="2"/>
                <w:sz w:val="24"/>
                <w:szCs w:val="24"/>
                <w:lang w:val="en-IE" w:eastAsia="en-IE"/>
                <w14:ligatures w14:val="standardContextual"/>
              </w:rPr>
              <w:tab/>
            </w:r>
            <w:r w:rsidR="000C4D8F" w:rsidRPr="00DB5AC1">
              <w:rPr>
                <w:rStyle w:val="Hyperlink"/>
                <w:rFonts w:ascii="Times New Roman" w:hAnsi="Times New Roman"/>
                <w:b/>
                <w:bCs/>
                <w:noProof/>
                <w:lang w:val="en-GB"/>
              </w:rPr>
              <w:t>Opportunities and limits to market integration</w:t>
            </w:r>
            <w:r w:rsidR="000C4D8F" w:rsidRPr="00DB5AC1">
              <w:rPr>
                <w:rFonts w:ascii="Times New Roman" w:hAnsi="Times New Roman"/>
                <w:noProof/>
                <w:webHidden/>
              </w:rPr>
              <w:tab/>
            </w:r>
            <w:r w:rsidR="000C4D8F" w:rsidRPr="00DB5AC1">
              <w:rPr>
                <w:rFonts w:ascii="Times New Roman" w:hAnsi="Times New Roman"/>
                <w:noProof/>
                <w:webHidden/>
              </w:rPr>
              <w:fldChar w:fldCharType="begin"/>
            </w:r>
            <w:r w:rsidR="000C4D8F" w:rsidRPr="00DB5AC1">
              <w:rPr>
                <w:rFonts w:ascii="Times New Roman" w:hAnsi="Times New Roman"/>
                <w:noProof/>
                <w:webHidden/>
              </w:rPr>
              <w:instrText xml:space="preserve"> PAGEREF _Toc234341734 \h </w:instrText>
            </w:r>
            <w:r w:rsidR="000C4D8F" w:rsidRPr="00DB5AC1">
              <w:rPr>
                <w:rFonts w:ascii="Times New Roman" w:hAnsi="Times New Roman"/>
                <w:noProof/>
                <w:webHidden/>
              </w:rPr>
            </w:r>
            <w:r w:rsidR="000C4D8F" w:rsidRPr="00DB5AC1">
              <w:rPr>
                <w:rFonts w:ascii="Times New Roman" w:hAnsi="Times New Roman"/>
                <w:noProof/>
                <w:webHidden/>
              </w:rPr>
              <w:fldChar w:fldCharType="separate"/>
            </w:r>
            <w:r w:rsidR="00263CCB">
              <w:rPr>
                <w:rFonts w:ascii="Times New Roman" w:hAnsi="Times New Roman"/>
                <w:noProof/>
                <w:webHidden/>
              </w:rPr>
              <w:t>36</w:t>
            </w:r>
            <w:r w:rsidR="000C4D8F" w:rsidRPr="00DB5AC1">
              <w:rPr>
                <w:rFonts w:ascii="Times New Roman" w:hAnsi="Times New Roman"/>
                <w:noProof/>
                <w:webHidden/>
              </w:rPr>
              <w:fldChar w:fldCharType="end"/>
            </w:r>
          </w:hyperlink>
        </w:p>
        <w:p w14:paraId="38205A93" w14:textId="0660E301" w:rsidR="000C4D8F" w:rsidRPr="00DB5AC1" w:rsidRDefault="00F57171">
          <w:pPr>
            <w:pStyle w:val="TOC3"/>
            <w:tabs>
              <w:tab w:val="left" w:pos="1200"/>
              <w:tab w:val="right" w:leader="dot" w:pos="9016"/>
            </w:tabs>
            <w:rPr>
              <w:rFonts w:ascii="Times New Roman" w:hAnsi="Times New Roman"/>
              <w:noProof/>
              <w:kern w:val="2"/>
              <w:sz w:val="24"/>
              <w:szCs w:val="24"/>
              <w:lang w:val="en-IE" w:eastAsia="en-IE"/>
              <w14:ligatures w14:val="standardContextual"/>
            </w:rPr>
          </w:pPr>
          <w:hyperlink w:anchor="_Toc234341735" w:history="1">
            <w:r w:rsidR="000C4D8F" w:rsidRPr="00DB5AC1">
              <w:rPr>
                <w:rStyle w:val="Hyperlink"/>
                <w:rFonts w:ascii="Times New Roman" w:hAnsi="Times New Roman"/>
                <w:b/>
                <w:bCs/>
                <w:noProof/>
                <w:lang w:val="en-GB"/>
              </w:rPr>
              <w:t>3.1.4.</w:t>
            </w:r>
            <w:r w:rsidR="000C4D8F" w:rsidRPr="00DB5AC1">
              <w:rPr>
                <w:rFonts w:ascii="Times New Roman" w:hAnsi="Times New Roman"/>
                <w:noProof/>
                <w:kern w:val="2"/>
                <w:sz w:val="24"/>
                <w:szCs w:val="24"/>
                <w:lang w:val="en-IE" w:eastAsia="en-IE"/>
                <w14:ligatures w14:val="standardContextual"/>
              </w:rPr>
              <w:tab/>
            </w:r>
            <w:r w:rsidR="000C4D8F" w:rsidRPr="00DB5AC1">
              <w:rPr>
                <w:rStyle w:val="Hyperlink"/>
                <w:rFonts w:ascii="Times New Roman" w:hAnsi="Times New Roman"/>
                <w:b/>
                <w:bCs/>
                <w:noProof/>
                <w:lang w:val="en-GB"/>
              </w:rPr>
              <w:t>Barriers to market integration</w:t>
            </w:r>
            <w:r w:rsidR="000C4D8F" w:rsidRPr="00DB5AC1">
              <w:rPr>
                <w:rFonts w:ascii="Times New Roman" w:hAnsi="Times New Roman"/>
                <w:noProof/>
                <w:webHidden/>
              </w:rPr>
              <w:tab/>
            </w:r>
            <w:r w:rsidR="000C4D8F" w:rsidRPr="00DB5AC1">
              <w:rPr>
                <w:rFonts w:ascii="Times New Roman" w:hAnsi="Times New Roman"/>
                <w:noProof/>
                <w:webHidden/>
              </w:rPr>
              <w:fldChar w:fldCharType="begin"/>
            </w:r>
            <w:r w:rsidR="000C4D8F" w:rsidRPr="00DB5AC1">
              <w:rPr>
                <w:rFonts w:ascii="Times New Roman" w:hAnsi="Times New Roman"/>
                <w:noProof/>
                <w:webHidden/>
              </w:rPr>
              <w:instrText xml:space="preserve"> PAGEREF _Toc234341735 \h </w:instrText>
            </w:r>
            <w:r w:rsidR="000C4D8F" w:rsidRPr="00DB5AC1">
              <w:rPr>
                <w:rFonts w:ascii="Times New Roman" w:hAnsi="Times New Roman"/>
                <w:noProof/>
                <w:webHidden/>
              </w:rPr>
            </w:r>
            <w:r w:rsidR="000C4D8F" w:rsidRPr="00DB5AC1">
              <w:rPr>
                <w:rFonts w:ascii="Times New Roman" w:hAnsi="Times New Roman"/>
                <w:noProof/>
                <w:webHidden/>
              </w:rPr>
              <w:fldChar w:fldCharType="separate"/>
            </w:r>
            <w:r w:rsidR="00263CCB">
              <w:rPr>
                <w:rFonts w:ascii="Times New Roman" w:hAnsi="Times New Roman"/>
                <w:noProof/>
                <w:webHidden/>
              </w:rPr>
              <w:t>37</w:t>
            </w:r>
            <w:r w:rsidR="000C4D8F" w:rsidRPr="00DB5AC1">
              <w:rPr>
                <w:rFonts w:ascii="Times New Roman" w:hAnsi="Times New Roman"/>
                <w:noProof/>
                <w:webHidden/>
              </w:rPr>
              <w:fldChar w:fldCharType="end"/>
            </w:r>
          </w:hyperlink>
        </w:p>
        <w:p w14:paraId="4C3F9B7C" w14:textId="3F6C061F" w:rsidR="000C4D8F" w:rsidRPr="00DB5AC1" w:rsidRDefault="00F57171">
          <w:pPr>
            <w:pStyle w:val="TOC3"/>
            <w:tabs>
              <w:tab w:val="left" w:pos="1200"/>
              <w:tab w:val="right" w:leader="dot" w:pos="9016"/>
            </w:tabs>
            <w:rPr>
              <w:rFonts w:ascii="Times New Roman" w:hAnsi="Times New Roman"/>
              <w:noProof/>
              <w:kern w:val="2"/>
              <w:sz w:val="24"/>
              <w:szCs w:val="24"/>
              <w:lang w:val="en-IE" w:eastAsia="en-IE"/>
              <w14:ligatures w14:val="standardContextual"/>
            </w:rPr>
          </w:pPr>
          <w:hyperlink w:anchor="_Toc234341736" w:history="1">
            <w:r w:rsidR="000C4D8F" w:rsidRPr="00DB5AC1">
              <w:rPr>
                <w:rStyle w:val="Hyperlink"/>
                <w:rFonts w:ascii="Times New Roman" w:hAnsi="Times New Roman"/>
                <w:b/>
                <w:bCs/>
                <w:noProof/>
                <w:lang w:val="en-GB"/>
              </w:rPr>
              <w:t>3.1.5.</w:t>
            </w:r>
            <w:r w:rsidR="000C4D8F" w:rsidRPr="00DB5AC1">
              <w:rPr>
                <w:rFonts w:ascii="Times New Roman" w:hAnsi="Times New Roman"/>
                <w:noProof/>
                <w:kern w:val="2"/>
                <w:sz w:val="24"/>
                <w:szCs w:val="24"/>
                <w:lang w:val="en-IE" w:eastAsia="en-IE"/>
                <w14:ligatures w14:val="standardContextual"/>
              </w:rPr>
              <w:tab/>
            </w:r>
            <w:r w:rsidR="000C4D8F" w:rsidRPr="00DB5AC1">
              <w:rPr>
                <w:rStyle w:val="Hyperlink"/>
                <w:rFonts w:ascii="Times New Roman" w:hAnsi="Times New Roman"/>
                <w:b/>
                <w:bCs/>
                <w:noProof/>
                <w:lang w:val="en-GB"/>
              </w:rPr>
              <w:t>Cross-border allocation of funds: efficiency and resilience</w:t>
            </w:r>
            <w:r w:rsidR="000C4D8F" w:rsidRPr="00DB5AC1">
              <w:rPr>
                <w:rFonts w:ascii="Times New Roman" w:hAnsi="Times New Roman"/>
                <w:noProof/>
                <w:webHidden/>
              </w:rPr>
              <w:tab/>
            </w:r>
            <w:r w:rsidR="000C4D8F" w:rsidRPr="00DB5AC1">
              <w:rPr>
                <w:rFonts w:ascii="Times New Roman" w:hAnsi="Times New Roman"/>
                <w:noProof/>
                <w:webHidden/>
              </w:rPr>
              <w:fldChar w:fldCharType="begin"/>
            </w:r>
            <w:r w:rsidR="000C4D8F" w:rsidRPr="00DB5AC1">
              <w:rPr>
                <w:rFonts w:ascii="Times New Roman" w:hAnsi="Times New Roman"/>
                <w:noProof/>
                <w:webHidden/>
              </w:rPr>
              <w:instrText xml:space="preserve"> PAGEREF _Toc234341736 \h </w:instrText>
            </w:r>
            <w:r w:rsidR="000C4D8F" w:rsidRPr="00DB5AC1">
              <w:rPr>
                <w:rFonts w:ascii="Times New Roman" w:hAnsi="Times New Roman"/>
                <w:noProof/>
                <w:webHidden/>
              </w:rPr>
            </w:r>
            <w:r w:rsidR="000C4D8F" w:rsidRPr="00DB5AC1">
              <w:rPr>
                <w:rFonts w:ascii="Times New Roman" w:hAnsi="Times New Roman"/>
                <w:noProof/>
                <w:webHidden/>
              </w:rPr>
              <w:fldChar w:fldCharType="separate"/>
            </w:r>
            <w:r w:rsidR="00263CCB">
              <w:rPr>
                <w:rFonts w:ascii="Times New Roman" w:hAnsi="Times New Roman"/>
                <w:noProof/>
                <w:webHidden/>
              </w:rPr>
              <w:t>42</w:t>
            </w:r>
            <w:r w:rsidR="000C4D8F" w:rsidRPr="00DB5AC1">
              <w:rPr>
                <w:rFonts w:ascii="Times New Roman" w:hAnsi="Times New Roman"/>
                <w:noProof/>
                <w:webHidden/>
              </w:rPr>
              <w:fldChar w:fldCharType="end"/>
            </w:r>
          </w:hyperlink>
        </w:p>
        <w:p w14:paraId="3F3CB4F8" w14:textId="0D9066A0" w:rsidR="000C4D8F" w:rsidRPr="00DB5AC1" w:rsidRDefault="00F57171">
          <w:pPr>
            <w:pStyle w:val="TOC3"/>
            <w:tabs>
              <w:tab w:val="left" w:pos="1200"/>
              <w:tab w:val="right" w:leader="dot" w:pos="9016"/>
            </w:tabs>
            <w:rPr>
              <w:rFonts w:ascii="Times New Roman" w:hAnsi="Times New Roman"/>
              <w:noProof/>
              <w:kern w:val="2"/>
              <w:sz w:val="24"/>
              <w:szCs w:val="24"/>
              <w:lang w:val="en-IE" w:eastAsia="en-IE"/>
              <w14:ligatures w14:val="standardContextual"/>
            </w:rPr>
          </w:pPr>
          <w:hyperlink w:anchor="_Toc234341737" w:history="1">
            <w:r w:rsidR="000C4D8F" w:rsidRPr="00DB5AC1">
              <w:rPr>
                <w:rStyle w:val="Hyperlink"/>
                <w:rFonts w:ascii="Times New Roman" w:hAnsi="Times New Roman"/>
                <w:b/>
                <w:bCs/>
                <w:noProof/>
                <w:lang w:val="en-GB"/>
              </w:rPr>
              <w:t>3.1.6.</w:t>
            </w:r>
            <w:r w:rsidR="000C4D8F" w:rsidRPr="00DB5AC1">
              <w:rPr>
                <w:rFonts w:ascii="Times New Roman" w:hAnsi="Times New Roman"/>
                <w:noProof/>
                <w:kern w:val="2"/>
                <w:sz w:val="24"/>
                <w:szCs w:val="24"/>
                <w:lang w:val="en-IE" w:eastAsia="en-IE"/>
                <w14:ligatures w14:val="standardContextual"/>
              </w:rPr>
              <w:tab/>
            </w:r>
            <w:r w:rsidR="000C4D8F" w:rsidRPr="00DB5AC1">
              <w:rPr>
                <w:rStyle w:val="Hyperlink"/>
                <w:rFonts w:ascii="Times New Roman" w:hAnsi="Times New Roman"/>
                <w:b/>
                <w:bCs/>
                <w:noProof/>
                <w:lang w:val="en-GB"/>
              </w:rPr>
              <w:t>Safety nets and resolution strategies</w:t>
            </w:r>
            <w:r w:rsidR="000C4D8F" w:rsidRPr="00DB5AC1">
              <w:rPr>
                <w:rFonts w:ascii="Times New Roman" w:hAnsi="Times New Roman"/>
                <w:noProof/>
                <w:webHidden/>
              </w:rPr>
              <w:tab/>
            </w:r>
            <w:r w:rsidR="000C4D8F" w:rsidRPr="00DB5AC1">
              <w:rPr>
                <w:rFonts w:ascii="Times New Roman" w:hAnsi="Times New Roman"/>
                <w:noProof/>
                <w:webHidden/>
              </w:rPr>
              <w:fldChar w:fldCharType="begin"/>
            </w:r>
            <w:r w:rsidR="000C4D8F" w:rsidRPr="00DB5AC1">
              <w:rPr>
                <w:rFonts w:ascii="Times New Roman" w:hAnsi="Times New Roman"/>
                <w:noProof/>
                <w:webHidden/>
              </w:rPr>
              <w:instrText xml:space="preserve"> PAGEREF _Toc234341737 \h </w:instrText>
            </w:r>
            <w:r w:rsidR="000C4D8F" w:rsidRPr="00DB5AC1">
              <w:rPr>
                <w:rFonts w:ascii="Times New Roman" w:hAnsi="Times New Roman"/>
                <w:noProof/>
                <w:webHidden/>
              </w:rPr>
            </w:r>
            <w:r w:rsidR="000C4D8F" w:rsidRPr="00DB5AC1">
              <w:rPr>
                <w:rFonts w:ascii="Times New Roman" w:hAnsi="Times New Roman"/>
                <w:noProof/>
                <w:webHidden/>
              </w:rPr>
              <w:fldChar w:fldCharType="separate"/>
            </w:r>
            <w:r w:rsidR="00263CCB">
              <w:rPr>
                <w:rFonts w:ascii="Times New Roman" w:hAnsi="Times New Roman"/>
                <w:noProof/>
                <w:webHidden/>
              </w:rPr>
              <w:t>43</w:t>
            </w:r>
            <w:r w:rsidR="000C4D8F" w:rsidRPr="00DB5AC1">
              <w:rPr>
                <w:rFonts w:ascii="Times New Roman" w:hAnsi="Times New Roman"/>
                <w:noProof/>
                <w:webHidden/>
              </w:rPr>
              <w:fldChar w:fldCharType="end"/>
            </w:r>
          </w:hyperlink>
        </w:p>
        <w:p w14:paraId="16F76E87" w14:textId="42FB69D4" w:rsidR="000C4D8F" w:rsidRPr="00DB5AC1" w:rsidRDefault="00F57171">
          <w:pPr>
            <w:pStyle w:val="TOC3"/>
            <w:tabs>
              <w:tab w:val="left" w:pos="1200"/>
              <w:tab w:val="right" w:leader="dot" w:pos="9016"/>
            </w:tabs>
            <w:rPr>
              <w:rFonts w:ascii="Times New Roman" w:hAnsi="Times New Roman"/>
              <w:noProof/>
              <w:kern w:val="2"/>
              <w:sz w:val="24"/>
              <w:szCs w:val="24"/>
              <w:lang w:val="en-IE" w:eastAsia="en-IE"/>
              <w14:ligatures w14:val="standardContextual"/>
            </w:rPr>
          </w:pPr>
          <w:hyperlink w:anchor="_Toc234341738" w:history="1">
            <w:r w:rsidR="000C4D8F" w:rsidRPr="00DB5AC1">
              <w:rPr>
                <w:rStyle w:val="Hyperlink"/>
                <w:rFonts w:ascii="Times New Roman" w:hAnsi="Times New Roman"/>
                <w:b/>
                <w:bCs/>
                <w:noProof/>
                <w:lang w:val="en-GB"/>
              </w:rPr>
              <w:t>3.1.7.</w:t>
            </w:r>
            <w:r w:rsidR="000C4D8F" w:rsidRPr="00DB5AC1">
              <w:rPr>
                <w:rFonts w:ascii="Times New Roman" w:hAnsi="Times New Roman"/>
                <w:noProof/>
                <w:kern w:val="2"/>
                <w:sz w:val="24"/>
                <w:szCs w:val="24"/>
                <w:lang w:val="en-IE" w:eastAsia="en-IE"/>
                <w14:ligatures w14:val="standardContextual"/>
              </w:rPr>
              <w:tab/>
            </w:r>
            <w:r w:rsidR="000C4D8F" w:rsidRPr="00DB5AC1">
              <w:rPr>
                <w:rStyle w:val="Hyperlink"/>
                <w:rFonts w:ascii="Times New Roman" w:hAnsi="Times New Roman"/>
                <w:b/>
                <w:bCs/>
                <w:noProof/>
                <w:lang w:val="en-GB"/>
              </w:rPr>
              <w:t>Liquidity in resolution</w:t>
            </w:r>
            <w:r w:rsidR="000C4D8F" w:rsidRPr="00DB5AC1">
              <w:rPr>
                <w:rFonts w:ascii="Times New Roman" w:hAnsi="Times New Roman"/>
                <w:noProof/>
                <w:webHidden/>
              </w:rPr>
              <w:tab/>
            </w:r>
            <w:r w:rsidR="000C4D8F" w:rsidRPr="00DB5AC1">
              <w:rPr>
                <w:rFonts w:ascii="Times New Roman" w:hAnsi="Times New Roman"/>
                <w:noProof/>
                <w:webHidden/>
              </w:rPr>
              <w:fldChar w:fldCharType="begin"/>
            </w:r>
            <w:r w:rsidR="000C4D8F" w:rsidRPr="00DB5AC1">
              <w:rPr>
                <w:rFonts w:ascii="Times New Roman" w:hAnsi="Times New Roman"/>
                <w:noProof/>
                <w:webHidden/>
              </w:rPr>
              <w:instrText xml:space="preserve"> PAGEREF _Toc234341738 \h </w:instrText>
            </w:r>
            <w:r w:rsidR="000C4D8F" w:rsidRPr="00DB5AC1">
              <w:rPr>
                <w:rFonts w:ascii="Times New Roman" w:hAnsi="Times New Roman"/>
                <w:noProof/>
                <w:webHidden/>
              </w:rPr>
            </w:r>
            <w:r w:rsidR="000C4D8F" w:rsidRPr="00DB5AC1">
              <w:rPr>
                <w:rFonts w:ascii="Times New Roman" w:hAnsi="Times New Roman"/>
                <w:noProof/>
                <w:webHidden/>
              </w:rPr>
              <w:fldChar w:fldCharType="separate"/>
            </w:r>
            <w:r w:rsidR="00263CCB">
              <w:rPr>
                <w:rFonts w:ascii="Times New Roman" w:hAnsi="Times New Roman"/>
                <w:noProof/>
                <w:webHidden/>
              </w:rPr>
              <w:t>46</w:t>
            </w:r>
            <w:r w:rsidR="000C4D8F" w:rsidRPr="00DB5AC1">
              <w:rPr>
                <w:rFonts w:ascii="Times New Roman" w:hAnsi="Times New Roman"/>
                <w:noProof/>
                <w:webHidden/>
              </w:rPr>
              <w:fldChar w:fldCharType="end"/>
            </w:r>
          </w:hyperlink>
        </w:p>
        <w:p w14:paraId="2D58021E" w14:textId="22829419" w:rsidR="000C4D8F" w:rsidRPr="00DB5AC1" w:rsidRDefault="00F57171">
          <w:pPr>
            <w:pStyle w:val="TOC2"/>
            <w:tabs>
              <w:tab w:val="left" w:pos="960"/>
              <w:tab w:val="right" w:leader="dot" w:pos="9016"/>
            </w:tabs>
            <w:rPr>
              <w:rFonts w:ascii="Times New Roman" w:eastAsiaTheme="minorEastAsia" w:hAnsi="Times New Roman" w:cs="Times New Roman"/>
              <w:noProof/>
              <w:kern w:val="2"/>
              <w:sz w:val="24"/>
              <w:szCs w:val="24"/>
              <w:lang w:eastAsia="en-IE"/>
              <w14:ligatures w14:val="standardContextual"/>
            </w:rPr>
          </w:pPr>
          <w:hyperlink w:anchor="_Toc234341739" w:history="1">
            <w:r w:rsidR="000C4D8F" w:rsidRPr="00DB5AC1">
              <w:rPr>
                <w:rStyle w:val="Hyperlink"/>
                <w:rFonts w:ascii="Times New Roman" w:hAnsi="Times New Roman" w:cs="Times New Roman"/>
                <w:b/>
                <w:noProof/>
                <w:lang w:val="en-GB"/>
              </w:rPr>
              <w:t>3.2.</w:t>
            </w:r>
            <w:r w:rsidR="000C4D8F" w:rsidRPr="00DB5AC1">
              <w:rPr>
                <w:rFonts w:ascii="Times New Roman" w:eastAsiaTheme="minorEastAsia" w:hAnsi="Times New Roman" w:cs="Times New Roman"/>
                <w:noProof/>
                <w:kern w:val="2"/>
                <w:sz w:val="24"/>
                <w:szCs w:val="24"/>
                <w:lang w:eastAsia="en-IE"/>
                <w14:ligatures w14:val="standardContextual"/>
              </w:rPr>
              <w:tab/>
            </w:r>
            <w:r w:rsidR="000C4D8F" w:rsidRPr="00DB5AC1">
              <w:rPr>
                <w:rStyle w:val="Hyperlink"/>
                <w:rFonts w:ascii="Times New Roman" w:hAnsi="Times New Roman" w:cs="Times New Roman"/>
                <w:b/>
                <w:noProof/>
                <w:lang w:val="en-GB"/>
              </w:rPr>
              <w:t>Implementation of international standards in the EU – Main issues</w:t>
            </w:r>
            <w:r w:rsidR="000C4D8F" w:rsidRPr="00DB5AC1">
              <w:rPr>
                <w:rFonts w:ascii="Times New Roman" w:hAnsi="Times New Roman" w:cs="Times New Roman"/>
                <w:noProof/>
                <w:webHidden/>
              </w:rPr>
              <w:tab/>
            </w:r>
            <w:r w:rsidR="000C4D8F" w:rsidRPr="00DB5AC1">
              <w:rPr>
                <w:rFonts w:ascii="Times New Roman" w:hAnsi="Times New Roman" w:cs="Times New Roman"/>
                <w:noProof/>
                <w:webHidden/>
              </w:rPr>
              <w:fldChar w:fldCharType="begin"/>
            </w:r>
            <w:r w:rsidR="000C4D8F" w:rsidRPr="00DB5AC1">
              <w:rPr>
                <w:rFonts w:ascii="Times New Roman" w:hAnsi="Times New Roman" w:cs="Times New Roman"/>
                <w:noProof/>
                <w:webHidden/>
              </w:rPr>
              <w:instrText xml:space="preserve"> PAGEREF _Toc234341739 \h </w:instrText>
            </w:r>
            <w:r w:rsidR="000C4D8F" w:rsidRPr="00DB5AC1">
              <w:rPr>
                <w:rFonts w:ascii="Times New Roman" w:hAnsi="Times New Roman" w:cs="Times New Roman"/>
                <w:noProof/>
                <w:webHidden/>
              </w:rPr>
            </w:r>
            <w:r w:rsidR="000C4D8F" w:rsidRPr="00DB5AC1">
              <w:rPr>
                <w:rFonts w:ascii="Times New Roman" w:hAnsi="Times New Roman" w:cs="Times New Roman"/>
                <w:noProof/>
                <w:webHidden/>
              </w:rPr>
              <w:fldChar w:fldCharType="separate"/>
            </w:r>
            <w:r w:rsidR="00263CCB">
              <w:rPr>
                <w:rFonts w:ascii="Times New Roman" w:hAnsi="Times New Roman" w:cs="Times New Roman"/>
                <w:noProof/>
                <w:webHidden/>
              </w:rPr>
              <w:t>47</w:t>
            </w:r>
            <w:r w:rsidR="000C4D8F" w:rsidRPr="00DB5AC1">
              <w:rPr>
                <w:rFonts w:ascii="Times New Roman" w:hAnsi="Times New Roman" w:cs="Times New Roman"/>
                <w:noProof/>
                <w:webHidden/>
              </w:rPr>
              <w:fldChar w:fldCharType="end"/>
            </w:r>
          </w:hyperlink>
        </w:p>
        <w:p w14:paraId="245600E8" w14:textId="4F897E53" w:rsidR="000C4D8F" w:rsidRPr="00DB5AC1" w:rsidRDefault="00F57171">
          <w:pPr>
            <w:pStyle w:val="TOC3"/>
            <w:tabs>
              <w:tab w:val="left" w:pos="1200"/>
              <w:tab w:val="right" w:leader="dot" w:pos="9016"/>
            </w:tabs>
            <w:rPr>
              <w:rFonts w:ascii="Times New Roman" w:hAnsi="Times New Roman"/>
              <w:noProof/>
              <w:kern w:val="2"/>
              <w:sz w:val="24"/>
              <w:szCs w:val="24"/>
              <w:lang w:val="en-IE" w:eastAsia="en-IE"/>
              <w14:ligatures w14:val="standardContextual"/>
            </w:rPr>
          </w:pPr>
          <w:hyperlink w:anchor="_Toc234341740" w:history="1">
            <w:r w:rsidR="000C4D8F" w:rsidRPr="00DB5AC1">
              <w:rPr>
                <w:rStyle w:val="Hyperlink"/>
                <w:rFonts w:ascii="Times New Roman" w:hAnsi="Times New Roman"/>
                <w:b/>
                <w:bCs/>
                <w:noProof/>
                <w:lang w:val="en-GB"/>
              </w:rPr>
              <w:t>3.2.1.</w:t>
            </w:r>
            <w:r w:rsidR="000C4D8F" w:rsidRPr="00DB5AC1">
              <w:rPr>
                <w:rFonts w:ascii="Times New Roman" w:hAnsi="Times New Roman"/>
                <w:noProof/>
                <w:kern w:val="2"/>
                <w:sz w:val="24"/>
                <w:szCs w:val="24"/>
                <w:lang w:val="en-IE" w:eastAsia="en-IE"/>
                <w14:ligatures w14:val="standardContextual"/>
              </w:rPr>
              <w:tab/>
            </w:r>
            <w:r w:rsidR="000C4D8F" w:rsidRPr="00DB5AC1">
              <w:rPr>
                <w:rStyle w:val="Hyperlink"/>
                <w:rFonts w:ascii="Times New Roman" w:hAnsi="Times New Roman"/>
                <w:b/>
                <w:noProof/>
                <w:lang w:val="en-GB"/>
              </w:rPr>
              <w:t>Output floor</w:t>
            </w:r>
            <w:r w:rsidR="000C4D8F" w:rsidRPr="00DB5AC1">
              <w:rPr>
                <w:rFonts w:ascii="Times New Roman" w:hAnsi="Times New Roman"/>
                <w:noProof/>
                <w:webHidden/>
              </w:rPr>
              <w:tab/>
            </w:r>
            <w:r w:rsidR="000C4D8F" w:rsidRPr="00DB5AC1">
              <w:rPr>
                <w:rFonts w:ascii="Times New Roman" w:hAnsi="Times New Roman"/>
                <w:noProof/>
                <w:webHidden/>
              </w:rPr>
              <w:fldChar w:fldCharType="begin"/>
            </w:r>
            <w:r w:rsidR="000C4D8F" w:rsidRPr="00DB5AC1">
              <w:rPr>
                <w:rFonts w:ascii="Times New Roman" w:hAnsi="Times New Roman"/>
                <w:noProof/>
                <w:webHidden/>
              </w:rPr>
              <w:instrText xml:space="preserve"> PAGEREF _Toc234341740 \h </w:instrText>
            </w:r>
            <w:r w:rsidR="000C4D8F" w:rsidRPr="00DB5AC1">
              <w:rPr>
                <w:rFonts w:ascii="Times New Roman" w:hAnsi="Times New Roman"/>
                <w:noProof/>
                <w:webHidden/>
              </w:rPr>
            </w:r>
            <w:r w:rsidR="000C4D8F" w:rsidRPr="00DB5AC1">
              <w:rPr>
                <w:rFonts w:ascii="Times New Roman" w:hAnsi="Times New Roman"/>
                <w:noProof/>
                <w:webHidden/>
              </w:rPr>
              <w:fldChar w:fldCharType="separate"/>
            </w:r>
            <w:r w:rsidR="00263CCB">
              <w:rPr>
                <w:rFonts w:ascii="Times New Roman" w:hAnsi="Times New Roman"/>
                <w:noProof/>
                <w:webHidden/>
              </w:rPr>
              <w:t>48</w:t>
            </w:r>
            <w:r w:rsidR="000C4D8F" w:rsidRPr="00DB5AC1">
              <w:rPr>
                <w:rFonts w:ascii="Times New Roman" w:hAnsi="Times New Roman"/>
                <w:noProof/>
                <w:webHidden/>
              </w:rPr>
              <w:fldChar w:fldCharType="end"/>
            </w:r>
          </w:hyperlink>
        </w:p>
        <w:p w14:paraId="126D8D1D" w14:textId="2B26D577" w:rsidR="000C4D8F" w:rsidRPr="00DB5AC1" w:rsidRDefault="00F57171">
          <w:pPr>
            <w:pStyle w:val="TOC3"/>
            <w:tabs>
              <w:tab w:val="left" w:pos="1200"/>
              <w:tab w:val="right" w:leader="dot" w:pos="9016"/>
            </w:tabs>
            <w:rPr>
              <w:rFonts w:ascii="Times New Roman" w:hAnsi="Times New Roman"/>
              <w:noProof/>
              <w:kern w:val="2"/>
              <w:sz w:val="24"/>
              <w:szCs w:val="24"/>
              <w:lang w:val="en-IE" w:eastAsia="en-IE"/>
              <w14:ligatures w14:val="standardContextual"/>
            </w:rPr>
          </w:pPr>
          <w:hyperlink w:anchor="_Toc234341741" w:history="1">
            <w:r w:rsidR="000C4D8F" w:rsidRPr="00DB5AC1">
              <w:rPr>
                <w:rStyle w:val="Hyperlink"/>
                <w:rFonts w:ascii="Times New Roman" w:hAnsi="Times New Roman"/>
                <w:b/>
                <w:bCs/>
                <w:noProof/>
                <w:lang w:val="en-GB"/>
              </w:rPr>
              <w:t>3.2.2.</w:t>
            </w:r>
            <w:r w:rsidR="000C4D8F" w:rsidRPr="00DB5AC1">
              <w:rPr>
                <w:rFonts w:ascii="Times New Roman" w:hAnsi="Times New Roman"/>
                <w:noProof/>
                <w:kern w:val="2"/>
                <w:sz w:val="24"/>
                <w:szCs w:val="24"/>
                <w:lang w:val="en-IE" w:eastAsia="en-IE"/>
                <w14:ligatures w14:val="standardContextual"/>
              </w:rPr>
              <w:tab/>
            </w:r>
            <w:r w:rsidR="000C4D8F" w:rsidRPr="00DB5AC1">
              <w:rPr>
                <w:rStyle w:val="Hyperlink"/>
                <w:rFonts w:ascii="Times New Roman" w:hAnsi="Times New Roman"/>
                <w:b/>
                <w:bCs/>
                <w:noProof/>
                <w:lang w:val="en-GB"/>
              </w:rPr>
              <w:t>Credit risk</w:t>
            </w:r>
            <w:r w:rsidR="000C4D8F" w:rsidRPr="00DB5AC1">
              <w:rPr>
                <w:rFonts w:ascii="Times New Roman" w:hAnsi="Times New Roman"/>
                <w:noProof/>
                <w:webHidden/>
              </w:rPr>
              <w:tab/>
            </w:r>
            <w:r w:rsidR="000C4D8F" w:rsidRPr="00DB5AC1">
              <w:rPr>
                <w:rFonts w:ascii="Times New Roman" w:hAnsi="Times New Roman"/>
                <w:noProof/>
                <w:webHidden/>
              </w:rPr>
              <w:fldChar w:fldCharType="begin"/>
            </w:r>
            <w:r w:rsidR="000C4D8F" w:rsidRPr="00DB5AC1">
              <w:rPr>
                <w:rFonts w:ascii="Times New Roman" w:hAnsi="Times New Roman"/>
                <w:noProof/>
                <w:webHidden/>
              </w:rPr>
              <w:instrText xml:space="preserve"> PAGEREF _Toc234341741 \h </w:instrText>
            </w:r>
            <w:r w:rsidR="000C4D8F" w:rsidRPr="00DB5AC1">
              <w:rPr>
                <w:rFonts w:ascii="Times New Roman" w:hAnsi="Times New Roman"/>
                <w:noProof/>
                <w:webHidden/>
              </w:rPr>
            </w:r>
            <w:r w:rsidR="000C4D8F" w:rsidRPr="00DB5AC1">
              <w:rPr>
                <w:rFonts w:ascii="Times New Roman" w:hAnsi="Times New Roman"/>
                <w:noProof/>
                <w:webHidden/>
              </w:rPr>
              <w:fldChar w:fldCharType="separate"/>
            </w:r>
            <w:r w:rsidR="00263CCB">
              <w:rPr>
                <w:rFonts w:ascii="Times New Roman" w:hAnsi="Times New Roman"/>
                <w:noProof/>
                <w:webHidden/>
              </w:rPr>
              <w:t>50</w:t>
            </w:r>
            <w:r w:rsidR="000C4D8F" w:rsidRPr="00DB5AC1">
              <w:rPr>
                <w:rFonts w:ascii="Times New Roman" w:hAnsi="Times New Roman"/>
                <w:noProof/>
                <w:webHidden/>
              </w:rPr>
              <w:fldChar w:fldCharType="end"/>
            </w:r>
          </w:hyperlink>
        </w:p>
        <w:p w14:paraId="0FCB5A4B" w14:textId="7794BABF" w:rsidR="000C4D8F" w:rsidRPr="00DB5AC1" w:rsidRDefault="00F57171">
          <w:pPr>
            <w:pStyle w:val="TOC3"/>
            <w:tabs>
              <w:tab w:val="left" w:pos="1200"/>
              <w:tab w:val="right" w:leader="dot" w:pos="9016"/>
            </w:tabs>
            <w:rPr>
              <w:rFonts w:ascii="Times New Roman" w:hAnsi="Times New Roman"/>
              <w:noProof/>
              <w:kern w:val="2"/>
              <w:sz w:val="24"/>
              <w:szCs w:val="24"/>
              <w:lang w:val="en-IE" w:eastAsia="en-IE"/>
              <w14:ligatures w14:val="standardContextual"/>
            </w:rPr>
          </w:pPr>
          <w:hyperlink w:anchor="_Toc234341742" w:history="1">
            <w:r w:rsidR="000C4D8F" w:rsidRPr="00DB5AC1">
              <w:rPr>
                <w:rStyle w:val="Hyperlink"/>
                <w:rFonts w:ascii="Times New Roman" w:hAnsi="Times New Roman"/>
                <w:b/>
                <w:noProof/>
                <w:lang w:val="en-GB"/>
              </w:rPr>
              <w:t>3.2.3.</w:t>
            </w:r>
            <w:r w:rsidR="000C4D8F" w:rsidRPr="00DB5AC1">
              <w:rPr>
                <w:rFonts w:ascii="Times New Roman" w:hAnsi="Times New Roman"/>
                <w:noProof/>
                <w:kern w:val="2"/>
                <w:sz w:val="24"/>
                <w:szCs w:val="24"/>
                <w:lang w:val="en-IE" w:eastAsia="en-IE"/>
                <w14:ligatures w14:val="standardContextual"/>
              </w:rPr>
              <w:tab/>
            </w:r>
            <w:r w:rsidR="000C4D8F" w:rsidRPr="00DB5AC1">
              <w:rPr>
                <w:rStyle w:val="Hyperlink"/>
                <w:rFonts w:ascii="Times New Roman" w:hAnsi="Times New Roman"/>
                <w:b/>
                <w:noProof/>
                <w:lang w:val="en-GB"/>
              </w:rPr>
              <w:t>Market risk and FRTB application</w:t>
            </w:r>
            <w:r w:rsidR="000C4D8F" w:rsidRPr="00DB5AC1">
              <w:rPr>
                <w:rFonts w:ascii="Times New Roman" w:hAnsi="Times New Roman"/>
                <w:noProof/>
                <w:webHidden/>
              </w:rPr>
              <w:tab/>
            </w:r>
            <w:r w:rsidR="000C4D8F" w:rsidRPr="00DB5AC1">
              <w:rPr>
                <w:rFonts w:ascii="Times New Roman" w:hAnsi="Times New Roman"/>
                <w:noProof/>
                <w:webHidden/>
              </w:rPr>
              <w:fldChar w:fldCharType="begin"/>
            </w:r>
            <w:r w:rsidR="000C4D8F" w:rsidRPr="00DB5AC1">
              <w:rPr>
                <w:rFonts w:ascii="Times New Roman" w:hAnsi="Times New Roman"/>
                <w:noProof/>
                <w:webHidden/>
              </w:rPr>
              <w:instrText xml:space="preserve"> PAGEREF _Toc234341742 \h </w:instrText>
            </w:r>
            <w:r w:rsidR="000C4D8F" w:rsidRPr="00DB5AC1">
              <w:rPr>
                <w:rFonts w:ascii="Times New Roman" w:hAnsi="Times New Roman"/>
                <w:noProof/>
                <w:webHidden/>
              </w:rPr>
            </w:r>
            <w:r w:rsidR="000C4D8F" w:rsidRPr="00DB5AC1">
              <w:rPr>
                <w:rFonts w:ascii="Times New Roman" w:hAnsi="Times New Roman"/>
                <w:noProof/>
                <w:webHidden/>
              </w:rPr>
              <w:fldChar w:fldCharType="separate"/>
            </w:r>
            <w:r w:rsidR="00263CCB">
              <w:rPr>
                <w:rFonts w:ascii="Times New Roman" w:hAnsi="Times New Roman"/>
                <w:noProof/>
                <w:webHidden/>
              </w:rPr>
              <w:t>51</w:t>
            </w:r>
            <w:r w:rsidR="000C4D8F" w:rsidRPr="00DB5AC1">
              <w:rPr>
                <w:rFonts w:ascii="Times New Roman" w:hAnsi="Times New Roman"/>
                <w:noProof/>
                <w:webHidden/>
              </w:rPr>
              <w:fldChar w:fldCharType="end"/>
            </w:r>
          </w:hyperlink>
        </w:p>
        <w:p w14:paraId="0753B109" w14:textId="1DF43F9B" w:rsidR="000C4D8F" w:rsidRPr="00DB5AC1" w:rsidRDefault="00F57171">
          <w:pPr>
            <w:pStyle w:val="TOC2"/>
            <w:tabs>
              <w:tab w:val="left" w:pos="960"/>
              <w:tab w:val="right" w:leader="dot" w:pos="9016"/>
            </w:tabs>
            <w:rPr>
              <w:rFonts w:ascii="Times New Roman" w:eastAsiaTheme="minorEastAsia" w:hAnsi="Times New Roman" w:cs="Times New Roman"/>
              <w:noProof/>
              <w:kern w:val="2"/>
              <w:sz w:val="24"/>
              <w:szCs w:val="24"/>
              <w:lang w:eastAsia="en-IE"/>
              <w14:ligatures w14:val="standardContextual"/>
            </w:rPr>
          </w:pPr>
          <w:hyperlink w:anchor="_Toc234341743" w:history="1">
            <w:r w:rsidR="000C4D8F" w:rsidRPr="00DB5AC1">
              <w:rPr>
                <w:rStyle w:val="Hyperlink"/>
                <w:rFonts w:ascii="Times New Roman" w:hAnsi="Times New Roman" w:cs="Times New Roman"/>
                <w:b/>
                <w:noProof/>
                <w:lang w:val="en-GB"/>
              </w:rPr>
              <w:t>3.3.</w:t>
            </w:r>
            <w:r w:rsidR="000C4D8F" w:rsidRPr="00DB5AC1">
              <w:rPr>
                <w:rFonts w:ascii="Times New Roman" w:eastAsiaTheme="minorEastAsia" w:hAnsi="Times New Roman" w:cs="Times New Roman"/>
                <w:noProof/>
                <w:kern w:val="2"/>
                <w:sz w:val="24"/>
                <w:szCs w:val="24"/>
                <w:lang w:eastAsia="en-IE"/>
                <w14:ligatures w14:val="standardContextual"/>
              </w:rPr>
              <w:tab/>
            </w:r>
            <w:r w:rsidR="000C4D8F" w:rsidRPr="00DB5AC1">
              <w:rPr>
                <w:rStyle w:val="Hyperlink"/>
                <w:rFonts w:ascii="Times New Roman" w:hAnsi="Times New Roman" w:cs="Times New Roman"/>
                <w:b/>
                <w:noProof/>
                <w:lang w:val="en-GB"/>
              </w:rPr>
              <w:t>Undue complexity of the framework – Main issues</w:t>
            </w:r>
            <w:r w:rsidR="000C4D8F" w:rsidRPr="00DB5AC1">
              <w:rPr>
                <w:rFonts w:ascii="Times New Roman" w:hAnsi="Times New Roman" w:cs="Times New Roman"/>
                <w:noProof/>
                <w:webHidden/>
              </w:rPr>
              <w:tab/>
            </w:r>
            <w:r w:rsidR="000C4D8F" w:rsidRPr="00DB5AC1">
              <w:rPr>
                <w:rFonts w:ascii="Times New Roman" w:hAnsi="Times New Roman" w:cs="Times New Roman"/>
                <w:noProof/>
                <w:webHidden/>
              </w:rPr>
              <w:fldChar w:fldCharType="begin"/>
            </w:r>
            <w:r w:rsidR="000C4D8F" w:rsidRPr="00DB5AC1">
              <w:rPr>
                <w:rFonts w:ascii="Times New Roman" w:hAnsi="Times New Roman" w:cs="Times New Roman"/>
                <w:noProof/>
                <w:webHidden/>
              </w:rPr>
              <w:instrText xml:space="preserve"> PAGEREF _Toc234341743 \h </w:instrText>
            </w:r>
            <w:r w:rsidR="000C4D8F" w:rsidRPr="00DB5AC1">
              <w:rPr>
                <w:rFonts w:ascii="Times New Roman" w:hAnsi="Times New Roman" w:cs="Times New Roman"/>
                <w:noProof/>
                <w:webHidden/>
              </w:rPr>
            </w:r>
            <w:r w:rsidR="000C4D8F" w:rsidRPr="00DB5AC1">
              <w:rPr>
                <w:rFonts w:ascii="Times New Roman" w:hAnsi="Times New Roman" w:cs="Times New Roman"/>
                <w:noProof/>
                <w:webHidden/>
              </w:rPr>
              <w:fldChar w:fldCharType="separate"/>
            </w:r>
            <w:r w:rsidR="00263CCB">
              <w:rPr>
                <w:rFonts w:ascii="Times New Roman" w:hAnsi="Times New Roman" w:cs="Times New Roman"/>
                <w:noProof/>
                <w:webHidden/>
              </w:rPr>
              <w:t>52</w:t>
            </w:r>
            <w:r w:rsidR="000C4D8F" w:rsidRPr="00DB5AC1">
              <w:rPr>
                <w:rFonts w:ascii="Times New Roman" w:hAnsi="Times New Roman" w:cs="Times New Roman"/>
                <w:noProof/>
                <w:webHidden/>
              </w:rPr>
              <w:fldChar w:fldCharType="end"/>
            </w:r>
          </w:hyperlink>
        </w:p>
        <w:p w14:paraId="30BB6C2E" w14:textId="25A89571" w:rsidR="000C4D8F" w:rsidRPr="00DB5AC1" w:rsidRDefault="00F57171">
          <w:pPr>
            <w:pStyle w:val="TOC3"/>
            <w:tabs>
              <w:tab w:val="left" w:pos="1200"/>
              <w:tab w:val="right" w:leader="dot" w:pos="9016"/>
            </w:tabs>
            <w:rPr>
              <w:rFonts w:ascii="Times New Roman" w:hAnsi="Times New Roman"/>
              <w:noProof/>
              <w:kern w:val="2"/>
              <w:sz w:val="24"/>
              <w:szCs w:val="24"/>
              <w:lang w:val="en-IE" w:eastAsia="en-IE"/>
              <w14:ligatures w14:val="standardContextual"/>
            </w:rPr>
          </w:pPr>
          <w:hyperlink w:anchor="_Toc234341744" w:history="1">
            <w:r w:rsidR="000C4D8F" w:rsidRPr="00DB5AC1">
              <w:rPr>
                <w:rStyle w:val="Hyperlink"/>
                <w:rFonts w:ascii="Times New Roman" w:hAnsi="Times New Roman"/>
                <w:b/>
                <w:bCs/>
                <w:noProof/>
                <w:lang w:val="en-GB"/>
              </w:rPr>
              <w:t>3.3.1.</w:t>
            </w:r>
            <w:r w:rsidR="000C4D8F" w:rsidRPr="00DB5AC1">
              <w:rPr>
                <w:rFonts w:ascii="Times New Roman" w:hAnsi="Times New Roman"/>
                <w:noProof/>
                <w:kern w:val="2"/>
                <w:sz w:val="24"/>
                <w:szCs w:val="24"/>
                <w:lang w:val="en-IE" w:eastAsia="en-IE"/>
                <w14:ligatures w14:val="standardContextual"/>
              </w:rPr>
              <w:tab/>
            </w:r>
            <w:r w:rsidR="000C4D8F" w:rsidRPr="00DB5AC1">
              <w:rPr>
                <w:rStyle w:val="Hyperlink"/>
                <w:rFonts w:ascii="Times New Roman" w:hAnsi="Times New Roman"/>
                <w:b/>
                <w:bCs/>
                <w:noProof/>
                <w:lang w:val="en-GB"/>
              </w:rPr>
              <w:t>Institutional set-up</w:t>
            </w:r>
            <w:r w:rsidR="000C4D8F" w:rsidRPr="00DB5AC1">
              <w:rPr>
                <w:rFonts w:ascii="Times New Roman" w:hAnsi="Times New Roman"/>
                <w:noProof/>
                <w:webHidden/>
              </w:rPr>
              <w:tab/>
            </w:r>
            <w:r w:rsidR="000C4D8F" w:rsidRPr="00DB5AC1">
              <w:rPr>
                <w:rFonts w:ascii="Times New Roman" w:hAnsi="Times New Roman"/>
                <w:noProof/>
                <w:webHidden/>
              </w:rPr>
              <w:fldChar w:fldCharType="begin"/>
            </w:r>
            <w:r w:rsidR="000C4D8F" w:rsidRPr="00DB5AC1">
              <w:rPr>
                <w:rFonts w:ascii="Times New Roman" w:hAnsi="Times New Roman"/>
                <w:noProof/>
                <w:webHidden/>
              </w:rPr>
              <w:instrText xml:space="preserve"> PAGEREF _Toc234341744 \h </w:instrText>
            </w:r>
            <w:r w:rsidR="000C4D8F" w:rsidRPr="00DB5AC1">
              <w:rPr>
                <w:rFonts w:ascii="Times New Roman" w:hAnsi="Times New Roman"/>
                <w:noProof/>
                <w:webHidden/>
              </w:rPr>
            </w:r>
            <w:r w:rsidR="000C4D8F" w:rsidRPr="00DB5AC1">
              <w:rPr>
                <w:rFonts w:ascii="Times New Roman" w:hAnsi="Times New Roman"/>
                <w:noProof/>
                <w:webHidden/>
              </w:rPr>
              <w:fldChar w:fldCharType="separate"/>
            </w:r>
            <w:r w:rsidR="00263CCB">
              <w:rPr>
                <w:rFonts w:ascii="Times New Roman" w:hAnsi="Times New Roman"/>
                <w:noProof/>
                <w:webHidden/>
              </w:rPr>
              <w:t>52</w:t>
            </w:r>
            <w:r w:rsidR="000C4D8F" w:rsidRPr="00DB5AC1">
              <w:rPr>
                <w:rFonts w:ascii="Times New Roman" w:hAnsi="Times New Roman"/>
                <w:noProof/>
                <w:webHidden/>
              </w:rPr>
              <w:fldChar w:fldCharType="end"/>
            </w:r>
          </w:hyperlink>
        </w:p>
        <w:p w14:paraId="2131E63F" w14:textId="1100992B" w:rsidR="000C4D8F" w:rsidRPr="00DB5AC1" w:rsidRDefault="00F57171">
          <w:pPr>
            <w:pStyle w:val="TOC3"/>
            <w:tabs>
              <w:tab w:val="left" w:pos="1200"/>
              <w:tab w:val="right" w:leader="dot" w:pos="9016"/>
            </w:tabs>
            <w:rPr>
              <w:rFonts w:ascii="Times New Roman" w:hAnsi="Times New Roman"/>
              <w:noProof/>
              <w:kern w:val="2"/>
              <w:sz w:val="24"/>
              <w:szCs w:val="24"/>
              <w:lang w:val="en-IE" w:eastAsia="en-IE"/>
              <w14:ligatures w14:val="standardContextual"/>
            </w:rPr>
          </w:pPr>
          <w:hyperlink w:anchor="_Toc234341745" w:history="1">
            <w:r w:rsidR="000C4D8F" w:rsidRPr="00DB5AC1">
              <w:rPr>
                <w:rStyle w:val="Hyperlink"/>
                <w:rFonts w:ascii="Times New Roman" w:hAnsi="Times New Roman"/>
                <w:b/>
                <w:bCs/>
                <w:noProof/>
                <w:lang w:val="en-GB"/>
              </w:rPr>
              <w:t>3.3.2.</w:t>
            </w:r>
            <w:r w:rsidR="000C4D8F" w:rsidRPr="00DB5AC1">
              <w:rPr>
                <w:rFonts w:ascii="Times New Roman" w:hAnsi="Times New Roman"/>
                <w:noProof/>
                <w:kern w:val="2"/>
                <w:sz w:val="24"/>
                <w:szCs w:val="24"/>
                <w:lang w:val="en-IE" w:eastAsia="en-IE"/>
                <w14:ligatures w14:val="standardContextual"/>
              </w:rPr>
              <w:tab/>
            </w:r>
            <w:r w:rsidR="000C4D8F" w:rsidRPr="00DB5AC1">
              <w:rPr>
                <w:rStyle w:val="Hyperlink"/>
                <w:rFonts w:ascii="Times New Roman" w:hAnsi="Times New Roman"/>
                <w:b/>
                <w:bCs/>
                <w:noProof/>
                <w:lang w:val="en-GB"/>
              </w:rPr>
              <w:t>Micro-prudential requirements</w:t>
            </w:r>
            <w:r w:rsidR="000C4D8F" w:rsidRPr="00DB5AC1">
              <w:rPr>
                <w:rFonts w:ascii="Times New Roman" w:hAnsi="Times New Roman"/>
                <w:noProof/>
                <w:webHidden/>
              </w:rPr>
              <w:tab/>
            </w:r>
            <w:r w:rsidR="000C4D8F" w:rsidRPr="00DB5AC1">
              <w:rPr>
                <w:rFonts w:ascii="Times New Roman" w:hAnsi="Times New Roman"/>
                <w:noProof/>
                <w:webHidden/>
              </w:rPr>
              <w:fldChar w:fldCharType="begin"/>
            </w:r>
            <w:r w:rsidR="000C4D8F" w:rsidRPr="00DB5AC1">
              <w:rPr>
                <w:rFonts w:ascii="Times New Roman" w:hAnsi="Times New Roman"/>
                <w:noProof/>
                <w:webHidden/>
              </w:rPr>
              <w:instrText xml:space="preserve"> PAGEREF _Toc234341745 \h </w:instrText>
            </w:r>
            <w:r w:rsidR="000C4D8F" w:rsidRPr="00DB5AC1">
              <w:rPr>
                <w:rFonts w:ascii="Times New Roman" w:hAnsi="Times New Roman"/>
                <w:noProof/>
                <w:webHidden/>
              </w:rPr>
            </w:r>
            <w:r w:rsidR="000C4D8F" w:rsidRPr="00DB5AC1">
              <w:rPr>
                <w:rFonts w:ascii="Times New Roman" w:hAnsi="Times New Roman"/>
                <w:noProof/>
                <w:webHidden/>
              </w:rPr>
              <w:fldChar w:fldCharType="separate"/>
            </w:r>
            <w:r w:rsidR="00263CCB">
              <w:rPr>
                <w:rFonts w:ascii="Times New Roman" w:hAnsi="Times New Roman"/>
                <w:noProof/>
                <w:webHidden/>
              </w:rPr>
              <w:t>57</w:t>
            </w:r>
            <w:r w:rsidR="000C4D8F" w:rsidRPr="00DB5AC1">
              <w:rPr>
                <w:rFonts w:ascii="Times New Roman" w:hAnsi="Times New Roman"/>
                <w:noProof/>
                <w:webHidden/>
              </w:rPr>
              <w:fldChar w:fldCharType="end"/>
            </w:r>
          </w:hyperlink>
        </w:p>
        <w:p w14:paraId="125AC7F2" w14:textId="3DA797F3" w:rsidR="000C4D8F" w:rsidRPr="00DB5AC1" w:rsidRDefault="00F57171">
          <w:pPr>
            <w:pStyle w:val="TOC3"/>
            <w:tabs>
              <w:tab w:val="left" w:pos="1200"/>
              <w:tab w:val="right" w:leader="dot" w:pos="9016"/>
            </w:tabs>
            <w:rPr>
              <w:rFonts w:ascii="Times New Roman" w:hAnsi="Times New Roman"/>
              <w:noProof/>
              <w:kern w:val="2"/>
              <w:sz w:val="24"/>
              <w:szCs w:val="24"/>
              <w:lang w:val="en-IE" w:eastAsia="en-IE"/>
              <w14:ligatures w14:val="standardContextual"/>
            </w:rPr>
          </w:pPr>
          <w:hyperlink w:anchor="_Toc234341746" w:history="1">
            <w:r w:rsidR="000C4D8F" w:rsidRPr="00DB5AC1">
              <w:rPr>
                <w:rStyle w:val="Hyperlink"/>
                <w:rFonts w:ascii="Times New Roman" w:hAnsi="Times New Roman"/>
                <w:b/>
                <w:noProof/>
                <w:lang w:val="fr-FR"/>
              </w:rPr>
              <w:t>3.3.3.</w:t>
            </w:r>
            <w:r w:rsidR="000C4D8F" w:rsidRPr="00DB5AC1">
              <w:rPr>
                <w:rFonts w:ascii="Times New Roman" w:hAnsi="Times New Roman"/>
                <w:noProof/>
                <w:kern w:val="2"/>
                <w:sz w:val="24"/>
                <w:szCs w:val="24"/>
                <w:lang w:val="en-IE" w:eastAsia="en-IE"/>
                <w14:ligatures w14:val="standardContextual"/>
              </w:rPr>
              <w:tab/>
            </w:r>
            <w:r w:rsidR="000C4D8F" w:rsidRPr="00DB5AC1">
              <w:rPr>
                <w:rStyle w:val="Hyperlink"/>
                <w:rFonts w:ascii="Times New Roman" w:hAnsi="Times New Roman"/>
                <w:b/>
                <w:bCs/>
                <w:noProof/>
                <w:lang w:val="en-GB"/>
              </w:rPr>
              <w:t>Crisis management</w:t>
            </w:r>
            <w:r w:rsidR="000C4D8F" w:rsidRPr="00DB5AC1">
              <w:rPr>
                <w:rFonts w:ascii="Times New Roman" w:hAnsi="Times New Roman"/>
                <w:noProof/>
                <w:webHidden/>
              </w:rPr>
              <w:tab/>
            </w:r>
            <w:r w:rsidR="000C4D8F" w:rsidRPr="00DB5AC1">
              <w:rPr>
                <w:rFonts w:ascii="Times New Roman" w:hAnsi="Times New Roman"/>
                <w:noProof/>
                <w:webHidden/>
              </w:rPr>
              <w:fldChar w:fldCharType="begin"/>
            </w:r>
            <w:r w:rsidR="000C4D8F" w:rsidRPr="00DB5AC1">
              <w:rPr>
                <w:rFonts w:ascii="Times New Roman" w:hAnsi="Times New Roman"/>
                <w:noProof/>
                <w:webHidden/>
              </w:rPr>
              <w:instrText xml:space="preserve"> PAGEREF _Toc234341746 \h </w:instrText>
            </w:r>
            <w:r w:rsidR="000C4D8F" w:rsidRPr="00DB5AC1">
              <w:rPr>
                <w:rFonts w:ascii="Times New Roman" w:hAnsi="Times New Roman"/>
                <w:noProof/>
                <w:webHidden/>
              </w:rPr>
            </w:r>
            <w:r w:rsidR="000C4D8F" w:rsidRPr="00DB5AC1">
              <w:rPr>
                <w:rFonts w:ascii="Times New Roman" w:hAnsi="Times New Roman"/>
                <w:noProof/>
                <w:webHidden/>
              </w:rPr>
              <w:fldChar w:fldCharType="separate"/>
            </w:r>
            <w:r w:rsidR="00263CCB">
              <w:rPr>
                <w:rFonts w:ascii="Times New Roman" w:hAnsi="Times New Roman"/>
                <w:noProof/>
                <w:webHidden/>
              </w:rPr>
              <w:t>62</w:t>
            </w:r>
            <w:r w:rsidR="000C4D8F" w:rsidRPr="00DB5AC1">
              <w:rPr>
                <w:rFonts w:ascii="Times New Roman" w:hAnsi="Times New Roman"/>
                <w:noProof/>
                <w:webHidden/>
              </w:rPr>
              <w:fldChar w:fldCharType="end"/>
            </w:r>
          </w:hyperlink>
        </w:p>
        <w:p w14:paraId="3FB54636" w14:textId="14DB1935" w:rsidR="000C4D8F" w:rsidRPr="00DB5AC1" w:rsidRDefault="00F57171">
          <w:pPr>
            <w:pStyle w:val="TOC3"/>
            <w:tabs>
              <w:tab w:val="left" w:pos="1200"/>
              <w:tab w:val="right" w:leader="dot" w:pos="9016"/>
            </w:tabs>
            <w:rPr>
              <w:rFonts w:ascii="Times New Roman" w:hAnsi="Times New Roman"/>
              <w:noProof/>
              <w:kern w:val="2"/>
              <w:sz w:val="24"/>
              <w:szCs w:val="24"/>
              <w:lang w:val="en-IE" w:eastAsia="en-IE"/>
              <w14:ligatures w14:val="standardContextual"/>
            </w:rPr>
          </w:pPr>
          <w:hyperlink w:anchor="_Toc234341747" w:history="1">
            <w:r w:rsidR="000C4D8F" w:rsidRPr="00DB5AC1">
              <w:rPr>
                <w:rStyle w:val="Hyperlink"/>
                <w:rFonts w:ascii="Times New Roman" w:hAnsi="Times New Roman"/>
                <w:b/>
                <w:bCs/>
                <w:noProof/>
                <w:lang w:val="en-GB"/>
              </w:rPr>
              <w:t>3.3.4.</w:t>
            </w:r>
            <w:r w:rsidR="000C4D8F" w:rsidRPr="00DB5AC1">
              <w:rPr>
                <w:rFonts w:ascii="Times New Roman" w:hAnsi="Times New Roman"/>
                <w:noProof/>
                <w:kern w:val="2"/>
                <w:sz w:val="24"/>
                <w:szCs w:val="24"/>
                <w:lang w:val="en-IE" w:eastAsia="en-IE"/>
                <w14:ligatures w14:val="standardContextual"/>
              </w:rPr>
              <w:tab/>
            </w:r>
            <w:r w:rsidR="000C4D8F" w:rsidRPr="00DB5AC1">
              <w:rPr>
                <w:rStyle w:val="Hyperlink"/>
                <w:rFonts w:ascii="Times New Roman" w:hAnsi="Times New Roman"/>
                <w:b/>
                <w:bCs/>
                <w:noProof/>
                <w:lang w:val="en-GB"/>
              </w:rPr>
              <w:t>Macroprudential</w:t>
            </w:r>
            <w:r w:rsidR="000C4D8F" w:rsidRPr="00DB5AC1">
              <w:rPr>
                <w:rFonts w:ascii="Times New Roman" w:hAnsi="Times New Roman"/>
                <w:noProof/>
                <w:webHidden/>
              </w:rPr>
              <w:tab/>
            </w:r>
            <w:r w:rsidR="000C4D8F" w:rsidRPr="00DB5AC1">
              <w:rPr>
                <w:rFonts w:ascii="Times New Roman" w:hAnsi="Times New Roman"/>
                <w:noProof/>
                <w:webHidden/>
              </w:rPr>
              <w:fldChar w:fldCharType="begin"/>
            </w:r>
            <w:r w:rsidR="000C4D8F" w:rsidRPr="00DB5AC1">
              <w:rPr>
                <w:rFonts w:ascii="Times New Roman" w:hAnsi="Times New Roman"/>
                <w:noProof/>
                <w:webHidden/>
              </w:rPr>
              <w:instrText xml:space="preserve"> PAGEREF _Toc234341747 \h </w:instrText>
            </w:r>
            <w:r w:rsidR="000C4D8F" w:rsidRPr="00DB5AC1">
              <w:rPr>
                <w:rFonts w:ascii="Times New Roman" w:hAnsi="Times New Roman"/>
                <w:noProof/>
                <w:webHidden/>
              </w:rPr>
            </w:r>
            <w:r w:rsidR="000C4D8F" w:rsidRPr="00DB5AC1">
              <w:rPr>
                <w:rFonts w:ascii="Times New Roman" w:hAnsi="Times New Roman"/>
                <w:noProof/>
                <w:webHidden/>
              </w:rPr>
              <w:fldChar w:fldCharType="separate"/>
            </w:r>
            <w:r w:rsidR="00263CCB">
              <w:rPr>
                <w:rFonts w:ascii="Times New Roman" w:hAnsi="Times New Roman"/>
                <w:noProof/>
                <w:webHidden/>
              </w:rPr>
              <w:t>64</w:t>
            </w:r>
            <w:r w:rsidR="000C4D8F" w:rsidRPr="00DB5AC1">
              <w:rPr>
                <w:rFonts w:ascii="Times New Roman" w:hAnsi="Times New Roman"/>
                <w:noProof/>
                <w:webHidden/>
              </w:rPr>
              <w:fldChar w:fldCharType="end"/>
            </w:r>
          </w:hyperlink>
        </w:p>
        <w:p w14:paraId="28536168" w14:textId="4BE91C2E" w:rsidR="000C4D8F" w:rsidRPr="00DB5AC1" w:rsidRDefault="00F57171">
          <w:pPr>
            <w:pStyle w:val="TOC3"/>
            <w:tabs>
              <w:tab w:val="left" w:pos="1200"/>
              <w:tab w:val="right" w:leader="dot" w:pos="9016"/>
            </w:tabs>
            <w:rPr>
              <w:rFonts w:ascii="Times New Roman" w:hAnsi="Times New Roman"/>
              <w:noProof/>
              <w:kern w:val="2"/>
              <w:sz w:val="24"/>
              <w:szCs w:val="24"/>
              <w:lang w:val="en-IE" w:eastAsia="en-IE"/>
              <w14:ligatures w14:val="standardContextual"/>
            </w:rPr>
          </w:pPr>
          <w:hyperlink w:anchor="_Toc234341748" w:history="1">
            <w:r w:rsidR="000C4D8F" w:rsidRPr="00DB5AC1">
              <w:rPr>
                <w:rStyle w:val="Hyperlink"/>
                <w:rFonts w:ascii="Times New Roman" w:hAnsi="Times New Roman"/>
                <w:b/>
                <w:bCs/>
                <w:noProof/>
                <w:lang w:val="en-GB"/>
              </w:rPr>
              <w:t>3.3.5.</w:t>
            </w:r>
            <w:r w:rsidR="000C4D8F" w:rsidRPr="00DB5AC1">
              <w:rPr>
                <w:rFonts w:ascii="Times New Roman" w:hAnsi="Times New Roman"/>
                <w:noProof/>
                <w:kern w:val="2"/>
                <w:sz w:val="24"/>
                <w:szCs w:val="24"/>
                <w:lang w:val="en-IE" w:eastAsia="en-IE"/>
                <w14:ligatures w14:val="standardContextual"/>
              </w:rPr>
              <w:tab/>
            </w:r>
            <w:r w:rsidR="000C4D8F" w:rsidRPr="00DB5AC1">
              <w:rPr>
                <w:rStyle w:val="Hyperlink"/>
                <w:rFonts w:ascii="Times New Roman" w:hAnsi="Times New Roman"/>
                <w:b/>
                <w:bCs/>
                <w:noProof/>
                <w:lang w:val="en-GB"/>
              </w:rPr>
              <w:t>Transversal issues related to capital stack</w:t>
            </w:r>
            <w:r w:rsidR="000C4D8F" w:rsidRPr="00DB5AC1">
              <w:rPr>
                <w:rFonts w:ascii="Times New Roman" w:hAnsi="Times New Roman"/>
                <w:noProof/>
                <w:webHidden/>
              </w:rPr>
              <w:tab/>
            </w:r>
            <w:r w:rsidR="000C4D8F" w:rsidRPr="00DB5AC1">
              <w:rPr>
                <w:rFonts w:ascii="Times New Roman" w:hAnsi="Times New Roman"/>
                <w:noProof/>
                <w:webHidden/>
              </w:rPr>
              <w:fldChar w:fldCharType="begin"/>
            </w:r>
            <w:r w:rsidR="000C4D8F" w:rsidRPr="00DB5AC1">
              <w:rPr>
                <w:rFonts w:ascii="Times New Roman" w:hAnsi="Times New Roman"/>
                <w:noProof/>
                <w:webHidden/>
              </w:rPr>
              <w:instrText xml:space="preserve"> PAGEREF _Toc234341748 \h </w:instrText>
            </w:r>
            <w:r w:rsidR="000C4D8F" w:rsidRPr="00DB5AC1">
              <w:rPr>
                <w:rFonts w:ascii="Times New Roman" w:hAnsi="Times New Roman"/>
                <w:noProof/>
                <w:webHidden/>
              </w:rPr>
            </w:r>
            <w:r w:rsidR="000C4D8F" w:rsidRPr="00DB5AC1">
              <w:rPr>
                <w:rFonts w:ascii="Times New Roman" w:hAnsi="Times New Roman"/>
                <w:noProof/>
                <w:webHidden/>
              </w:rPr>
              <w:fldChar w:fldCharType="separate"/>
            </w:r>
            <w:r w:rsidR="00263CCB">
              <w:rPr>
                <w:rFonts w:ascii="Times New Roman" w:hAnsi="Times New Roman"/>
                <w:noProof/>
                <w:webHidden/>
              </w:rPr>
              <w:t>66</w:t>
            </w:r>
            <w:r w:rsidR="000C4D8F" w:rsidRPr="00DB5AC1">
              <w:rPr>
                <w:rFonts w:ascii="Times New Roman" w:hAnsi="Times New Roman"/>
                <w:noProof/>
                <w:webHidden/>
              </w:rPr>
              <w:fldChar w:fldCharType="end"/>
            </w:r>
          </w:hyperlink>
        </w:p>
        <w:p w14:paraId="21CC99D1" w14:textId="7931BE00" w:rsidR="000C4D8F" w:rsidRPr="00DB5AC1" w:rsidRDefault="00F57171">
          <w:pPr>
            <w:pStyle w:val="TOC3"/>
            <w:tabs>
              <w:tab w:val="left" w:pos="1200"/>
              <w:tab w:val="right" w:leader="dot" w:pos="9016"/>
            </w:tabs>
            <w:rPr>
              <w:rFonts w:ascii="Times New Roman" w:hAnsi="Times New Roman"/>
              <w:noProof/>
              <w:kern w:val="2"/>
              <w:sz w:val="24"/>
              <w:szCs w:val="24"/>
              <w:lang w:val="en-IE" w:eastAsia="en-IE"/>
              <w14:ligatures w14:val="standardContextual"/>
            </w:rPr>
          </w:pPr>
          <w:hyperlink w:anchor="_Toc234341749" w:history="1">
            <w:r w:rsidR="000C4D8F" w:rsidRPr="00DB5AC1">
              <w:rPr>
                <w:rStyle w:val="Hyperlink"/>
                <w:rFonts w:ascii="Times New Roman" w:hAnsi="Times New Roman"/>
                <w:b/>
                <w:bCs/>
                <w:noProof/>
                <w:lang w:val="en-GB"/>
              </w:rPr>
              <w:t>3.3.6.</w:t>
            </w:r>
            <w:r w:rsidR="000C4D8F" w:rsidRPr="00DB5AC1">
              <w:rPr>
                <w:rFonts w:ascii="Times New Roman" w:hAnsi="Times New Roman"/>
                <w:noProof/>
                <w:kern w:val="2"/>
                <w:sz w:val="24"/>
                <w:szCs w:val="24"/>
                <w:lang w:val="en-IE" w:eastAsia="en-IE"/>
                <w14:ligatures w14:val="standardContextual"/>
              </w:rPr>
              <w:tab/>
            </w:r>
            <w:r w:rsidR="000C4D8F" w:rsidRPr="00DB5AC1">
              <w:rPr>
                <w:rStyle w:val="Hyperlink"/>
                <w:rFonts w:ascii="Times New Roman" w:hAnsi="Times New Roman"/>
                <w:b/>
                <w:bCs/>
                <w:noProof/>
                <w:lang w:val="en-GB"/>
              </w:rPr>
              <w:t>Proportionality</w:t>
            </w:r>
            <w:r w:rsidR="000C4D8F" w:rsidRPr="00DB5AC1">
              <w:rPr>
                <w:rFonts w:ascii="Times New Roman" w:hAnsi="Times New Roman"/>
                <w:noProof/>
                <w:webHidden/>
              </w:rPr>
              <w:tab/>
            </w:r>
            <w:r w:rsidR="000C4D8F" w:rsidRPr="00DB5AC1">
              <w:rPr>
                <w:rFonts w:ascii="Times New Roman" w:hAnsi="Times New Roman"/>
                <w:noProof/>
                <w:webHidden/>
              </w:rPr>
              <w:fldChar w:fldCharType="begin"/>
            </w:r>
            <w:r w:rsidR="000C4D8F" w:rsidRPr="00DB5AC1">
              <w:rPr>
                <w:rFonts w:ascii="Times New Roman" w:hAnsi="Times New Roman"/>
                <w:noProof/>
                <w:webHidden/>
              </w:rPr>
              <w:instrText xml:space="preserve"> PAGEREF _Toc234341749 \h </w:instrText>
            </w:r>
            <w:r w:rsidR="000C4D8F" w:rsidRPr="00DB5AC1">
              <w:rPr>
                <w:rFonts w:ascii="Times New Roman" w:hAnsi="Times New Roman"/>
                <w:noProof/>
                <w:webHidden/>
              </w:rPr>
            </w:r>
            <w:r w:rsidR="000C4D8F" w:rsidRPr="00DB5AC1">
              <w:rPr>
                <w:rFonts w:ascii="Times New Roman" w:hAnsi="Times New Roman"/>
                <w:noProof/>
                <w:webHidden/>
              </w:rPr>
              <w:fldChar w:fldCharType="separate"/>
            </w:r>
            <w:r w:rsidR="00263CCB">
              <w:rPr>
                <w:rFonts w:ascii="Times New Roman" w:hAnsi="Times New Roman"/>
                <w:noProof/>
                <w:webHidden/>
              </w:rPr>
              <w:t>68</w:t>
            </w:r>
            <w:r w:rsidR="000C4D8F" w:rsidRPr="00DB5AC1">
              <w:rPr>
                <w:rFonts w:ascii="Times New Roman" w:hAnsi="Times New Roman"/>
                <w:noProof/>
                <w:webHidden/>
              </w:rPr>
              <w:fldChar w:fldCharType="end"/>
            </w:r>
          </w:hyperlink>
        </w:p>
        <w:p w14:paraId="4135A1E5" w14:textId="7FFC6C64" w:rsidR="000C4D8F" w:rsidRPr="00DB5AC1" w:rsidRDefault="00F57171">
          <w:pPr>
            <w:pStyle w:val="TOC3"/>
            <w:tabs>
              <w:tab w:val="left" w:pos="1200"/>
              <w:tab w:val="right" w:leader="dot" w:pos="9016"/>
            </w:tabs>
            <w:rPr>
              <w:rFonts w:ascii="Times New Roman" w:hAnsi="Times New Roman"/>
              <w:noProof/>
              <w:kern w:val="2"/>
              <w:sz w:val="24"/>
              <w:szCs w:val="24"/>
              <w:lang w:val="en-IE" w:eastAsia="en-IE"/>
              <w14:ligatures w14:val="standardContextual"/>
            </w:rPr>
          </w:pPr>
          <w:hyperlink w:anchor="_Toc234341750" w:history="1">
            <w:r w:rsidR="000C4D8F" w:rsidRPr="00DB5AC1">
              <w:rPr>
                <w:rStyle w:val="Hyperlink"/>
                <w:rFonts w:ascii="Times New Roman" w:hAnsi="Times New Roman"/>
                <w:b/>
                <w:bCs/>
                <w:noProof/>
                <w:lang w:val="en-GB"/>
              </w:rPr>
              <w:t>3.3.7.</w:t>
            </w:r>
            <w:r w:rsidR="000C4D8F" w:rsidRPr="00DB5AC1">
              <w:rPr>
                <w:rFonts w:ascii="Times New Roman" w:hAnsi="Times New Roman"/>
                <w:noProof/>
                <w:kern w:val="2"/>
                <w:sz w:val="24"/>
                <w:szCs w:val="24"/>
                <w:lang w:val="en-IE" w:eastAsia="en-IE"/>
                <w14:ligatures w14:val="standardContextual"/>
              </w:rPr>
              <w:tab/>
            </w:r>
            <w:r w:rsidR="000C4D8F" w:rsidRPr="00DB5AC1">
              <w:rPr>
                <w:rStyle w:val="Hyperlink"/>
                <w:rFonts w:ascii="Times New Roman" w:hAnsi="Times New Roman"/>
                <w:b/>
                <w:bCs/>
                <w:noProof/>
                <w:lang w:val="en-GB"/>
              </w:rPr>
              <w:t>Other issues</w:t>
            </w:r>
            <w:r w:rsidR="000C4D8F" w:rsidRPr="00DB5AC1">
              <w:rPr>
                <w:rFonts w:ascii="Times New Roman" w:hAnsi="Times New Roman"/>
                <w:noProof/>
                <w:webHidden/>
              </w:rPr>
              <w:tab/>
            </w:r>
            <w:r w:rsidR="000C4D8F" w:rsidRPr="00DB5AC1">
              <w:rPr>
                <w:rFonts w:ascii="Times New Roman" w:hAnsi="Times New Roman"/>
                <w:noProof/>
                <w:webHidden/>
              </w:rPr>
              <w:fldChar w:fldCharType="begin"/>
            </w:r>
            <w:r w:rsidR="000C4D8F" w:rsidRPr="00DB5AC1">
              <w:rPr>
                <w:rFonts w:ascii="Times New Roman" w:hAnsi="Times New Roman"/>
                <w:noProof/>
                <w:webHidden/>
              </w:rPr>
              <w:instrText xml:space="preserve"> PAGEREF _Toc234341750 \h </w:instrText>
            </w:r>
            <w:r w:rsidR="000C4D8F" w:rsidRPr="00DB5AC1">
              <w:rPr>
                <w:rFonts w:ascii="Times New Roman" w:hAnsi="Times New Roman"/>
                <w:noProof/>
                <w:webHidden/>
              </w:rPr>
            </w:r>
            <w:r w:rsidR="000C4D8F" w:rsidRPr="00DB5AC1">
              <w:rPr>
                <w:rFonts w:ascii="Times New Roman" w:hAnsi="Times New Roman"/>
                <w:noProof/>
                <w:webHidden/>
              </w:rPr>
              <w:fldChar w:fldCharType="separate"/>
            </w:r>
            <w:r w:rsidR="00263CCB">
              <w:rPr>
                <w:rFonts w:ascii="Times New Roman" w:hAnsi="Times New Roman"/>
                <w:noProof/>
                <w:webHidden/>
              </w:rPr>
              <w:t>69</w:t>
            </w:r>
            <w:r w:rsidR="000C4D8F" w:rsidRPr="00DB5AC1">
              <w:rPr>
                <w:rFonts w:ascii="Times New Roman" w:hAnsi="Times New Roman"/>
                <w:noProof/>
                <w:webHidden/>
              </w:rPr>
              <w:fldChar w:fldCharType="end"/>
            </w:r>
          </w:hyperlink>
        </w:p>
        <w:p w14:paraId="4190A628" w14:textId="072DBBEA" w:rsidR="000C4D8F" w:rsidRPr="00DB5AC1" w:rsidRDefault="00F57171">
          <w:pPr>
            <w:pStyle w:val="TOC3"/>
            <w:tabs>
              <w:tab w:val="left" w:pos="1200"/>
              <w:tab w:val="right" w:leader="dot" w:pos="9016"/>
            </w:tabs>
            <w:rPr>
              <w:rFonts w:ascii="Times New Roman" w:hAnsi="Times New Roman"/>
              <w:noProof/>
              <w:kern w:val="2"/>
              <w:sz w:val="24"/>
              <w:szCs w:val="24"/>
              <w:lang w:val="en-IE" w:eastAsia="en-IE"/>
              <w14:ligatures w14:val="standardContextual"/>
            </w:rPr>
          </w:pPr>
          <w:hyperlink w:anchor="_Toc234341751" w:history="1">
            <w:r w:rsidR="000C4D8F" w:rsidRPr="00DB5AC1">
              <w:rPr>
                <w:rStyle w:val="Hyperlink"/>
                <w:rFonts w:ascii="Times New Roman" w:hAnsi="Times New Roman"/>
                <w:b/>
                <w:bCs/>
                <w:noProof/>
                <w:lang w:val="en-GB"/>
              </w:rPr>
              <w:t>3.3.8.</w:t>
            </w:r>
            <w:r w:rsidR="000C4D8F" w:rsidRPr="00DB5AC1">
              <w:rPr>
                <w:rFonts w:ascii="Times New Roman" w:hAnsi="Times New Roman"/>
                <w:noProof/>
                <w:kern w:val="2"/>
                <w:sz w:val="24"/>
                <w:szCs w:val="24"/>
                <w:lang w:val="en-IE" w:eastAsia="en-IE"/>
                <w14:ligatures w14:val="standardContextual"/>
              </w:rPr>
              <w:tab/>
            </w:r>
            <w:r w:rsidR="000C4D8F" w:rsidRPr="00DB5AC1">
              <w:rPr>
                <w:rStyle w:val="Hyperlink"/>
                <w:rFonts w:ascii="Times New Roman" w:hAnsi="Times New Roman"/>
                <w:b/>
                <w:bCs/>
                <w:noProof/>
                <w:lang w:val="en-GB"/>
              </w:rPr>
              <w:t>Prudential framework for investment firms (IFR/IFD)</w:t>
            </w:r>
            <w:r w:rsidR="000C4D8F" w:rsidRPr="00DB5AC1">
              <w:rPr>
                <w:rFonts w:ascii="Times New Roman" w:hAnsi="Times New Roman"/>
                <w:noProof/>
                <w:webHidden/>
              </w:rPr>
              <w:tab/>
            </w:r>
            <w:r w:rsidR="000C4D8F" w:rsidRPr="00DB5AC1">
              <w:rPr>
                <w:rFonts w:ascii="Times New Roman" w:hAnsi="Times New Roman"/>
                <w:noProof/>
                <w:webHidden/>
              </w:rPr>
              <w:fldChar w:fldCharType="begin"/>
            </w:r>
            <w:r w:rsidR="000C4D8F" w:rsidRPr="00DB5AC1">
              <w:rPr>
                <w:rFonts w:ascii="Times New Roman" w:hAnsi="Times New Roman"/>
                <w:noProof/>
                <w:webHidden/>
              </w:rPr>
              <w:instrText xml:space="preserve"> PAGEREF _Toc234341751 \h </w:instrText>
            </w:r>
            <w:r w:rsidR="000C4D8F" w:rsidRPr="00DB5AC1">
              <w:rPr>
                <w:rFonts w:ascii="Times New Roman" w:hAnsi="Times New Roman"/>
                <w:noProof/>
                <w:webHidden/>
              </w:rPr>
            </w:r>
            <w:r w:rsidR="000C4D8F" w:rsidRPr="00DB5AC1">
              <w:rPr>
                <w:rFonts w:ascii="Times New Roman" w:hAnsi="Times New Roman"/>
                <w:noProof/>
                <w:webHidden/>
              </w:rPr>
              <w:fldChar w:fldCharType="separate"/>
            </w:r>
            <w:r w:rsidR="00263CCB">
              <w:rPr>
                <w:rFonts w:ascii="Times New Roman" w:hAnsi="Times New Roman"/>
                <w:noProof/>
                <w:webHidden/>
              </w:rPr>
              <w:t>74</w:t>
            </w:r>
            <w:r w:rsidR="000C4D8F" w:rsidRPr="00DB5AC1">
              <w:rPr>
                <w:rFonts w:ascii="Times New Roman" w:hAnsi="Times New Roman"/>
                <w:noProof/>
                <w:webHidden/>
              </w:rPr>
              <w:fldChar w:fldCharType="end"/>
            </w:r>
          </w:hyperlink>
        </w:p>
        <w:p w14:paraId="3207C1A1" w14:textId="65432FCF" w:rsidR="00F15ECA" w:rsidRPr="00DB5AC1" w:rsidRDefault="00147DA4" w:rsidP="00F15ECA">
          <w:pPr>
            <w:pStyle w:val="TOC3"/>
            <w:tabs>
              <w:tab w:val="left" w:pos="1200"/>
              <w:tab w:val="right" w:leader="dot" w:pos="9016"/>
            </w:tabs>
            <w:rPr>
              <w:rFonts w:ascii="Times New Roman" w:hAnsi="Times New Roman"/>
              <w:b/>
              <w:bCs/>
              <w:noProof/>
              <w:sz w:val="24"/>
              <w:szCs w:val="24"/>
            </w:rPr>
          </w:pPr>
          <w:r w:rsidRPr="00DB5AC1">
            <w:rPr>
              <w:rFonts w:ascii="Times New Roman" w:hAnsi="Times New Roman"/>
              <w:b/>
              <w:bCs/>
              <w:noProof/>
              <w:sz w:val="24"/>
              <w:szCs w:val="24"/>
            </w:rPr>
            <w:fldChar w:fldCharType="end"/>
          </w:r>
        </w:p>
      </w:sdtContent>
    </w:sdt>
    <w:p w14:paraId="5907C848" w14:textId="252FA435" w:rsidR="00654AC4" w:rsidRPr="00DB5AC1" w:rsidRDefault="00654AC4" w:rsidP="00A2779A">
      <w:pPr>
        <w:rPr>
          <w:rFonts w:ascii="Times New Roman" w:hAnsi="Times New Roman" w:cs="Times New Roman"/>
          <w:b/>
          <w:noProof/>
          <w:sz w:val="24"/>
          <w:szCs w:val="24"/>
          <w:lang w:val="en-GB"/>
        </w:rPr>
      </w:pPr>
    </w:p>
    <w:p w14:paraId="43444F8A" w14:textId="16BCBF89" w:rsidR="00654AC4" w:rsidRPr="0036474B" w:rsidRDefault="00654AC4">
      <w:pPr>
        <w:rPr>
          <w:rFonts w:ascii="Times New Roman" w:hAnsi="Times New Roman" w:cs="Times New Roman"/>
          <w:b/>
          <w:bCs/>
          <w:noProof/>
          <w:sz w:val="24"/>
          <w:szCs w:val="24"/>
          <w:lang w:val="en-GB"/>
        </w:rPr>
      </w:pPr>
      <w:r w:rsidRPr="0036474B">
        <w:rPr>
          <w:rFonts w:ascii="Times New Roman" w:hAnsi="Times New Roman" w:cs="Times New Roman"/>
          <w:b/>
          <w:bCs/>
          <w:noProof/>
          <w:sz w:val="24"/>
          <w:szCs w:val="24"/>
          <w:lang w:val="en-GB"/>
        </w:rPr>
        <w:br w:type="page"/>
      </w:r>
    </w:p>
    <w:p w14:paraId="709A3A82" w14:textId="1E9E2832" w:rsidR="007432CC" w:rsidRPr="00064CC0" w:rsidRDefault="00304E04" w:rsidP="00147DA4">
      <w:pPr>
        <w:pStyle w:val="ListParagraph"/>
        <w:numPr>
          <w:ilvl w:val="0"/>
          <w:numId w:val="11"/>
        </w:numPr>
        <w:outlineLvl w:val="0"/>
        <w:rPr>
          <w:rFonts w:ascii="Times New Roman" w:hAnsi="Times New Roman" w:cs="Times New Roman"/>
          <w:b/>
          <w:bCs/>
          <w:noProof/>
          <w:sz w:val="24"/>
          <w:szCs w:val="24"/>
          <w:lang w:val="en-GB"/>
        </w:rPr>
      </w:pPr>
      <w:bookmarkStart w:id="2" w:name="_Toc1881679536"/>
      <w:bookmarkStart w:id="3" w:name="_Toc234341720"/>
      <w:r w:rsidRPr="00064CC0">
        <w:rPr>
          <w:rFonts w:ascii="Times New Roman" w:hAnsi="Times New Roman" w:cs="Times New Roman"/>
          <w:b/>
          <w:bCs/>
          <w:noProof/>
          <w:sz w:val="24"/>
          <w:szCs w:val="24"/>
          <w:lang w:val="en-GB"/>
        </w:rPr>
        <w:t>INTRODUCTION</w:t>
      </w:r>
      <w:bookmarkEnd w:id="2"/>
      <w:bookmarkEnd w:id="3"/>
    </w:p>
    <w:p w14:paraId="56DBBCD0" w14:textId="76591CB7" w:rsidR="00B32E78" w:rsidRPr="0036474B" w:rsidRDefault="00D95C51" w:rsidP="008C4854">
      <w:pPr>
        <w:jc w:val="both"/>
        <w:rPr>
          <w:rFonts w:ascii="Times New Roman" w:hAnsi="Times New Roman" w:cs="Times New Roman"/>
          <w:noProof/>
          <w:sz w:val="24"/>
          <w:szCs w:val="24"/>
        </w:rPr>
      </w:pPr>
      <w:r w:rsidRPr="0036474B">
        <w:rPr>
          <w:rFonts w:ascii="Times New Roman" w:hAnsi="Times New Roman" w:cs="Times New Roman"/>
          <w:noProof/>
          <w:sz w:val="24"/>
          <w:szCs w:val="24"/>
        </w:rPr>
        <w:t xml:space="preserve">The Communication of the </w:t>
      </w:r>
      <w:r w:rsidR="007D2BFE">
        <w:rPr>
          <w:rFonts w:ascii="Times New Roman" w:hAnsi="Times New Roman" w:cs="Times New Roman"/>
          <w:noProof/>
          <w:sz w:val="24"/>
          <w:szCs w:val="24"/>
        </w:rPr>
        <w:t xml:space="preserve">European </w:t>
      </w:r>
      <w:r w:rsidRPr="0036474B">
        <w:rPr>
          <w:rFonts w:ascii="Times New Roman" w:hAnsi="Times New Roman" w:cs="Times New Roman"/>
          <w:noProof/>
          <w:sz w:val="24"/>
          <w:szCs w:val="24"/>
        </w:rPr>
        <w:t>Commission on the Savings and Investments Union</w:t>
      </w:r>
      <w:r w:rsidR="0AE2FAFA" w:rsidRPr="0036474B">
        <w:rPr>
          <w:rFonts w:ascii="Times New Roman" w:hAnsi="Times New Roman" w:cs="Times New Roman"/>
          <w:noProof/>
          <w:sz w:val="24"/>
          <w:szCs w:val="24"/>
        </w:rPr>
        <w:t xml:space="preserve"> (SIU)</w:t>
      </w:r>
      <w:r w:rsidR="00336D89" w:rsidRPr="0036474B">
        <w:rPr>
          <w:rStyle w:val="FootnoteReference"/>
          <w:rFonts w:ascii="Times New Roman" w:hAnsi="Times New Roman" w:cs="Times New Roman"/>
          <w:noProof/>
          <w:sz w:val="24"/>
          <w:szCs w:val="24"/>
        </w:rPr>
        <w:footnoteReference w:id="2"/>
      </w:r>
      <w:r w:rsidRPr="0036474B">
        <w:rPr>
          <w:rFonts w:ascii="Times New Roman" w:hAnsi="Times New Roman" w:cs="Times New Roman"/>
          <w:noProof/>
          <w:sz w:val="24"/>
          <w:szCs w:val="24"/>
        </w:rPr>
        <w:t xml:space="preserve"> announced </w:t>
      </w:r>
      <w:r w:rsidR="005F105C" w:rsidRPr="0036474B">
        <w:rPr>
          <w:rFonts w:ascii="Times New Roman" w:hAnsi="Times New Roman" w:cs="Times New Roman"/>
          <w:noProof/>
          <w:sz w:val="24"/>
          <w:szCs w:val="24"/>
        </w:rPr>
        <w:t xml:space="preserve">in March 2025 </w:t>
      </w:r>
      <w:r w:rsidR="00B32E78" w:rsidRPr="0036474B">
        <w:rPr>
          <w:rFonts w:ascii="Times New Roman" w:hAnsi="Times New Roman" w:cs="Times New Roman"/>
          <w:noProof/>
          <w:sz w:val="24"/>
          <w:szCs w:val="24"/>
        </w:rPr>
        <w:t>th</w:t>
      </w:r>
      <w:r w:rsidR="00D5539A" w:rsidRPr="0036474B">
        <w:rPr>
          <w:rFonts w:ascii="Times New Roman" w:hAnsi="Times New Roman" w:cs="Times New Roman"/>
          <w:noProof/>
          <w:sz w:val="24"/>
          <w:szCs w:val="24"/>
        </w:rPr>
        <w:t xml:space="preserve">at the Commission would </w:t>
      </w:r>
      <w:r w:rsidR="00AC30C9" w:rsidRPr="0036474B">
        <w:rPr>
          <w:rFonts w:ascii="Times New Roman" w:hAnsi="Times New Roman" w:cs="Times New Roman"/>
          <w:noProof/>
          <w:sz w:val="24"/>
          <w:szCs w:val="24"/>
        </w:rPr>
        <w:t>publish</w:t>
      </w:r>
      <w:r w:rsidR="00B32E78" w:rsidRPr="0036474B">
        <w:rPr>
          <w:rFonts w:ascii="Times New Roman" w:hAnsi="Times New Roman" w:cs="Times New Roman"/>
          <w:noProof/>
          <w:sz w:val="24"/>
          <w:szCs w:val="24"/>
        </w:rPr>
        <w:t xml:space="preserve"> a report assessing the overall situation of the banking system in the </w:t>
      </w:r>
      <w:r w:rsidR="00ED1650" w:rsidRPr="0036474B">
        <w:rPr>
          <w:rFonts w:ascii="Times New Roman" w:hAnsi="Times New Roman" w:cs="Times New Roman"/>
          <w:noProof/>
          <w:sz w:val="24"/>
          <w:szCs w:val="24"/>
        </w:rPr>
        <w:t>s</w:t>
      </w:r>
      <w:r w:rsidR="00B32E78" w:rsidRPr="0036474B">
        <w:rPr>
          <w:rFonts w:ascii="Times New Roman" w:hAnsi="Times New Roman" w:cs="Times New Roman"/>
          <w:noProof/>
          <w:sz w:val="24"/>
          <w:szCs w:val="24"/>
        </w:rPr>
        <w:t xml:space="preserve">ingle </w:t>
      </w:r>
      <w:r w:rsidR="00ED1650" w:rsidRPr="0036474B">
        <w:rPr>
          <w:rFonts w:ascii="Times New Roman" w:hAnsi="Times New Roman" w:cs="Times New Roman"/>
          <w:noProof/>
          <w:sz w:val="24"/>
          <w:szCs w:val="24"/>
        </w:rPr>
        <w:t>m</w:t>
      </w:r>
      <w:r w:rsidR="00B32E78" w:rsidRPr="0036474B">
        <w:rPr>
          <w:rFonts w:ascii="Times New Roman" w:hAnsi="Times New Roman" w:cs="Times New Roman"/>
          <w:noProof/>
          <w:sz w:val="24"/>
          <w:szCs w:val="24"/>
        </w:rPr>
        <w:t>arket, including an evaluation of the banking sector’s competitiveness.</w:t>
      </w:r>
    </w:p>
    <w:p w14:paraId="24056E90" w14:textId="3B83DB36" w:rsidR="008C4854" w:rsidRPr="0036474B" w:rsidRDefault="00035701" w:rsidP="008C4854">
      <w:pPr>
        <w:jc w:val="both"/>
        <w:rPr>
          <w:rFonts w:ascii="Times New Roman" w:hAnsi="Times New Roman" w:cs="Times New Roman"/>
          <w:noProof/>
          <w:sz w:val="24"/>
          <w:szCs w:val="24"/>
        </w:rPr>
      </w:pPr>
      <w:r w:rsidRPr="0036474B">
        <w:rPr>
          <w:rFonts w:ascii="Times New Roman" w:hAnsi="Times New Roman" w:cs="Times New Roman"/>
          <w:noProof/>
          <w:sz w:val="24"/>
          <w:szCs w:val="24"/>
        </w:rPr>
        <w:t xml:space="preserve">Banks are </w:t>
      </w:r>
      <w:r w:rsidR="00121E1B">
        <w:rPr>
          <w:rFonts w:ascii="Times New Roman" w:hAnsi="Times New Roman" w:cs="Times New Roman"/>
          <w:noProof/>
          <w:sz w:val="24"/>
          <w:szCs w:val="24"/>
        </w:rPr>
        <w:t>important to</w:t>
      </w:r>
      <w:r w:rsidRPr="0036474B">
        <w:rPr>
          <w:rFonts w:ascii="Times New Roman" w:hAnsi="Times New Roman" w:cs="Times New Roman"/>
          <w:noProof/>
          <w:sz w:val="24"/>
          <w:szCs w:val="24"/>
        </w:rPr>
        <w:t xml:space="preserve"> </w:t>
      </w:r>
      <w:r w:rsidR="0046573A" w:rsidRPr="0036474B">
        <w:rPr>
          <w:rFonts w:ascii="Times New Roman" w:hAnsi="Times New Roman" w:cs="Times New Roman"/>
          <w:noProof/>
          <w:sz w:val="24"/>
          <w:szCs w:val="24"/>
        </w:rPr>
        <w:t xml:space="preserve">the </w:t>
      </w:r>
      <w:r w:rsidRPr="0036474B">
        <w:rPr>
          <w:rFonts w:ascii="Times New Roman" w:hAnsi="Times New Roman" w:cs="Times New Roman"/>
          <w:noProof/>
          <w:sz w:val="24"/>
          <w:szCs w:val="24"/>
        </w:rPr>
        <w:t xml:space="preserve">EU </w:t>
      </w:r>
      <w:r w:rsidR="0046573A" w:rsidRPr="0036474B">
        <w:rPr>
          <w:rFonts w:ascii="Times New Roman" w:hAnsi="Times New Roman" w:cs="Times New Roman"/>
          <w:noProof/>
          <w:sz w:val="24"/>
          <w:szCs w:val="24"/>
        </w:rPr>
        <w:t>economy,</w:t>
      </w:r>
      <w:r w:rsidRPr="0036474B">
        <w:rPr>
          <w:rFonts w:ascii="Times New Roman" w:hAnsi="Times New Roman" w:cs="Times New Roman"/>
          <w:noProof/>
          <w:sz w:val="24"/>
          <w:szCs w:val="24"/>
        </w:rPr>
        <w:t xml:space="preserve"> financing</w:t>
      </w:r>
      <w:r w:rsidR="0046573A" w:rsidRPr="0036474B">
        <w:rPr>
          <w:rFonts w:ascii="Times New Roman" w:hAnsi="Times New Roman" w:cs="Times New Roman"/>
          <w:noProof/>
          <w:sz w:val="24"/>
          <w:szCs w:val="24"/>
        </w:rPr>
        <w:t xml:space="preserve"> and</w:t>
      </w:r>
      <w:r w:rsidRPr="0036474B">
        <w:rPr>
          <w:rFonts w:ascii="Times New Roman" w:hAnsi="Times New Roman" w:cs="Times New Roman"/>
          <w:noProof/>
          <w:sz w:val="24"/>
          <w:szCs w:val="24"/>
        </w:rPr>
        <w:t xml:space="preserve"> supporting businesses—especially </w:t>
      </w:r>
      <w:r w:rsidR="008C4854" w:rsidRPr="0036474B">
        <w:rPr>
          <w:rFonts w:ascii="Times New Roman" w:hAnsi="Times New Roman" w:cs="Times New Roman"/>
          <w:noProof/>
          <w:sz w:val="24"/>
          <w:szCs w:val="24"/>
        </w:rPr>
        <w:t>small and medium ente</w:t>
      </w:r>
      <w:r w:rsidR="7D353B1D" w:rsidRPr="0036474B">
        <w:rPr>
          <w:rFonts w:ascii="Times New Roman" w:hAnsi="Times New Roman" w:cs="Times New Roman"/>
          <w:noProof/>
          <w:sz w:val="24"/>
          <w:szCs w:val="24"/>
        </w:rPr>
        <w:t>r</w:t>
      </w:r>
      <w:r w:rsidR="008C4854" w:rsidRPr="0036474B">
        <w:rPr>
          <w:rFonts w:ascii="Times New Roman" w:hAnsi="Times New Roman" w:cs="Times New Roman"/>
          <w:noProof/>
          <w:sz w:val="24"/>
          <w:szCs w:val="24"/>
        </w:rPr>
        <w:t>prises</w:t>
      </w:r>
      <w:r w:rsidRPr="0036474B">
        <w:rPr>
          <w:rFonts w:ascii="Times New Roman" w:hAnsi="Times New Roman" w:cs="Times New Roman"/>
          <w:noProof/>
          <w:sz w:val="24"/>
          <w:szCs w:val="24"/>
        </w:rPr>
        <w:t xml:space="preserve">—and strengthening capital markets. </w:t>
      </w:r>
      <w:r w:rsidR="002E160C" w:rsidRPr="0036474B">
        <w:rPr>
          <w:rFonts w:ascii="Times New Roman" w:hAnsi="Times New Roman" w:cs="Times New Roman"/>
          <w:noProof/>
          <w:sz w:val="24"/>
          <w:szCs w:val="24"/>
        </w:rPr>
        <w:t xml:space="preserve">The contribution of banks to the EU economy ranges from </w:t>
      </w:r>
      <w:r w:rsidR="003B3C42">
        <w:rPr>
          <w:rFonts w:ascii="Times New Roman" w:hAnsi="Times New Roman" w:cs="Times New Roman"/>
          <w:noProof/>
          <w:sz w:val="24"/>
          <w:szCs w:val="24"/>
        </w:rPr>
        <w:t xml:space="preserve">that of </w:t>
      </w:r>
      <w:r w:rsidR="002E160C" w:rsidRPr="0036474B">
        <w:rPr>
          <w:rFonts w:ascii="Times New Roman" w:hAnsi="Times New Roman" w:cs="Times New Roman"/>
          <w:noProof/>
          <w:sz w:val="24"/>
          <w:szCs w:val="24"/>
        </w:rPr>
        <w:t>smaller banks supporting local business</w:t>
      </w:r>
      <w:r w:rsidR="00672261" w:rsidRPr="0036474B">
        <w:rPr>
          <w:rFonts w:ascii="Times New Roman" w:hAnsi="Times New Roman" w:cs="Times New Roman"/>
          <w:noProof/>
          <w:sz w:val="24"/>
          <w:szCs w:val="24"/>
        </w:rPr>
        <w:t>es</w:t>
      </w:r>
      <w:r w:rsidR="002E160C" w:rsidRPr="0036474B">
        <w:rPr>
          <w:rFonts w:ascii="Times New Roman" w:hAnsi="Times New Roman" w:cs="Times New Roman"/>
          <w:noProof/>
          <w:sz w:val="24"/>
          <w:szCs w:val="24"/>
        </w:rPr>
        <w:t xml:space="preserve"> to </w:t>
      </w:r>
      <w:r w:rsidR="00F84E64">
        <w:rPr>
          <w:rFonts w:ascii="Times New Roman" w:hAnsi="Times New Roman" w:cs="Times New Roman"/>
          <w:noProof/>
          <w:sz w:val="24"/>
          <w:szCs w:val="24"/>
        </w:rPr>
        <w:t xml:space="preserve">that of </w:t>
      </w:r>
      <w:r w:rsidR="002E160C" w:rsidRPr="0036474B">
        <w:rPr>
          <w:rFonts w:ascii="Times New Roman" w:hAnsi="Times New Roman" w:cs="Times New Roman"/>
          <w:noProof/>
          <w:sz w:val="24"/>
          <w:szCs w:val="24"/>
        </w:rPr>
        <w:t>larger, internationally active banks</w:t>
      </w:r>
      <w:r w:rsidR="007B299A" w:rsidRPr="0036474B">
        <w:rPr>
          <w:rFonts w:ascii="Times New Roman" w:hAnsi="Times New Roman" w:cs="Times New Roman"/>
          <w:noProof/>
          <w:sz w:val="24"/>
          <w:szCs w:val="24"/>
        </w:rPr>
        <w:t xml:space="preserve"> able to operate </w:t>
      </w:r>
      <w:r w:rsidR="00460664" w:rsidRPr="0036474B">
        <w:rPr>
          <w:rFonts w:ascii="Times New Roman" w:hAnsi="Times New Roman" w:cs="Times New Roman"/>
          <w:noProof/>
          <w:sz w:val="24"/>
          <w:szCs w:val="24"/>
        </w:rPr>
        <w:t>across the Union and beyond</w:t>
      </w:r>
      <w:r w:rsidR="003C07BC" w:rsidRPr="0036474B">
        <w:rPr>
          <w:rFonts w:ascii="Times New Roman" w:hAnsi="Times New Roman" w:cs="Times New Roman"/>
          <w:noProof/>
          <w:sz w:val="24"/>
          <w:szCs w:val="24"/>
        </w:rPr>
        <w:t>.</w:t>
      </w:r>
      <w:r w:rsidR="002E160C" w:rsidRPr="0036474B">
        <w:rPr>
          <w:rFonts w:ascii="Times New Roman" w:hAnsi="Times New Roman" w:cs="Times New Roman"/>
          <w:noProof/>
          <w:sz w:val="24"/>
          <w:szCs w:val="24"/>
        </w:rPr>
        <w:t xml:space="preserve"> </w:t>
      </w:r>
      <w:r w:rsidR="002606D7" w:rsidRPr="0036474B">
        <w:rPr>
          <w:rFonts w:ascii="Times New Roman" w:hAnsi="Times New Roman" w:cs="Times New Roman"/>
          <w:noProof/>
          <w:sz w:val="24"/>
          <w:szCs w:val="24"/>
        </w:rPr>
        <w:t xml:space="preserve">While progress has been made over the </w:t>
      </w:r>
      <w:r w:rsidR="00432168" w:rsidRPr="0036474B">
        <w:rPr>
          <w:rFonts w:ascii="Times New Roman" w:hAnsi="Times New Roman" w:cs="Times New Roman"/>
          <w:noProof/>
          <w:sz w:val="24"/>
          <w:szCs w:val="24"/>
        </w:rPr>
        <w:t>p</w:t>
      </w:r>
      <w:r w:rsidR="002606D7" w:rsidRPr="0036474B">
        <w:rPr>
          <w:rFonts w:ascii="Times New Roman" w:hAnsi="Times New Roman" w:cs="Times New Roman"/>
          <w:noProof/>
          <w:sz w:val="24"/>
          <w:szCs w:val="24"/>
        </w:rPr>
        <w:t xml:space="preserve">ast </w:t>
      </w:r>
      <w:r w:rsidR="00432168" w:rsidRPr="0036474B">
        <w:rPr>
          <w:rFonts w:ascii="Times New Roman" w:hAnsi="Times New Roman" w:cs="Times New Roman"/>
          <w:noProof/>
          <w:sz w:val="24"/>
          <w:szCs w:val="24"/>
        </w:rPr>
        <w:t>15 years</w:t>
      </w:r>
      <w:r w:rsidR="001B3791" w:rsidRPr="0036474B">
        <w:rPr>
          <w:rFonts w:ascii="Times New Roman" w:hAnsi="Times New Roman" w:cs="Times New Roman"/>
          <w:noProof/>
          <w:sz w:val="24"/>
          <w:szCs w:val="24"/>
        </w:rPr>
        <w:t xml:space="preserve"> with regard to resilience and financial stability</w:t>
      </w:r>
      <w:r w:rsidR="002606D7" w:rsidRPr="0036474B">
        <w:rPr>
          <w:rFonts w:ascii="Times New Roman" w:hAnsi="Times New Roman" w:cs="Times New Roman"/>
          <w:noProof/>
          <w:sz w:val="24"/>
          <w:szCs w:val="24"/>
        </w:rPr>
        <w:t>, undue complexity and inefficiencies in the structure and implementation of the bank regulatory framework remain, with direct consequences on banks’ ability to operate</w:t>
      </w:r>
      <w:r w:rsidR="001B3791" w:rsidRPr="0036474B">
        <w:rPr>
          <w:rFonts w:ascii="Times New Roman" w:hAnsi="Times New Roman" w:cs="Times New Roman"/>
          <w:noProof/>
          <w:sz w:val="24"/>
          <w:szCs w:val="24"/>
        </w:rPr>
        <w:t xml:space="preserve"> </w:t>
      </w:r>
      <w:r w:rsidR="004618BE" w:rsidRPr="0036474B">
        <w:rPr>
          <w:rFonts w:ascii="Times New Roman" w:hAnsi="Times New Roman" w:cs="Times New Roman"/>
          <w:noProof/>
          <w:sz w:val="24"/>
          <w:szCs w:val="24"/>
        </w:rPr>
        <w:t>in a more competitive way</w:t>
      </w:r>
      <w:r w:rsidR="002606D7" w:rsidRPr="0036474B">
        <w:rPr>
          <w:rFonts w:ascii="Times New Roman" w:hAnsi="Times New Roman" w:cs="Times New Roman"/>
          <w:noProof/>
          <w:sz w:val="24"/>
          <w:szCs w:val="24"/>
        </w:rPr>
        <w:t xml:space="preserve">. </w:t>
      </w:r>
      <w:r w:rsidR="002B7BE0" w:rsidRPr="0036474B">
        <w:rPr>
          <w:rFonts w:ascii="Times New Roman" w:hAnsi="Times New Roman" w:cs="Times New Roman"/>
          <w:noProof/>
          <w:sz w:val="24"/>
          <w:szCs w:val="24"/>
        </w:rPr>
        <w:t xml:space="preserve">Fostering competitiveness of the banking sector </w:t>
      </w:r>
      <w:r w:rsidR="002606D7" w:rsidRPr="0036474B">
        <w:rPr>
          <w:rFonts w:ascii="Times New Roman" w:hAnsi="Times New Roman" w:cs="Times New Roman"/>
          <w:noProof/>
          <w:sz w:val="24"/>
          <w:szCs w:val="24"/>
        </w:rPr>
        <w:t>thus</w:t>
      </w:r>
      <w:r w:rsidR="002B7BE0" w:rsidRPr="0036474B">
        <w:rPr>
          <w:rFonts w:ascii="Times New Roman" w:hAnsi="Times New Roman" w:cs="Times New Roman"/>
          <w:noProof/>
          <w:sz w:val="24"/>
          <w:szCs w:val="24"/>
        </w:rPr>
        <w:t xml:space="preserve"> </w:t>
      </w:r>
      <w:r w:rsidR="002D741E" w:rsidRPr="0036474B">
        <w:rPr>
          <w:rFonts w:ascii="Times New Roman" w:hAnsi="Times New Roman" w:cs="Times New Roman"/>
          <w:noProof/>
          <w:sz w:val="24"/>
          <w:szCs w:val="24"/>
        </w:rPr>
        <w:t xml:space="preserve">implies </w:t>
      </w:r>
      <w:r w:rsidR="00945481" w:rsidRPr="0036474B">
        <w:rPr>
          <w:rFonts w:ascii="Times New Roman" w:hAnsi="Times New Roman" w:cs="Times New Roman"/>
          <w:noProof/>
          <w:sz w:val="24"/>
          <w:szCs w:val="24"/>
        </w:rPr>
        <w:t xml:space="preserve">addressing the persisting fragmentation of the single market in banking, </w:t>
      </w:r>
      <w:r w:rsidR="00C51BA6" w:rsidRPr="0036474B">
        <w:rPr>
          <w:rFonts w:ascii="Times New Roman" w:hAnsi="Times New Roman" w:cs="Times New Roman"/>
          <w:noProof/>
          <w:sz w:val="24"/>
          <w:szCs w:val="24"/>
        </w:rPr>
        <w:t xml:space="preserve">reviewing the way </w:t>
      </w:r>
      <w:r w:rsidR="008510F5" w:rsidRPr="0036474B">
        <w:rPr>
          <w:rFonts w:ascii="Times New Roman" w:hAnsi="Times New Roman" w:cs="Times New Roman"/>
          <w:noProof/>
          <w:sz w:val="24"/>
          <w:szCs w:val="24"/>
        </w:rPr>
        <w:t>the im</w:t>
      </w:r>
      <w:r w:rsidR="00C51BA6" w:rsidRPr="0036474B">
        <w:rPr>
          <w:rFonts w:ascii="Times New Roman" w:hAnsi="Times New Roman" w:cs="Times New Roman"/>
          <w:noProof/>
          <w:sz w:val="24"/>
          <w:szCs w:val="24"/>
        </w:rPr>
        <w:t xml:space="preserve">plementation of international standards </w:t>
      </w:r>
      <w:r w:rsidR="00325D61" w:rsidRPr="0036474B">
        <w:rPr>
          <w:rFonts w:ascii="Times New Roman" w:hAnsi="Times New Roman" w:cs="Times New Roman"/>
          <w:noProof/>
          <w:sz w:val="24"/>
          <w:szCs w:val="24"/>
        </w:rPr>
        <w:t>t</w:t>
      </w:r>
      <w:r w:rsidR="00C51BA6" w:rsidRPr="0036474B">
        <w:rPr>
          <w:rFonts w:ascii="Times New Roman" w:hAnsi="Times New Roman" w:cs="Times New Roman"/>
          <w:noProof/>
          <w:sz w:val="24"/>
          <w:szCs w:val="24"/>
        </w:rPr>
        <w:t>ak</w:t>
      </w:r>
      <w:r w:rsidR="00325D61" w:rsidRPr="0036474B">
        <w:rPr>
          <w:rFonts w:ascii="Times New Roman" w:hAnsi="Times New Roman" w:cs="Times New Roman"/>
          <w:noProof/>
          <w:sz w:val="24"/>
          <w:szCs w:val="24"/>
        </w:rPr>
        <w:t>es</w:t>
      </w:r>
      <w:r w:rsidR="00C51BA6" w:rsidRPr="0036474B">
        <w:rPr>
          <w:rFonts w:ascii="Times New Roman" w:hAnsi="Times New Roman" w:cs="Times New Roman"/>
          <w:noProof/>
          <w:sz w:val="24"/>
          <w:szCs w:val="24"/>
        </w:rPr>
        <w:t xml:space="preserve"> into account EU specificities</w:t>
      </w:r>
      <w:r w:rsidR="00325D61" w:rsidRPr="0036474B">
        <w:rPr>
          <w:rFonts w:ascii="Times New Roman" w:hAnsi="Times New Roman" w:cs="Times New Roman"/>
          <w:noProof/>
          <w:sz w:val="24"/>
          <w:szCs w:val="24"/>
        </w:rPr>
        <w:t xml:space="preserve">, and </w:t>
      </w:r>
      <w:r w:rsidR="00C14F73" w:rsidRPr="0036474B">
        <w:rPr>
          <w:rFonts w:ascii="Times New Roman" w:hAnsi="Times New Roman" w:cs="Times New Roman"/>
          <w:noProof/>
          <w:sz w:val="24"/>
          <w:szCs w:val="24"/>
        </w:rPr>
        <w:t>tackling the undue complexity of the bank regulatory framework.</w:t>
      </w:r>
      <w:r w:rsidR="00B8288D" w:rsidRPr="0036474B">
        <w:rPr>
          <w:rFonts w:ascii="Times New Roman" w:hAnsi="Times New Roman" w:cs="Times New Roman"/>
          <w:noProof/>
          <w:sz w:val="24"/>
          <w:szCs w:val="24"/>
        </w:rPr>
        <w:t xml:space="preserve"> </w:t>
      </w:r>
      <w:r w:rsidR="009913A8" w:rsidRPr="0036474B">
        <w:rPr>
          <w:rFonts w:ascii="Times New Roman" w:hAnsi="Times New Roman" w:cs="Times New Roman"/>
          <w:noProof/>
          <w:sz w:val="24"/>
          <w:szCs w:val="24"/>
        </w:rPr>
        <w:t>Stepping up the competitiveness of EU banks</w:t>
      </w:r>
      <w:r w:rsidR="00B8288D" w:rsidRPr="0036474B">
        <w:rPr>
          <w:rFonts w:ascii="Times New Roman" w:hAnsi="Times New Roman" w:cs="Times New Roman"/>
          <w:noProof/>
          <w:sz w:val="24"/>
          <w:szCs w:val="24"/>
        </w:rPr>
        <w:t xml:space="preserve"> is</w:t>
      </w:r>
      <w:r w:rsidRPr="0036474B">
        <w:rPr>
          <w:rFonts w:ascii="Times New Roman" w:hAnsi="Times New Roman" w:cs="Times New Roman"/>
          <w:noProof/>
          <w:sz w:val="24"/>
          <w:szCs w:val="24"/>
        </w:rPr>
        <w:t xml:space="preserve"> vital for the </w:t>
      </w:r>
      <w:r w:rsidR="00E365F1" w:rsidRPr="0036474B">
        <w:rPr>
          <w:rFonts w:ascii="Times New Roman" w:hAnsi="Times New Roman" w:cs="Times New Roman"/>
          <w:noProof/>
          <w:sz w:val="24"/>
          <w:szCs w:val="24"/>
        </w:rPr>
        <w:t>SIU</w:t>
      </w:r>
      <w:r w:rsidR="002021B2" w:rsidRPr="0036474B">
        <w:rPr>
          <w:rFonts w:ascii="Times New Roman" w:hAnsi="Times New Roman" w:cs="Times New Roman"/>
          <w:noProof/>
          <w:sz w:val="24"/>
          <w:szCs w:val="24"/>
        </w:rPr>
        <w:t xml:space="preserve"> and for a competitive EU economy</w:t>
      </w:r>
      <w:r w:rsidRPr="0036474B">
        <w:rPr>
          <w:rFonts w:ascii="Times New Roman" w:hAnsi="Times New Roman" w:cs="Times New Roman"/>
          <w:noProof/>
          <w:sz w:val="24"/>
          <w:szCs w:val="24"/>
        </w:rPr>
        <w:t xml:space="preserve">. </w:t>
      </w:r>
    </w:p>
    <w:p w14:paraId="22D3534D" w14:textId="7400AFF2" w:rsidR="008C4854" w:rsidRPr="0036474B" w:rsidRDefault="008C4854" w:rsidP="008C4854">
      <w:pPr>
        <w:jc w:val="both"/>
        <w:rPr>
          <w:rFonts w:ascii="Times New Roman" w:hAnsi="Times New Roman" w:cs="Times New Roman"/>
          <w:noProof/>
          <w:sz w:val="24"/>
          <w:szCs w:val="24"/>
        </w:rPr>
      </w:pPr>
      <w:r w:rsidRPr="0036474B">
        <w:rPr>
          <w:rFonts w:ascii="Times New Roman" w:hAnsi="Times New Roman" w:cs="Times New Roman"/>
          <w:noProof/>
          <w:sz w:val="24"/>
          <w:szCs w:val="24"/>
        </w:rPr>
        <w:t xml:space="preserve">This Staff Working Document complements the Communication on </w:t>
      </w:r>
      <w:r w:rsidR="000C7AB7" w:rsidRPr="0036474B">
        <w:rPr>
          <w:rFonts w:ascii="Times New Roman" w:hAnsi="Times New Roman" w:cs="Times New Roman"/>
          <w:noProof/>
          <w:sz w:val="24"/>
          <w:szCs w:val="24"/>
        </w:rPr>
        <w:t>the competitiveness of the banking sector and the single market in banking</w:t>
      </w:r>
      <w:r w:rsidR="009837E8">
        <w:rPr>
          <w:rFonts w:ascii="Times New Roman" w:hAnsi="Times New Roman" w:cs="Times New Roman"/>
          <w:noProof/>
          <w:sz w:val="24"/>
          <w:szCs w:val="24"/>
        </w:rPr>
        <w:t xml:space="preserve">. </w:t>
      </w:r>
      <w:r w:rsidR="003B76D2" w:rsidRPr="0036474B">
        <w:rPr>
          <w:rFonts w:ascii="Times New Roman" w:hAnsi="Times New Roman" w:cs="Times New Roman"/>
          <w:noProof/>
          <w:sz w:val="24"/>
          <w:szCs w:val="24"/>
        </w:rPr>
        <w:t>It</w:t>
      </w:r>
      <w:r w:rsidR="00CB5BEE" w:rsidRPr="0036474B">
        <w:rPr>
          <w:rFonts w:ascii="Times New Roman" w:hAnsi="Times New Roman" w:cs="Times New Roman"/>
          <w:noProof/>
          <w:sz w:val="24"/>
          <w:szCs w:val="24"/>
        </w:rPr>
        <w:t xml:space="preserve"> provides evidence to support the economic analysis of the EU banking sector </w:t>
      </w:r>
      <w:r w:rsidR="6D20B504" w:rsidRPr="0036474B">
        <w:rPr>
          <w:rFonts w:ascii="Times New Roman" w:hAnsi="Times New Roman" w:cs="Times New Roman"/>
          <w:noProof/>
          <w:sz w:val="24"/>
          <w:szCs w:val="24"/>
        </w:rPr>
        <w:t>as</w:t>
      </w:r>
      <w:r w:rsidR="00CB5BEE" w:rsidRPr="0036474B">
        <w:rPr>
          <w:rFonts w:ascii="Times New Roman" w:hAnsi="Times New Roman" w:cs="Times New Roman"/>
          <w:noProof/>
          <w:sz w:val="24"/>
          <w:szCs w:val="24"/>
        </w:rPr>
        <w:t xml:space="preserve"> </w:t>
      </w:r>
      <w:r w:rsidR="6D20B504" w:rsidRPr="0036474B">
        <w:rPr>
          <w:rFonts w:ascii="Times New Roman" w:hAnsi="Times New Roman" w:cs="Times New Roman"/>
          <w:noProof/>
          <w:sz w:val="24"/>
          <w:szCs w:val="24"/>
        </w:rPr>
        <w:t>well as</w:t>
      </w:r>
      <w:r w:rsidR="00CB5BEE" w:rsidRPr="0036474B">
        <w:rPr>
          <w:rFonts w:ascii="Times New Roman" w:hAnsi="Times New Roman" w:cs="Times New Roman"/>
          <w:noProof/>
          <w:sz w:val="24"/>
          <w:szCs w:val="24"/>
        </w:rPr>
        <w:t xml:space="preserve"> an overview of the complexities and inefficiencies of the bank regulatory framework. It is based on extensive research</w:t>
      </w:r>
      <w:r w:rsidR="00BE2E59" w:rsidRPr="0036474B">
        <w:rPr>
          <w:rFonts w:ascii="Times New Roman" w:hAnsi="Times New Roman" w:cs="Times New Roman"/>
          <w:noProof/>
          <w:sz w:val="24"/>
          <w:szCs w:val="24"/>
        </w:rPr>
        <w:t xml:space="preserve"> and builds on contributions from a wide range of stakeholders</w:t>
      </w:r>
      <w:r w:rsidR="003939F0" w:rsidRPr="0036474B">
        <w:rPr>
          <w:rFonts w:ascii="Times New Roman" w:hAnsi="Times New Roman" w:cs="Times New Roman"/>
          <w:noProof/>
          <w:sz w:val="24"/>
          <w:szCs w:val="24"/>
        </w:rPr>
        <w:t>, including the European Banking Authority (EBA), the European Central Bank (ECB) and the Single Resolution Board (SRB),</w:t>
      </w:r>
      <w:r w:rsidR="00BE2E59" w:rsidRPr="0036474B">
        <w:rPr>
          <w:rFonts w:ascii="Times New Roman" w:hAnsi="Times New Roman" w:cs="Times New Roman"/>
          <w:noProof/>
          <w:sz w:val="24"/>
          <w:szCs w:val="24"/>
        </w:rPr>
        <w:t xml:space="preserve"> on their experience of the banking activities and the regulatory framework. This includes in particular the feedback gathered during </w:t>
      </w:r>
      <w:r w:rsidR="001A0C47" w:rsidRPr="0036474B">
        <w:rPr>
          <w:rFonts w:ascii="Times New Roman" w:hAnsi="Times New Roman" w:cs="Times New Roman"/>
          <w:noProof/>
          <w:sz w:val="24"/>
          <w:szCs w:val="24"/>
        </w:rPr>
        <w:t>thematic workshops organi</w:t>
      </w:r>
      <w:r w:rsidR="008050A6" w:rsidRPr="0036474B">
        <w:rPr>
          <w:rFonts w:ascii="Times New Roman" w:hAnsi="Times New Roman" w:cs="Times New Roman"/>
          <w:noProof/>
          <w:sz w:val="24"/>
          <w:szCs w:val="24"/>
        </w:rPr>
        <w:t>s</w:t>
      </w:r>
      <w:r w:rsidR="001A0C47" w:rsidRPr="0036474B">
        <w:rPr>
          <w:rFonts w:ascii="Times New Roman" w:hAnsi="Times New Roman" w:cs="Times New Roman"/>
          <w:noProof/>
          <w:sz w:val="24"/>
          <w:szCs w:val="24"/>
        </w:rPr>
        <w:t>ed by the Commission</w:t>
      </w:r>
      <w:r w:rsidR="008050A6" w:rsidRPr="0036474B">
        <w:rPr>
          <w:rFonts w:ascii="Times New Roman" w:hAnsi="Times New Roman" w:cs="Times New Roman"/>
          <w:noProof/>
          <w:sz w:val="24"/>
          <w:szCs w:val="24"/>
        </w:rPr>
        <w:t xml:space="preserve"> in September</w:t>
      </w:r>
      <w:r w:rsidR="00457237" w:rsidRPr="0036474B">
        <w:rPr>
          <w:rStyle w:val="FootnoteReference"/>
          <w:rFonts w:ascii="Times New Roman" w:hAnsi="Times New Roman" w:cs="Times New Roman"/>
          <w:noProof/>
          <w:sz w:val="24"/>
          <w:szCs w:val="24"/>
        </w:rPr>
        <w:footnoteReference w:id="3"/>
      </w:r>
      <w:r w:rsidR="008050A6" w:rsidRPr="0036474B">
        <w:rPr>
          <w:rFonts w:ascii="Times New Roman" w:hAnsi="Times New Roman" w:cs="Times New Roman"/>
          <w:noProof/>
          <w:sz w:val="24"/>
          <w:szCs w:val="24"/>
        </w:rPr>
        <w:t xml:space="preserve"> and November 2025</w:t>
      </w:r>
      <w:r w:rsidR="00457237" w:rsidRPr="0036474B">
        <w:rPr>
          <w:rStyle w:val="FootnoteReference"/>
          <w:rFonts w:ascii="Times New Roman" w:hAnsi="Times New Roman" w:cs="Times New Roman"/>
          <w:noProof/>
          <w:sz w:val="24"/>
          <w:szCs w:val="24"/>
        </w:rPr>
        <w:footnoteReference w:id="4"/>
      </w:r>
      <w:r w:rsidR="001A0C47" w:rsidRPr="0036474B">
        <w:rPr>
          <w:rFonts w:ascii="Times New Roman" w:hAnsi="Times New Roman" w:cs="Times New Roman"/>
          <w:noProof/>
          <w:sz w:val="24"/>
          <w:szCs w:val="24"/>
        </w:rPr>
        <w:t>, an implementation dialogue</w:t>
      </w:r>
      <w:r w:rsidR="008050A6" w:rsidRPr="0036474B">
        <w:rPr>
          <w:rFonts w:ascii="Times New Roman" w:hAnsi="Times New Roman" w:cs="Times New Roman"/>
          <w:noProof/>
          <w:sz w:val="24"/>
          <w:szCs w:val="24"/>
        </w:rPr>
        <w:t xml:space="preserve"> with bank representatives in </w:t>
      </w:r>
      <w:r w:rsidR="00D5539A" w:rsidRPr="0036474B">
        <w:rPr>
          <w:rFonts w:ascii="Times New Roman" w:hAnsi="Times New Roman" w:cs="Times New Roman"/>
          <w:noProof/>
          <w:sz w:val="24"/>
          <w:szCs w:val="24"/>
        </w:rPr>
        <w:t>December</w:t>
      </w:r>
      <w:r w:rsidR="008050A6" w:rsidRPr="0036474B">
        <w:rPr>
          <w:rFonts w:ascii="Times New Roman" w:hAnsi="Times New Roman" w:cs="Times New Roman"/>
          <w:noProof/>
          <w:sz w:val="24"/>
          <w:szCs w:val="24"/>
        </w:rPr>
        <w:t xml:space="preserve"> 2025</w:t>
      </w:r>
      <w:r w:rsidR="00D5539A" w:rsidRPr="0036474B">
        <w:rPr>
          <w:rStyle w:val="FootnoteReference"/>
          <w:rFonts w:ascii="Times New Roman" w:hAnsi="Times New Roman" w:cs="Times New Roman"/>
          <w:noProof/>
          <w:sz w:val="24"/>
          <w:szCs w:val="24"/>
        </w:rPr>
        <w:footnoteReference w:id="5"/>
      </w:r>
      <w:r w:rsidR="00F030BE" w:rsidRPr="0036474B">
        <w:rPr>
          <w:rFonts w:ascii="Times New Roman" w:hAnsi="Times New Roman" w:cs="Times New Roman"/>
          <w:noProof/>
          <w:sz w:val="24"/>
          <w:szCs w:val="24"/>
        </w:rPr>
        <w:t>,</w:t>
      </w:r>
      <w:r w:rsidR="008050A6" w:rsidRPr="0036474B">
        <w:rPr>
          <w:rFonts w:ascii="Times New Roman" w:hAnsi="Times New Roman" w:cs="Times New Roman"/>
          <w:noProof/>
          <w:sz w:val="24"/>
          <w:szCs w:val="24"/>
        </w:rPr>
        <w:t xml:space="preserve"> the responses to the targeted consultation </w:t>
      </w:r>
      <w:r w:rsidR="00B53524" w:rsidRPr="0036474B">
        <w:rPr>
          <w:rFonts w:ascii="Times New Roman" w:hAnsi="Times New Roman" w:cs="Times New Roman"/>
          <w:noProof/>
          <w:sz w:val="24"/>
          <w:szCs w:val="24"/>
        </w:rPr>
        <w:t xml:space="preserve">conducted </w:t>
      </w:r>
      <w:r w:rsidR="008050A6" w:rsidRPr="0036474B">
        <w:rPr>
          <w:rFonts w:ascii="Times New Roman" w:hAnsi="Times New Roman" w:cs="Times New Roman"/>
          <w:noProof/>
          <w:sz w:val="24"/>
          <w:szCs w:val="24"/>
        </w:rPr>
        <w:t xml:space="preserve">by the Commission </w:t>
      </w:r>
      <w:r w:rsidR="00B53524" w:rsidRPr="0036474B">
        <w:rPr>
          <w:rFonts w:ascii="Times New Roman" w:hAnsi="Times New Roman" w:cs="Times New Roman"/>
          <w:noProof/>
          <w:sz w:val="24"/>
          <w:szCs w:val="24"/>
        </w:rPr>
        <w:t>between</w:t>
      </w:r>
      <w:r w:rsidR="008050A6" w:rsidRPr="0036474B">
        <w:rPr>
          <w:rFonts w:ascii="Times New Roman" w:hAnsi="Times New Roman" w:cs="Times New Roman"/>
          <w:noProof/>
          <w:sz w:val="24"/>
          <w:szCs w:val="24"/>
        </w:rPr>
        <w:t xml:space="preserve"> </w:t>
      </w:r>
      <w:r w:rsidR="006110A7" w:rsidRPr="0036474B">
        <w:rPr>
          <w:rFonts w:ascii="Times New Roman" w:hAnsi="Times New Roman" w:cs="Times New Roman"/>
          <w:noProof/>
          <w:sz w:val="24"/>
          <w:szCs w:val="24"/>
        </w:rPr>
        <w:t xml:space="preserve">11 </w:t>
      </w:r>
      <w:r w:rsidR="008050A6" w:rsidRPr="0036474B">
        <w:rPr>
          <w:rFonts w:ascii="Times New Roman" w:hAnsi="Times New Roman" w:cs="Times New Roman"/>
          <w:noProof/>
          <w:sz w:val="24"/>
          <w:szCs w:val="24"/>
        </w:rPr>
        <w:t xml:space="preserve">February </w:t>
      </w:r>
      <w:r w:rsidR="006110A7" w:rsidRPr="0036474B">
        <w:rPr>
          <w:rFonts w:ascii="Times New Roman" w:hAnsi="Times New Roman" w:cs="Times New Roman"/>
          <w:noProof/>
          <w:sz w:val="24"/>
          <w:szCs w:val="24"/>
        </w:rPr>
        <w:t xml:space="preserve">to 19 April </w:t>
      </w:r>
      <w:r w:rsidR="008050A6" w:rsidRPr="0036474B">
        <w:rPr>
          <w:rFonts w:ascii="Times New Roman" w:hAnsi="Times New Roman" w:cs="Times New Roman"/>
          <w:noProof/>
          <w:sz w:val="24"/>
          <w:szCs w:val="24"/>
        </w:rPr>
        <w:t>2026</w:t>
      </w:r>
      <w:r w:rsidR="00100CF7" w:rsidRPr="0036474B">
        <w:rPr>
          <w:rStyle w:val="FootnoteReference"/>
          <w:rFonts w:ascii="Times New Roman" w:hAnsi="Times New Roman" w:cs="Times New Roman"/>
          <w:noProof/>
          <w:sz w:val="24"/>
          <w:szCs w:val="24"/>
        </w:rPr>
        <w:footnoteReference w:id="6"/>
      </w:r>
      <w:r w:rsidR="009F70D9" w:rsidRPr="0036474B">
        <w:rPr>
          <w:rFonts w:ascii="Times New Roman" w:hAnsi="Times New Roman" w:cs="Times New Roman"/>
          <w:noProof/>
          <w:sz w:val="24"/>
          <w:szCs w:val="24"/>
        </w:rPr>
        <w:t xml:space="preserve"> and</w:t>
      </w:r>
      <w:r w:rsidR="003C7926" w:rsidRPr="0036474B">
        <w:rPr>
          <w:rFonts w:ascii="Times New Roman" w:hAnsi="Times New Roman" w:cs="Times New Roman"/>
          <w:noProof/>
          <w:sz w:val="24"/>
          <w:szCs w:val="24"/>
        </w:rPr>
        <w:t xml:space="preserve"> specific</w:t>
      </w:r>
      <w:r w:rsidR="009F70D9" w:rsidRPr="0036474B">
        <w:rPr>
          <w:rFonts w:ascii="Times New Roman" w:hAnsi="Times New Roman" w:cs="Times New Roman"/>
          <w:noProof/>
          <w:sz w:val="24"/>
          <w:szCs w:val="24"/>
        </w:rPr>
        <w:t xml:space="preserve"> outreach </w:t>
      </w:r>
      <w:r w:rsidR="002857AB">
        <w:rPr>
          <w:rFonts w:ascii="Times New Roman" w:hAnsi="Times New Roman" w:cs="Times New Roman"/>
          <w:noProof/>
          <w:sz w:val="24"/>
          <w:szCs w:val="24"/>
        </w:rPr>
        <w:t xml:space="preserve">activities </w:t>
      </w:r>
      <w:r w:rsidR="0059752E" w:rsidRPr="0036474B">
        <w:rPr>
          <w:rFonts w:ascii="Times New Roman" w:hAnsi="Times New Roman" w:cs="Times New Roman"/>
          <w:noProof/>
          <w:sz w:val="24"/>
          <w:szCs w:val="24"/>
        </w:rPr>
        <w:t xml:space="preserve">and meetings with </w:t>
      </w:r>
      <w:r w:rsidR="00EB5341">
        <w:rPr>
          <w:rFonts w:ascii="Times New Roman" w:hAnsi="Times New Roman" w:cs="Times New Roman"/>
          <w:noProof/>
          <w:sz w:val="24"/>
          <w:szCs w:val="24"/>
        </w:rPr>
        <w:t xml:space="preserve">Member States’ representatives, </w:t>
      </w:r>
      <w:r w:rsidR="00FA594A" w:rsidRPr="0036474B">
        <w:rPr>
          <w:rFonts w:ascii="Times New Roman" w:hAnsi="Times New Roman" w:cs="Times New Roman"/>
          <w:noProof/>
          <w:sz w:val="24"/>
          <w:szCs w:val="24"/>
        </w:rPr>
        <w:t>financial institutions, business organisations</w:t>
      </w:r>
      <w:r w:rsidR="004E51C2" w:rsidRPr="0036474B">
        <w:rPr>
          <w:rFonts w:ascii="Times New Roman" w:hAnsi="Times New Roman" w:cs="Times New Roman"/>
          <w:noProof/>
          <w:sz w:val="24"/>
          <w:szCs w:val="24"/>
        </w:rPr>
        <w:t xml:space="preserve"> and representatives from civil society</w:t>
      </w:r>
      <w:r w:rsidR="008050A6" w:rsidRPr="0036474B">
        <w:rPr>
          <w:rFonts w:ascii="Times New Roman" w:hAnsi="Times New Roman" w:cs="Times New Roman"/>
          <w:noProof/>
          <w:sz w:val="24"/>
          <w:szCs w:val="24"/>
        </w:rPr>
        <w:t>.</w:t>
      </w:r>
    </w:p>
    <w:p w14:paraId="1E5A4307" w14:textId="77777777" w:rsidR="0000043D" w:rsidRPr="0036474B" w:rsidRDefault="0000043D" w:rsidP="00635B77">
      <w:pPr>
        <w:rPr>
          <w:rFonts w:ascii="Times New Roman" w:hAnsi="Times New Roman" w:cs="Times New Roman"/>
          <w:noProof/>
          <w:sz w:val="24"/>
          <w:szCs w:val="24"/>
        </w:rPr>
      </w:pPr>
    </w:p>
    <w:p w14:paraId="6EEFE7B9" w14:textId="2663F3CC" w:rsidR="00485671" w:rsidRPr="0036474B" w:rsidRDefault="00485671">
      <w:pPr>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rPr>
        <w:br w:type="page"/>
      </w:r>
    </w:p>
    <w:p w14:paraId="53B20067" w14:textId="14BC2C59" w:rsidR="00485671" w:rsidRPr="00064CC0" w:rsidRDefault="00485671" w:rsidP="00147DA4">
      <w:pPr>
        <w:pStyle w:val="ListParagraph"/>
        <w:numPr>
          <w:ilvl w:val="0"/>
          <w:numId w:val="11"/>
        </w:numPr>
        <w:outlineLvl w:val="0"/>
        <w:rPr>
          <w:rFonts w:ascii="Times New Roman" w:hAnsi="Times New Roman" w:cs="Times New Roman"/>
          <w:b/>
          <w:bCs/>
          <w:noProof/>
          <w:sz w:val="24"/>
          <w:szCs w:val="24"/>
          <w:lang w:val="en-GB"/>
        </w:rPr>
      </w:pPr>
      <w:bookmarkStart w:id="4" w:name="_Toc1166154399"/>
      <w:bookmarkStart w:id="5" w:name="_Toc234341721"/>
      <w:r w:rsidRPr="00064CC0">
        <w:rPr>
          <w:rFonts w:ascii="Times New Roman" w:hAnsi="Times New Roman" w:cs="Times New Roman"/>
          <w:b/>
          <w:bCs/>
          <w:noProof/>
          <w:sz w:val="24"/>
          <w:szCs w:val="24"/>
          <w:lang w:val="en-GB"/>
        </w:rPr>
        <w:t>ECONOMIC ANALYSIS OF THE BANKING SECTOR</w:t>
      </w:r>
      <w:bookmarkEnd w:id="4"/>
      <w:bookmarkEnd w:id="5"/>
    </w:p>
    <w:p w14:paraId="6A46F841" w14:textId="7282B087" w:rsidR="0008726F" w:rsidRPr="0036474B" w:rsidRDefault="2222B009" w:rsidP="0008726F">
      <w:pPr>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rPr>
        <w:t xml:space="preserve">The EU banking sector has evolved </w:t>
      </w:r>
      <w:r w:rsidR="2C723D64" w:rsidRPr="0036474B">
        <w:rPr>
          <w:rFonts w:ascii="Times New Roman" w:hAnsi="Times New Roman" w:cs="Times New Roman"/>
          <w:noProof/>
          <w:sz w:val="24"/>
          <w:szCs w:val="24"/>
          <w:lang w:val="en-GB"/>
        </w:rPr>
        <w:t>significantly</w:t>
      </w:r>
      <w:r w:rsidR="2C723D64" w:rsidRPr="0036474B">
        <w:rPr>
          <w:rFonts w:ascii="Times New Roman" w:hAnsi="Times New Roman" w:cs="Times New Roman"/>
          <w:noProof/>
          <w:sz w:val="24"/>
          <w:szCs w:val="24"/>
        </w:rPr>
        <w:t xml:space="preserve"> </w:t>
      </w:r>
      <w:r w:rsidRPr="0036474B">
        <w:rPr>
          <w:rFonts w:ascii="Times New Roman" w:hAnsi="Times New Roman" w:cs="Times New Roman"/>
          <w:noProof/>
          <w:sz w:val="24"/>
          <w:szCs w:val="24"/>
          <w:lang w:val="en-GB"/>
        </w:rPr>
        <w:t xml:space="preserve">over the past </w:t>
      </w:r>
      <w:r w:rsidR="00432168" w:rsidRPr="0036474B">
        <w:rPr>
          <w:rFonts w:ascii="Times New Roman" w:hAnsi="Times New Roman" w:cs="Times New Roman"/>
          <w:noProof/>
          <w:sz w:val="24"/>
          <w:szCs w:val="24"/>
          <w:lang w:val="en-GB"/>
        </w:rPr>
        <w:t>15 years</w:t>
      </w:r>
      <w:r w:rsidRPr="0036474B">
        <w:rPr>
          <w:rFonts w:ascii="Times New Roman" w:hAnsi="Times New Roman" w:cs="Times New Roman"/>
          <w:noProof/>
          <w:sz w:val="24"/>
          <w:szCs w:val="24"/>
          <w:lang w:val="en-GB"/>
        </w:rPr>
        <w:t xml:space="preserve">, adapting </w:t>
      </w:r>
      <w:r w:rsidR="00B01638">
        <w:rPr>
          <w:rFonts w:ascii="Times New Roman" w:hAnsi="Times New Roman" w:cs="Times New Roman"/>
          <w:noProof/>
          <w:sz w:val="24"/>
          <w:szCs w:val="24"/>
          <w:lang w:val="en-GB"/>
        </w:rPr>
        <w:t xml:space="preserve">to events </w:t>
      </w:r>
      <w:r w:rsidRPr="0036474B">
        <w:rPr>
          <w:rFonts w:ascii="Times New Roman" w:hAnsi="Times New Roman" w:cs="Times New Roman"/>
          <w:noProof/>
          <w:sz w:val="24"/>
          <w:szCs w:val="24"/>
          <w:lang w:val="en-GB"/>
        </w:rPr>
        <w:t xml:space="preserve">and responding to the crises that characterised those years, from the </w:t>
      </w:r>
      <w:r w:rsidR="001713A2">
        <w:rPr>
          <w:rFonts w:ascii="Times New Roman" w:hAnsi="Times New Roman" w:cs="Times New Roman"/>
          <w:noProof/>
          <w:sz w:val="24"/>
          <w:szCs w:val="24"/>
          <w:lang w:val="en-GB"/>
        </w:rPr>
        <w:t>g</w:t>
      </w:r>
      <w:r w:rsidRPr="0036474B">
        <w:rPr>
          <w:rFonts w:ascii="Times New Roman" w:hAnsi="Times New Roman" w:cs="Times New Roman"/>
          <w:noProof/>
          <w:sz w:val="24"/>
          <w:szCs w:val="24"/>
          <w:lang w:val="en-GB"/>
        </w:rPr>
        <w:t xml:space="preserve">lobal </w:t>
      </w:r>
      <w:r w:rsidR="001713A2">
        <w:rPr>
          <w:rFonts w:ascii="Times New Roman" w:hAnsi="Times New Roman" w:cs="Times New Roman"/>
          <w:noProof/>
          <w:sz w:val="24"/>
          <w:szCs w:val="24"/>
          <w:lang w:val="en-GB"/>
        </w:rPr>
        <w:t>f</w:t>
      </w:r>
      <w:r w:rsidRPr="0036474B">
        <w:rPr>
          <w:rFonts w:ascii="Times New Roman" w:hAnsi="Times New Roman" w:cs="Times New Roman"/>
          <w:noProof/>
          <w:sz w:val="24"/>
          <w:szCs w:val="24"/>
          <w:lang w:val="en-GB"/>
        </w:rPr>
        <w:t xml:space="preserve">inancial </w:t>
      </w:r>
      <w:r w:rsidR="001713A2">
        <w:rPr>
          <w:rFonts w:ascii="Times New Roman" w:hAnsi="Times New Roman" w:cs="Times New Roman"/>
          <w:noProof/>
          <w:sz w:val="24"/>
          <w:szCs w:val="24"/>
          <w:lang w:val="en-GB"/>
        </w:rPr>
        <w:t>c</w:t>
      </w:r>
      <w:r w:rsidRPr="0036474B">
        <w:rPr>
          <w:rFonts w:ascii="Times New Roman" w:hAnsi="Times New Roman" w:cs="Times New Roman"/>
          <w:noProof/>
          <w:sz w:val="24"/>
          <w:szCs w:val="24"/>
          <w:lang w:val="en-GB"/>
        </w:rPr>
        <w:t xml:space="preserve">risis </w:t>
      </w:r>
      <w:r w:rsidR="72F56B79" w:rsidRPr="0036474B">
        <w:rPr>
          <w:rFonts w:ascii="Times New Roman" w:hAnsi="Times New Roman" w:cs="Times New Roman"/>
          <w:noProof/>
          <w:sz w:val="24"/>
          <w:szCs w:val="24"/>
          <w:lang w:val="en-GB"/>
        </w:rPr>
        <w:t xml:space="preserve">(GFC) </w:t>
      </w:r>
      <w:r w:rsidRPr="0036474B">
        <w:rPr>
          <w:rFonts w:ascii="Times New Roman" w:hAnsi="Times New Roman" w:cs="Times New Roman"/>
          <w:noProof/>
          <w:sz w:val="24"/>
          <w:szCs w:val="24"/>
          <w:lang w:val="en-GB"/>
        </w:rPr>
        <w:t xml:space="preserve">to the </w:t>
      </w:r>
      <w:r w:rsidR="69F0A40E" w:rsidRPr="0036474B">
        <w:rPr>
          <w:rFonts w:ascii="Times New Roman" w:hAnsi="Times New Roman" w:cs="Times New Roman"/>
          <w:noProof/>
          <w:sz w:val="24"/>
          <w:szCs w:val="24"/>
          <w:lang w:val="en-GB"/>
        </w:rPr>
        <w:t>e</w:t>
      </w:r>
      <w:r w:rsidRPr="0036474B">
        <w:rPr>
          <w:rFonts w:ascii="Times New Roman" w:hAnsi="Times New Roman" w:cs="Times New Roman"/>
          <w:noProof/>
          <w:sz w:val="24"/>
          <w:szCs w:val="24"/>
          <w:lang w:val="en-GB"/>
        </w:rPr>
        <w:t>uro area sovereign debt crisis</w:t>
      </w:r>
      <w:r w:rsidR="000A4678">
        <w:rPr>
          <w:rFonts w:ascii="Times New Roman" w:hAnsi="Times New Roman" w:cs="Times New Roman"/>
          <w:noProof/>
          <w:sz w:val="24"/>
          <w:szCs w:val="24"/>
          <w:lang w:val="en-GB"/>
        </w:rPr>
        <w:t xml:space="preserve"> and Brexit</w:t>
      </w:r>
      <w:r w:rsidRPr="0036474B">
        <w:rPr>
          <w:rFonts w:ascii="Times New Roman" w:hAnsi="Times New Roman" w:cs="Times New Roman"/>
          <w:noProof/>
          <w:sz w:val="24"/>
          <w:szCs w:val="24"/>
          <w:lang w:val="en-GB"/>
        </w:rPr>
        <w:t xml:space="preserve">, and more recently </w:t>
      </w:r>
      <w:r w:rsidR="001713A2">
        <w:rPr>
          <w:rFonts w:ascii="Times New Roman" w:hAnsi="Times New Roman" w:cs="Times New Roman"/>
          <w:noProof/>
          <w:sz w:val="24"/>
          <w:szCs w:val="24"/>
          <w:lang w:val="en-GB"/>
        </w:rPr>
        <w:t>COVID-19</w:t>
      </w:r>
      <w:r w:rsidRPr="0036474B">
        <w:rPr>
          <w:rFonts w:ascii="Times New Roman" w:hAnsi="Times New Roman" w:cs="Times New Roman"/>
          <w:noProof/>
          <w:sz w:val="24"/>
          <w:szCs w:val="24"/>
          <w:lang w:val="en-GB"/>
        </w:rPr>
        <w:t xml:space="preserve">, the </w:t>
      </w:r>
      <w:r w:rsidR="001713A2">
        <w:rPr>
          <w:rFonts w:ascii="Times New Roman" w:hAnsi="Times New Roman" w:cs="Times New Roman"/>
          <w:noProof/>
          <w:sz w:val="24"/>
          <w:szCs w:val="24"/>
          <w:lang w:val="en-GB"/>
        </w:rPr>
        <w:t xml:space="preserve">Russia’s war of </w:t>
      </w:r>
      <w:r w:rsidRPr="0036474B">
        <w:rPr>
          <w:rFonts w:ascii="Times New Roman" w:hAnsi="Times New Roman" w:cs="Times New Roman"/>
          <w:noProof/>
          <w:sz w:val="24"/>
          <w:szCs w:val="24"/>
          <w:lang w:val="en-GB"/>
        </w:rPr>
        <w:t xml:space="preserve">aggression against Ukraine and the war in the Middle East. The sector also benefited from periods of economic growth and </w:t>
      </w:r>
      <w:r w:rsidR="41793C34" w:rsidRPr="0036474B">
        <w:rPr>
          <w:rFonts w:ascii="Times New Roman" w:hAnsi="Times New Roman" w:cs="Times New Roman"/>
          <w:noProof/>
          <w:sz w:val="24"/>
          <w:szCs w:val="24"/>
          <w:lang w:val="en-GB"/>
        </w:rPr>
        <w:t xml:space="preserve">has </w:t>
      </w:r>
      <w:r w:rsidRPr="0036474B">
        <w:rPr>
          <w:rFonts w:ascii="Times New Roman" w:hAnsi="Times New Roman" w:cs="Times New Roman"/>
          <w:noProof/>
          <w:sz w:val="24"/>
          <w:szCs w:val="24"/>
          <w:lang w:val="en-GB"/>
        </w:rPr>
        <w:t xml:space="preserve">increased </w:t>
      </w:r>
      <w:r w:rsidR="00224DB8" w:rsidRPr="0036474B">
        <w:rPr>
          <w:rFonts w:ascii="Times New Roman" w:hAnsi="Times New Roman" w:cs="Times New Roman"/>
          <w:noProof/>
          <w:sz w:val="24"/>
          <w:szCs w:val="24"/>
          <w:lang w:val="en-GB"/>
        </w:rPr>
        <w:t xml:space="preserve">its </w:t>
      </w:r>
      <w:r w:rsidRPr="0036474B">
        <w:rPr>
          <w:rFonts w:ascii="Times New Roman" w:hAnsi="Times New Roman" w:cs="Times New Roman"/>
          <w:noProof/>
          <w:sz w:val="24"/>
          <w:szCs w:val="24"/>
          <w:lang w:val="en-GB"/>
        </w:rPr>
        <w:t xml:space="preserve">profitability since 2022. </w:t>
      </w:r>
    </w:p>
    <w:p w14:paraId="45C116E6" w14:textId="60AAE498" w:rsidR="009B060D" w:rsidRPr="0036474B" w:rsidRDefault="2222B009" w:rsidP="0008726F">
      <w:pPr>
        <w:jc w:val="both"/>
        <w:rPr>
          <w:rFonts w:ascii="Times New Roman" w:hAnsi="Times New Roman" w:cs="Times New Roman"/>
          <w:noProof/>
          <w:sz w:val="24"/>
          <w:szCs w:val="24"/>
          <w:lang w:val="en-GB"/>
        </w:rPr>
      </w:pPr>
      <w:bookmarkStart w:id="6" w:name="_Hlk229128473"/>
      <w:r w:rsidRPr="0036474B">
        <w:rPr>
          <w:rFonts w:ascii="Times New Roman" w:hAnsi="Times New Roman" w:cs="Times New Roman"/>
          <w:noProof/>
          <w:sz w:val="24"/>
          <w:szCs w:val="24"/>
          <w:lang w:val="en-GB"/>
        </w:rPr>
        <w:t xml:space="preserve">The </w:t>
      </w:r>
      <w:bookmarkEnd w:id="6"/>
      <w:r w:rsidR="72F56B79" w:rsidRPr="0036474B">
        <w:rPr>
          <w:rFonts w:ascii="Times New Roman" w:hAnsi="Times New Roman" w:cs="Times New Roman"/>
          <w:noProof/>
          <w:sz w:val="24"/>
          <w:szCs w:val="24"/>
          <w:lang w:val="en-GB"/>
        </w:rPr>
        <w:t>GFC</w:t>
      </w:r>
      <w:r w:rsidRPr="0036474B">
        <w:rPr>
          <w:rFonts w:ascii="Times New Roman" w:hAnsi="Times New Roman" w:cs="Times New Roman"/>
          <w:noProof/>
          <w:sz w:val="24"/>
          <w:szCs w:val="24"/>
          <w:lang w:val="en-GB"/>
        </w:rPr>
        <w:t xml:space="preserve"> highlighted that </w:t>
      </w:r>
      <w:r w:rsidR="3262EE62" w:rsidRPr="0036474B">
        <w:rPr>
          <w:rFonts w:ascii="Times New Roman" w:hAnsi="Times New Roman" w:cs="Times New Roman"/>
          <w:noProof/>
          <w:sz w:val="24"/>
          <w:szCs w:val="24"/>
          <w:lang w:val="en-GB"/>
        </w:rPr>
        <w:t xml:space="preserve">risks to the financial systems </w:t>
      </w:r>
      <w:r w:rsidR="5882FA97" w:rsidRPr="0036474B">
        <w:rPr>
          <w:rFonts w:ascii="Times New Roman" w:hAnsi="Times New Roman" w:cs="Times New Roman"/>
          <w:noProof/>
          <w:sz w:val="24"/>
          <w:szCs w:val="24"/>
          <w:lang w:val="en-GB"/>
        </w:rPr>
        <w:t xml:space="preserve">do not stop at national </w:t>
      </w:r>
      <w:r w:rsidR="7FFE48BB" w:rsidRPr="0036474B">
        <w:rPr>
          <w:rFonts w:ascii="Times New Roman" w:hAnsi="Times New Roman" w:cs="Times New Roman"/>
          <w:noProof/>
          <w:sz w:val="24"/>
          <w:szCs w:val="24"/>
          <w:lang w:val="en-GB"/>
        </w:rPr>
        <w:t>borders and</w:t>
      </w:r>
      <w:r w:rsidR="3262EE62" w:rsidRPr="0036474B">
        <w:rPr>
          <w:rFonts w:ascii="Times New Roman" w:hAnsi="Times New Roman" w:cs="Times New Roman"/>
          <w:noProof/>
          <w:sz w:val="24"/>
          <w:szCs w:val="24"/>
          <w:lang w:val="en-GB"/>
        </w:rPr>
        <w:t xml:space="preserve"> </w:t>
      </w:r>
      <w:r w:rsidRPr="0036474B">
        <w:rPr>
          <w:rFonts w:ascii="Times New Roman" w:hAnsi="Times New Roman" w:cs="Times New Roman"/>
          <w:noProof/>
          <w:sz w:val="24"/>
          <w:szCs w:val="24"/>
          <w:lang w:val="en-GB"/>
        </w:rPr>
        <w:t>financial stability could only be preserved through a common European response</w:t>
      </w:r>
      <w:r w:rsidR="152F8779" w:rsidRPr="0036474B">
        <w:rPr>
          <w:rFonts w:ascii="Times New Roman" w:hAnsi="Times New Roman" w:cs="Times New Roman"/>
          <w:noProof/>
          <w:sz w:val="24"/>
          <w:szCs w:val="24"/>
          <w:lang w:val="en-GB"/>
        </w:rPr>
        <w:t>: this</w:t>
      </w:r>
      <w:r w:rsidRPr="0036474B">
        <w:rPr>
          <w:rFonts w:ascii="Times New Roman" w:hAnsi="Times New Roman" w:cs="Times New Roman"/>
          <w:noProof/>
          <w:sz w:val="24"/>
          <w:szCs w:val="24"/>
          <w:lang w:val="en-GB"/>
        </w:rPr>
        <w:t xml:space="preserve"> shaped today’s prudential and supervisory architecture</w:t>
      </w:r>
      <w:r w:rsidR="00380B3E">
        <w:rPr>
          <w:rFonts w:ascii="Times New Roman" w:hAnsi="Times New Roman" w:cs="Times New Roman"/>
          <w:noProof/>
          <w:sz w:val="24"/>
          <w:szCs w:val="24"/>
          <w:lang w:val="en-GB"/>
        </w:rPr>
        <w:t xml:space="preserve"> and focused EU action in setting a resilient and robust framework</w:t>
      </w:r>
      <w:r w:rsidRPr="0036474B">
        <w:rPr>
          <w:rFonts w:ascii="Times New Roman" w:hAnsi="Times New Roman" w:cs="Times New Roman"/>
          <w:noProof/>
          <w:sz w:val="24"/>
          <w:szCs w:val="24"/>
          <w:lang w:val="en-GB"/>
        </w:rPr>
        <w:t>. The subsequent cris</w:t>
      </w:r>
      <w:r w:rsidR="004C47F0">
        <w:rPr>
          <w:rFonts w:ascii="Times New Roman" w:hAnsi="Times New Roman" w:cs="Times New Roman"/>
          <w:noProof/>
          <w:sz w:val="24"/>
          <w:szCs w:val="24"/>
          <w:lang w:val="en-GB"/>
        </w:rPr>
        <w:t>es</w:t>
      </w:r>
      <w:r w:rsidRPr="0036474B">
        <w:rPr>
          <w:rFonts w:ascii="Times New Roman" w:hAnsi="Times New Roman" w:cs="Times New Roman"/>
          <w:noProof/>
          <w:sz w:val="24"/>
          <w:szCs w:val="24"/>
          <w:lang w:val="en-GB"/>
        </w:rPr>
        <w:t xml:space="preserve"> tested the resilience of the EU banking sector (and of the financial EU architecture as a whole)</w:t>
      </w:r>
      <w:r w:rsidR="00A41E9D" w:rsidRPr="0036474B">
        <w:rPr>
          <w:rFonts w:ascii="Times New Roman" w:hAnsi="Times New Roman" w:cs="Times New Roman"/>
          <w:noProof/>
          <w:sz w:val="24"/>
          <w:szCs w:val="24"/>
          <w:lang w:val="en-GB"/>
        </w:rPr>
        <w:t>, demonstrating its strengthened capacity to act</w:t>
      </w:r>
      <w:r w:rsidR="006F3E5C" w:rsidRPr="0036474B">
        <w:rPr>
          <w:rFonts w:ascii="Times New Roman" w:hAnsi="Times New Roman" w:cs="Times New Roman"/>
          <w:noProof/>
          <w:sz w:val="24"/>
          <w:szCs w:val="24"/>
          <w:lang w:val="en-GB"/>
        </w:rPr>
        <w:t xml:space="preserve"> </w:t>
      </w:r>
      <w:r w:rsidRPr="0036474B">
        <w:rPr>
          <w:rFonts w:ascii="Times New Roman" w:hAnsi="Times New Roman" w:cs="Times New Roman"/>
          <w:noProof/>
          <w:sz w:val="24"/>
          <w:szCs w:val="24"/>
          <w:lang w:val="en-GB"/>
        </w:rPr>
        <w:t xml:space="preserve">as a shock absorber rather than an amplifier. </w:t>
      </w:r>
      <w:r w:rsidR="00A41E9D" w:rsidRPr="0036474B">
        <w:rPr>
          <w:rFonts w:ascii="Times New Roman" w:hAnsi="Times New Roman" w:cs="Times New Roman"/>
          <w:noProof/>
          <w:sz w:val="24"/>
          <w:szCs w:val="24"/>
          <w:lang w:val="en-GB"/>
        </w:rPr>
        <w:t>Despite these gains, EU banks continue to trade at low</w:t>
      </w:r>
      <w:r w:rsidR="00BA025F" w:rsidRPr="0036474B">
        <w:rPr>
          <w:rFonts w:ascii="Times New Roman" w:hAnsi="Times New Roman" w:cs="Times New Roman"/>
          <w:noProof/>
          <w:sz w:val="24"/>
          <w:szCs w:val="24"/>
          <w:lang w:val="en-GB"/>
        </w:rPr>
        <w:t xml:space="preserve"> valuations relative to </w:t>
      </w:r>
      <w:r w:rsidR="008650A8" w:rsidRPr="0036474B">
        <w:rPr>
          <w:rFonts w:ascii="Times New Roman" w:hAnsi="Times New Roman" w:cs="Times New Roman"/>
          <w:noProof/>
          <w:sz w:val="24"/>
          <w:szCs w:val="24"/>
          <w:lang w:val="en-GB"/>
        </w:rPr>
        <w:t xml:space="preserve">past performances and </w:t>
      </w:r>
      <w:r w:rsidR="00BA025F" w:rsidRPr="0036474B">
        <w:rPr>
          <w:rFonts w:ascii="Times New Roman" w:hAnsi="Times New Roman" w:cs="Times New Roman"/>
          <w:noProof/>
          <w:sz w:val="24"/>
          <w:szCs w:val="24"/>
          <w:lang w:val="en-GB"/>
        </w:rPr>
        <w:t>global peers, reflecting persistent concerns over structural profitability</w:t>
      </w:r>
      <w:r w:rsidR="008650A8" w:rsidRPr="0036474B">
        <w:rPr>
          <w:rFonts w:ascii="Times New Roman" w:hAnsi="Times New Roman" w:cs="Times New Roman"/>
          <w:noProof/>
          <w:sz w:val="24"/>
          <w:szCs w:val="24"/>
          <w:lang w:val="en-GB"/>
        </w:rPr>
        <w:t xml:space="preserve"> </w:t>
      </w:r>
      <w:r w:rsidR="00BA025F" w:rsidRPr="0036474B">
        <w:rPr>
          <w:rFonts w:ascii="Times New Roman" w:hAnsi="Times New Roman" w:cs="Times New Roman"/>
          <w:noProof/>
          <w:sz w:val="24"/>
          <w:szCs w:val="24"/>
          <w:lang w:val="en-GB"/>
        </w:rPr>
        <w:t>and fragmented markets</w:t>
      </w:r>
      <w:r w:rsidR="00B13D81" w:rsidRPr="0036474B">
        <w:rPr>
          <w:rFonts w:ascii="Times New Roman" w:hAnsi="Times New Roman" w:cs="Times New Roman"/>
          <w:noProof/>
          <w:sz w:val="24"/>
          <w:szCs w:val="24"/>
          <w:lang w:val="en-GB"/>
        </w:rPr>
        <w:t>.</w:t>
      </w:r>
      <w:r w:rsidR="00993DD0" w:rsidRPr="0036474B">
        <w:rPr>
          <w:rFonts w:ascii="Times New Roman" w:hAnsi="Times New Roman" w:cs="Times New Roman"/>
          <w:noProof/>
          <w:sz w:val="24"/>
          <w:szCs w:val="24"/>
          <w:lang w:val="en-GB"/>
        </w:rPr>
        <w:t xml:space="preserve"> This</w:t>
      </w:r>
      <w:r w:rsidR="00E05B01" w:rsidRPr="0036474B">
        <w:rPr>
          <w:rFonts w:ascii="Times New Roman" w:hAnsi="Times New Roman" w:cs="Times New Roman"/>
          <w:noProof/>
          <w:sz w:val="24"/>
          <w:szCs w:val="24"/>
          <w:lang w:val="en-GB"/>
        </w:rPr>
        <w:t xml:space="preserve"> highlight</w:t>
      </w:r>
      <w:r w:rsidR="00993DD0" w:rsidRPr="0036474B">
        <w:rPr>
          <w:rFonts w:ascii="Times New Roman" w:hAnsi="Times New Roman" w:cs="Times New Roman"/>
          <w:noProof/>
          <w:sz w:val="24"/>
          <w:szCs w:val="24"/>
          <w:lang w:val="en-GB"/>
        </w:rPr>
        <w:t>s</w:t>
      </w:r>
      <w:r w:rsidR="00E05B01" w:rsidRPr="0036474B">
        <w:rPr>
          <w:rFonts w:ascii="Times New Roman" w:hAnsi="Times New Roman" w:cs="Times New Roman"/>
          <w:noProof/>
          <w:sz w:val="24"/>
          <w:szCs w:val="24"/>
          <w:lang w:val="en-GB"/>
        </w:rPr>
        <w:t xml:space="preserve"> </w:t>
      </w:r>
      <w:r w:rsidR="00FC096B" w:rsidRPr="0036474B">
        <w:rPr>
          <w:rFonts w:ascii="Times New Roman" w:hAnsi="Times New Roman" w:cs="Times New Roman"/>
          <w:noProof/>
          <w:sz w:val="24"/>
          <w:szCs w:val="24"/>
          <w:lang w:val="en-GB"/>
        </w:rPr>
        <w:t xml:space="preserve">the </w:t>
      </w:r>
      <w:r w:rsidR="00E05B01" w:rsidRPr="0036474B">
        <w:rPr>
          <w:rFonts w:ascii="Times New Roman" w:hAnsi="Times New Roman" w:cs="Times New Roman"/>
          <w:noProof/>
          <w:sz w:val="24"/>
          <w:szCs w:val="24"/>
          <w:lang w:val="en-GB"/>
        </w:rPr>
        <w:t>remaining challenges to the competitiveness of the EU banking sector.</w:t>
      </w:r>
    </w:p>
    <w:p w14:paraId="63FECF2F" w14:textId="77777777" w:rsidR="000262A2" w:rsidRPr="0036474B" w:rsidRDefault="000262A2" w:rsidP="0008726F">
      <w:pPr>
        <w:jc w:val="both"/>
        <w:rPr>
          <w:rFonts w:ascii="Times New Roman" w:hAnsi="Times New Roman" w:cs="Times New Roman"/>
          <w:noProof/>
          <w:sz w:val="24"/>
          <w:szCs w:val="24"/>
          <w:lang w:val="en-GB"/>
        </w:rPr>
      </w:pPr>
    </w:p>
    <w:p w14:paraId="3AF97652" w14:textId="0EFC217E" w:rsidR="00F00E0A" w:rsidRPr="00064CC0" w:rsidRDefault="6EE09E67" w:rsidP="00147DA4">
      <w:pPr>
        <w:pStyle w:val="ListParagraph"/>
        <w:numPr>
          <w:ilvl w:val="1"/>
          <w:numId w:val="11"/>
        </w:numPr>
        <w:outlineLvl w:val="1"/>
        <w:rPr>
          <w:rFonts w:ascii="Times New Roman" w:hAnsi="Times New Roman" w:cs="Times New Roman"/>
          <w:b/>
          <w:bCs/>
          <w:noProof/>
          <w:sz w:val="24"/>
          <w:szCs w:val="24"/>
          <w:lang w:val="en-GB"/>
        </w:rPr>
      </w:pPr>
      <w:bookmarkStart w:id="7" w:name="_Toc1687630762"/>
      <w:bookmarkStart w:id="8" w:name="_Toc234341722"/>
      <w:r w:rsidRPr="00064CC0">
        <w:rPr>
          <w:rFonts w:ascii="Times New Roman" w:hAnsi="Times New Roman" w:cs="Times New Roman"/>
          <w:b/>
          <w:bCs/>
          <w:noProof/>
          <w:sz w:val="24"/>
          <w:szCs w:val="24"/>
          <w:lang w:val="en-GB"/>
        </w:rPr>
        <w:t>The role of banks in the EU economy</w:t>
      </w:r>
      <w:bookmarkEnd w:id="7"/>
      <w:bookmarkEnd w:id="8"/>
    </w:p>
    <w:p w14:paraId="5AC2D9D3" w14:textId="1D0296FA" w:rsidR="007F02FC" w:rsidRPr="0036474B" w:rsidRDefault="02307DE7" w:rsidP="474AD48D">
      <w:pPr>
        <w:jc w:val="both"/>
        <w:rPr>
          <w:rFonts w:ascii="Times New Roman" w:hAnsi="Times New Roman" w:cs="Times New Roman"/>
          <w:b/>
          <w:bCs/>
          <w:noProof/>
          <w:sz w:val="24"/>
          <w:szCs w:val="24"/>
        </w:rPr>
      </w:pPr>
      <w:r w:rsidRPr="0036474B">
        <w:rPr>
          <w:rFonts w:ascii="Times New Roman" w:hAnsi="Times New Roman" w:cs="Times New Roman"/>
          <w:b/>
          <w:bCs/>
          <w:noProof/>
          <w:sz w:val="24"/>
          <w:szCs w:val="24"/>
          <w:lang w:val="en-GB"/>
        </w:rPr>
        <w:t xml:space="preserve">The </w:t>
      </w:r>
      <w:r w:rsidR="200DE8F7" w:rsidRPr="0036474B">
        <w:rPr>
          <w:rFonts w:ascii="Times New Roman" w:hAnsi="Times New Roman" w:cs="Times New Roman"/>
          <w:b/>
          <w:bCs/>
          <w:noProof/>
          <w:sz w:val="24"/>
          <w:szCs w:val="24"/>
          <w:lang w:val="en-GB"/>
        </w:rPr>
        <w:t>EU</w:t>
      </w:r>
      <w:r w:rsidRPr="0036474B">
        <w:rPr>
          <w:rFonts w:ascii="Times New Roman" w:hAnsi="Times New Roman" w:cs="Times New Roman"/>
          <w:b/>
          <w:bCs/>
          <w:noProof/>
          <w:sz w:val="24"/>
          <w:szCs w:val="24"/>
          <w:lang w:val="en-GB"/>
        </w:rPr>
        <w:t xml:space="preserve"> </w:t>
      </w:r>
      <w:r w:rsidR="137922DB" w:rsidRPr="0036474B">
        <w:rPr>
          <w:rFonts w:ascii="Times New Roman" w:hAnsi="Times New Roman" w:cs="Times New Roman"/>
          <w:b/>
          <w:bCs/>
          <w:noProof/>
          <w:sz w:val="24"/>
          <w:szCs w:val="24"/>
          <w:lang w:val="en-GB"/>
        </w:rPr>
        <w:t>operates a</w:t>
      </w:r>
      <w:r w:rsidRPr="0036474B">
        <w:rPr>
          <w:rFonts w:ascii="Times New Roman" w:hAnsi="Times New Roman" w:cs="Times New Roman"/>
          <w:b/>
          <w:bCs/>
          <w:noProof/>
          <w:sz w:val="24"/>
          <w:szCs w:val="24"/>
          <w:lang w:val="en-GB"/>
        </w:rPr>
        <w:t xml:space="preserve"> predominantly bank-based</w:t>
      </w:r>
      <w:r w:rsidR="200DE8F7" w:rsidRPr="0036474B">
        <w:rPr>
          <w:rFonts w:ascii="Times New Roman" w:hAnsi="Times New Roman" w:cs="Times New Roman"/>
          <w:b/>
          <w:bCs/>
          <w:noProof/>
          <w:sz w:val="24"/>
          <w:szCs w:val="24"/>
          <w:lang w:val="en-GB"/>
        </w:rPr>
        <w:t xml:space="preserve"> financial system</w:t>
      </w:r>
      <w:r w:rsidRPr="0036474B">
        <w:rPr>
          <w:rFonts w:ascii="Times New Roman" w:hAnsi="Times New Roman" w:cs="Times New Roman"/>
          <w:b/>
          <w:bCs/>
          <w:noProof/>
          <w:sz w:val="24"/>
          <w:szCs w:val="24"/>
          <w:lang w:val="en-GB"/>
        </w:rPr>
        <w:t xml:space="preserve">, </w:t>
      </w:r>
      <w:r w:rsidR="54C319CE" w:rsidRPr="0036474B">
        <w:rPr>
          <w:rFonts w:ascii="Times New Roman" w:hAnsi="Times New Roman" w:cs="Times New Roman"/>
          <w:b/>
          <w:bCs/>
          <w:noProof/>
          <w:sz w:val="24"/>
          <w:szCs w:val="24"/>
          <w:lang w:val="en-GB"/>
        </w:rPr>
        <w:t>in which the</w:t>
      </w:r>
      <w:r w:rsidRPr="0036474B">
        <w:rPr>
          <w:rFonts w:ascii="Times New Roman" w:hAnsi="Times New Roman" w:cs="Times New Roman"/>
          <w:b/>
          <w:bCs/>
          <w:noProof/>
          <w:sz w:val="24"/>
          <w:szCs w:val="24"/>
          <w:lang w:val="en-GB"/>
        </w:rPr>
        <w:t xml:space="preserve"> banking sector </w:t>
      </w:r>
      <w:r w:rsidR="54C319CE" w:rsidRPr="0036474B">
        <w:rPr>
          <w:rFonts w:ascii="Times New Roman" w:hAnsi="Times New Roman" w:cs="Times New Roman"/>
          <w:b/>
          <w:bCs/>
          <w:noProof/>
          <w:sz w:val="24"/>
          <w:szCs w:val="24"/>
          <w:lang w:val="en-GB"/>
        </w:rPr>
        <w:t>plays a pivotal role in sustaining</w:t>
      </w:r>
      <w:r w:rsidR="594D79B6" w:rsidRPr="0036474B">
        <w:rPr>
          <w:rFonts w:ascii="Times New Roman" w:hAnsi="Times New Roman" w:cs="Times New Roman"/>
          <w:b/>
          <w:bCs/>
          <w:noProof/>
          <w:sz w:val="24"/>
          <w:szCs w:val="24"/>
          <w:lang w:val="en-GB"/>
        </w:rPr>
        <w:t xml:space="preserve"> economic activity</w:t>
      </w:r>
      <w:r w:rsidR="5786D121" w:rsidRPr="0036474B">
        <w:rPr>
          <w:rFonts w:ascii="Times New Roman" w:hAnsi="Times New Roman" w:cs="Times New Roman"/>
          <w:noProof/>
          <w:sz w:val="24"/>
          <w:szCs w:val="24"/>
          <w:lang w:val="en-GB"/>
        </w:rPr>
        <w:t xml:space="preserve">. </w:t>
      </w:r>
      <w:r w:rsidR="499C317B" w:rsidRPr="0036474B">
        <w:rPr>
          <w:rFonts w:ascii="Times New Roman" w:hAnsi="Times New Roman" w:cs="Times New Roman"/>
          <w:noProof/>
          <w:sz w:val="24"/>
          <w:szCs w:val="24"/>
          <w:lang w:val="en-GB"/>
        </w:rPr>
        <w:t>Banks serve as the primary engine of credit creation, investment financing, and monetary policy transmission</w:t>
      </w:r>
      <w:r w:rsidR="0012196E">
        <w:rPr>
          <w:rFonts w:ascii="Times New Roman" w:hAnsi="Times New Roman" w:cs="Times New Roman"/>
          <w:noProof/>
          <w:sz w:val="24"/>
          <w:szCs w:val="24"/>
          <w:lang w:val="en-GB"/>
        </w:rPr>
        <w:t xml:space="preserve">. </w:t>
      </w:r>
      <w:r w:rsidR="00582388">
        <w:rPr>
          <w:rFonts w:ascii="Times New Roman" w:hAnsi="Times New Roman" w:cs="Times New Roman"/>
          <w:noProof/>
          <w:sz w:val="24"/>
          <w:szCs w:val="24"/>
          <w:lang w:val="en-GB"/>
        </w:rPr>
        <w:t>These</w:t>
      </w:r>
      <w:r w:rsidR="499C317B" w:rsidRPr="0036474B">
        <w:rPr>
          <w:rFonts w:ascii="Times New Roman" w:hAnsi="Times New Roman" w:cs="Times New Roman"/>
          <w:noProof/>
          <w:sz w:val="24"/>
          <w:szCs w:val="24"/>
          <w:lang w:val="en-GB"/>
        </w:rPr>
        <w:t xml:space="preserve"> functions</w:t>
      </w:r>
      <w:r w:rsidR="19D9A21F" w:rsidRPr="0036474B">
        <w:rPr>
          <w:rFonts w:ascii="Times New Roman" w:hAnsi="Times New Roman" w:cs="Times New Roman"/>
          <w:noProof/>
          <w:sz w:val="24"/>
          <w:szCs w:val="24"/>
          <w:lang w:val="en-GB"/>
        </w:rPr>
        <w:t xml:space="preserve"> are underpinned by the diversity of the</w:t>
      </w:r>
      <w:r w:rsidR="003234F3">
        <w:rPr>
          <w:rFonts w:ascii="Times New Roman" w:hAnsi="Times New Roman" w:cs="Times New Roman"/>
          <w:noProof/>
          <w:sz w:val="24"/>
          <w:szCs w:val="24"/>
          <w:lang w:val="en-GB"/>
        </w:rPr>
        <w:t xml:space="preserve"> banks’</w:t>
      </w:r>
      <w:r w:rsidR="19D9A21F" w:rsidRPr="0036474B">
        <w:rPr>
          <w:rFonts w:ascii="Times New Roman" w:hAnsi="Times New Roman" w:cs="Times New Roman"/>
          <w:noProof/>
          <w:sz w:val="24"/>
          <w:szCs w:val="24"/>
          <w:lang w:val="en-GB"/>
        </w:rPr>
        <w:t xml:space="preserve"> business models and services.</w:t>
      </w:r>
      <w:r w:rsidR="10F8F6F8" w:rsidRPr="0036474B">
        <w:rPr>
          <w:rFonts w:ascii="Times New Roman" w:hAnsi="Times New Roman" w:cs="Times New Roman"/>
          <w:noProof/>
          <w:sz w:val="24"/>
          <w:szCs w:val="24"/>
          <w:lang w:val="en-GB"/>
        </w:rPr>
        <w:t xml:space="preserve"> </w:t>
      </w:r>
      <w:r w:rsidR="7053875E" w:rsidRPr="0036474B">
        <w:rPr>
          <w:rFonts w:ascii="Times New Roman" w:eastAsia="Times New Roman" w:hAnsi="Times New Roman" w:cs="Times New Roman"/>
          <w:noProof/>
          <w:color w:val="000000" w:themeColor="text1"/>
          <w:sz w:val="24"/>
          <w:szCs w:val="24"/>
        </w:rPr>
        <w:t>Th</w:t>
      </w:r>
      <w:r w:rsidR="48BCA337" w:rsidRPr="0036474B">
        <w:rPr>
          <w:rFonts w:ascii="Times New Roman" w:eastAsia="Times New Roman" w:hAnsi="Times New Roman" w:cs="Times New Roman"/>
          <w:noProof/>
          <w:color w:val="000000" w:themeColor="text1"/>
          <w:sz w:val="24"/>
          <w:szCs w:val="24"/>
        </w:rPr>
        <w:t xml:space="preserve">is pivotal role is </w:t>
      </w:r>
      <w:r w:rsidR="0D3951A7" w:rsidRPr="0036474B">
        <w:rPr>
          <w:rFonts w:ascii="Times New Roman" w:eastAsia="Times New Roman" w:hAnsi="Times New Roman" w:cs="Times New Roman"/>
          <w:noProof/>
          <w:color w:val="000000" w:themeColor="text1"/>
          <w:sz w:val="24"/>
          <w:szCs w:val="24"/>
        </w:rPr>
        <w:t xml:space="preserve">enabled </w:t>
      </w:r>
      <w:r w:rsidR="739A08D7" w:rsidRPr="0036474B">
        <w:rPr>
          <w:rFonts w:ascii="Times New Roman" w:eastAsia="Times New Roman" w:hAnsi="Times New Roman" w:cs="Times New Roman"/>
          <w:noProof/>
          <w:color w:val="000000" w:themeColor="text1"/>
          <w:sz w:val="24"/>
          <w:szCs w:val="24"/>
        </w:rPr>
        <w:t>by the structure of banks’</w:t>
      </w:r>
      <w:r w:rsidR="0329E874" w:rsidRPr="0036474B">
        <w:rPr>
          <w:rFonts w:ascii="Times New Roman" w:eastAsia="Times New Roman" w:hAnsi="Times New Roman" w:cs="Times New Roman"/>
          <w:noProof/>
          <w:color w:val="000000" w:themeColor="text1"/>
          <w:sz w:val="24"/>
          <w:szCs w:val="24"/>
        </w:rPr>
        <w:t xml:space="preserve"> balance sheet</w:t>
      </w:r>
      <w:r w:rsidR="68815EF5" w:rsidRPr="0036474B">
        <w:rPr>
          <w:rFonts w:ascii="Times New Roman" w:eastAsia="Times New Roman" w:hAnsi="Times New Roman" w:cs="Times New Roman"/>
          <w:noProof/>
          <w:color w:val="000000" w:themeColor="text1"/>
          <w:sz w:val="24"/>
          <w:szCs w:val="24"/>
        </w:rPr>
        <w:t>, which has historically rested on deposits as the primary and most stable source of funding</w:t>
      </w:r>
      <w:r w:rsidR="04D649D8" w:rsidRPr="0036474B">
        <w:rPr>
          <w:rFonts w:ascii="Times New Roman" w:eastAsia="Times New Roman" w:hAnsi="Times New Roman" w:cs="Times New Roman"/>
          <w:noProof/>
          <w:color w:val="000000" w:themeColor="text1"/>
          <w:sz w:val="24"/>
          <w:szCs w:val="24"/>
        </w:rPr>
        <w:t xml:space="preserve">. </w:t>
      </w:r>
      <w:r w:rsidR="4E02C54B" w:rsidRPr="0036474B">
        <w:rPr>
          <w:rFonts w:ascii="Times New Roman" w:eastAsia="Times New Roman" w:hAnsi="Times New Roman" w:cs="Times New Roman"/>
          <w:noProof/>
          <w:color w:val="000000" w:themeColor="text1"/>
          <w:sz w:val="24"/>
          <w:szCs w:val="24"/>
        </w:rPr>
        <w:t>Among such deposits, r</w:t>
      </w:r>
      <w:r w:rsidR="2B24DCA0" w:rsidRPr="0036474B">
        <w:rPr>
          <w:rFonts w:ascii="Times New Roman" w:eastAsia="Times New Roman" w:hAnsi="Times New Roman" w:cs="Times New Roman"/>
          <w:noProof/>
          <w:color w:val="000000" w:themeColor="text1"/>
          <w:sz w:val="24"/>
          <w:szCs w:val="24"/>
        </w:rPr>
        <w:t>etail deposits provide banks with a resilient</w:t>
      </w:r>
      <w:r w:rsidR="68148DC6" w:rsidRPr="0036474B">
        <w:rPr>
          <w:rFonts w:ascii="Times New Roman" w:eastAsia="Times New Roman" w:hAnsi="Times New Roman" w:cs="Times New Roman"/>
          <w:noProof/>
          <w:color w:val="000000" w:themeColor="text1"/>
          <w:sz w:val="24"/>
          <w:szCs w:val="24"/>
        </w:rPr>
        <w:t xml:space="preserve"> and </w:t>
      </w:r>
      <w:r w:rsidR="0E65E06D" w:rsidRPr="0036474B">
        <w:rPr>
          <w:rFonts w:ascii="Times New Roman" w:eastAsia="Times New Roman" w:hAnsi="Times New Roman" w:cs="Times New Roman"/>
          <w:noProof/>
          <w:color w:val="000000" w:themeColor="text1"/>
          <w:sz w:val="24"/>
          <w:szCs w:val="24"/>
        </w:rPr>
        <w:t>competitive</w:t>
      </w:r>
      <w:r w:rsidR="2B24DCA0" w:rsidRPr="0036474B">
        <w:rPr>
          <w:rFonts w:ascii="Times New Roman" w:eastAsia="Times New Roman" w:hAnsi="Times New Roman" w:cs="Times New Roman"/>
          <w:noProof/>
          <w:color w:val="000000" w:themeColor="text1"/>
          <w:sz w:val="24"/>
          <w:szCs w:val="24"/>
        </w:rPr>
        <w:t xml:space="preserve"> </w:t>
      </w:r>
      <w:r w:rsidR="5D996960" w:rsidRPr="0036474B">
        <w:rPr>
          <w:rFonts w:ascii="Times New Roman" w:eastAsia="Times New Roman" w:hAnsi="Times New Roman" w:cs="Times New Roman"/>
          <w:noProof/>
          <w:color w:val="000000" w:themeColor="text1"/>
          <w:sz w:val="24"/>
          <w:szCs w:val="24"/>
        </w:rPr>
        <w:t>funding base</w:t>
      </w:r>
      <w:r w:rsidR="009504C4">
        <w:rPr>
          <w:rFonts w:ascii="Times New Roman" w:eastAsia="Times New Roman" w:hAnsi="Times New Roman" w:cs="Times New Roman"/>
          <w:noProof/>
          <w:color w:val="000000" w:themeColor="text1"/>
          <w:sz w:val="24"/>
          <w:szCs w:val="24"/>
        </w:rPr>
        <w:t>. They are</w:t>
      </w:r>
      <w:r w:rsidR="009504C4" w:rsidRPr="00673AAF">
        <w:rPr>
          <w:rFonts w:ascii="Times New Roman" w:eastAsia="Times New Roman" w:hAnsi="Times New Roman" w:cs="Times New Roman"/>
          <w:noProof/>
          <w:color w:val="000000" w:themeColor="text1"/>
          <w:sz w:val="24"/>
          <w:szCs w:val="24"/>
        </w:rPr>
        <w:t xml:space="preserve"> usually</w:t>
      </w:r>
      <w:r w:rsidR="028E25CB" w:rsidRPr="0036474B">
        <w:rPr>
          <w:rFonts w:ascii="Times New Roman" w:eastAsia="Times New Roman" w:hAnsi="Times New Roman" w:cs="Times New Roman"/>
          <w:noProof/>
          <w:color w:val="000000" w:themeColor="text1"/>
          <w:sz w:val="24"/>
          <w:szCs w:val="24"/>
        </w:rPr>
        <w:t xml:space="preserve"> </w:t>
      </w:r>
      <w:r w:rsidR="501CAD35" w:rsidRPr="0036474B">
        <w:rPr>
          <w:rFonts w:ascii="Times New Roman" w:eastAsia="Times New Roman" w:hAnsi="Times New Roman" w:cs="Times New Roman"/>
          <w:noProof/>
          <w:color w:val="000000" w:themeColor="text1"/>
          <w:sz w:val="24"/>
          <w:szCs w:val="24"/>
        </w:rPr>
        <w:t>less sensitive to market volatility than wholesale financing</w:t>
      </w:r>
      <w:r w:rsidR="73F4B511" w:rsidRPr="0036474B">
        <w:rPr>
          <w:rFonts w:ascii="Times New Roman" w:eastAsia="Times New Roman" w:hAnsi="Times New Roman" w:cs="Times New Roman"/>
          <w:noProof/>
          <w:color w:val="000000" w:themeColor="text1"/>
          <w:sz w:val="24"/>
          <w:szCs w:val="24"/>
        </w:rPr>
        <w:t xml:space="preserve">, </w:t>
      </w:r>
      <w:r w:rsidR="04DBB6C5" w:rsidRPr="0036474B">
        <w:rPr>
          <w:rFonts w:ascii="Times New Roman" w:eastAsia="Times New Roman" w:hAnsi="Times New Roman" w:cs="Times New Roman"/>
          <w:noProof/>
          <w:color w:val="000000" w:themeColor="text1"/>
          <w:sz w:val="24"/>
          <w:szCs w:val="24"/>
        </w:rPr>
        <w:t>reflecting customer inertia and switching costs in</w:t>
      </w:r>
      <w:r w:rsidR="4C160857" w:rsidRPr="0036474B">
        <w:rPr>
          <w:rFonts w:ascii="Times New Roman" w:eastAsia="Times New Roman" w:hAnsi="Times New Roman" w:cs="Times New Roman"/>
          <w:noProof/>
          <w:color w:val="000000" w:themeColor="text1"/>
          <w:sz w:val="24"/>
          <w:szCs w:val="24"/>
        </w:rPr>
        <w:t>herent to</w:t>
      </w:r>
      <w:r w:rsidR="04DBB6C5" w:rsidRPr="0036474B">
        <w:rPr>
          <w:rFonts w:ascii="Times New Roman" w:eastAsia="Times New Roman" w:hAnsi="Times New Roman" w:cs="Times New Roman"/>
          <w:noProof/>
          <w:color w:val="000000" w:themeColor="text1"/>
          <w:sz w:val="24"/>
          <w:szCs w:val="24"/>
        </w:rPr>
        <w:t xml:space="preserve"> retail banking.</w:t>
      </w:r>
      <w:r w:rsidR="2BC84BB0" w:rsidRPr="0036474B">
        <w:rPr>
          <w:rFonts w:ascii="Times New Roman" w:eastAsia="Times New Roman" w:hAnsi="Times New Roman" w:cs="Times New Roman"/>
          <w:noProof/>
          <w:color w:val="000000" w:themeColor="text1"/>
          <w:sz w:val="24"/>
          <w:szCs w:val="24"/>
        </w:rPr>
        <w:t xml:space="preserve"> </w:t>
      </w:r>
      <w:r w:rsidR="73DA78B8" w:rsidRPr="0036474B">
        <w:rPr>
          <w:rFonts w:ascii="Times New Roman" w:eastAsia="Times New Roman" w:hAnsi="Times New Roman" w:cs="Times New Roman"/>
          <w:noProof/>
          <w:color w:val="000000" w:themeColor="text1"/>
          <w:sz w:val="24"/>
          <w:szCs w:val="24"/>
        </w:rPr>
        <w:t>This relative rigidity</w:t>
      </w:r>
      <w:r w:rsidR="60BC8C07" w:rsidRPr="0036474B">
        <w:rPr>
          <w:rFonts w:ascii="Times New Roman" w:eastAsia="Times New Roman" w:hAnsi="Times New Roman" w:cs="Times New Roman"/>
          <w:noProof/>
          <w:color w:val="000000" w:themeColor="text1"/>
          <w:sz w:val="24"/>
          <w:szCs w:val="24"/>
        </w:rPr>
        <w:t>, while moderating the speed of monetary policy pass-through</w:t>
      </w:r>
      <w:r w:rsidR="47A5CD95" w:rsidRPr="0036474B">
        <w:rPr>
          <w:rFonts w:ascii="Times New Roman" w:eastAsia="Times New Roman" w:hAnsi="Times New Roman" w:cs="Times New Roman"/>
          <w:noProof/>
          <w:color w:val="000000" w:themeColor="text1"/>
          <w:sz w:val="24"/>
          <w:szCs w:val="24"/>
        </w:rPr>
        <w:t xml:space="preserve">, reinforces the </w:t>
      </w:r>
      <w:r w:rsidR="00D431BB" w:rsidRPr="0036474B">
        <w:rPr>
          <w:rFonts w:ascii="Times New Roman" w:eastAsia="Times New Roman" w:hAnsi="Times New Roman" w:cs="Times New Roman"/>
          <w:noProof/>
          <w:color w:val="000000" w:themeColor="text1"/>
          <w:sz w:val="24"/>
          <w:szCs w:val="24"/>
        </w:rPr>
        <w:t>stability</w:t>
      </w:r>
      <w:r w:rsidR="47A5CD95" w:rsidRPr="0036474B">
        <w:rPr>
          <w:rFonts w:ascii="Times New Roman" w:eastAsia="Times New Roman" w:hAnsi="Times New Roman" w:cs="Times New Roman"/>
          <w:noProof/>
          <w:color w:val="000000" w:themeColor="text1"/>
          <w:sz w:val="24"/>
          <w:szCs w:val="24"/>
        </w:rPr>
        <w:t xml:space="preserve"> of deposit funding across interest rate cycles</w:t>
      </w:r>
      <w:r w:rsidR="4D00E431" w:rsidRPr="0036474B">
        <w:rPr>
          <w:rFonts w:ascii="Times New Roman" w:eastAsia="Times New Roman" w:hAnsi="Times New Roman" w:cs="Times New Roman"/>
          <w:noProof/>
          <w:color w:val="000000" w:themeColor="text1"/>
          <w:sz w:val="24"/>
          <w:szCs w:val="24"/>
        </w:rPr>
        <w:t>, making such deposits the cornerstone</w:t>
      </w:r>
      <w:r w:rsidR="467A2E6A" w:rsidRPr="0036474B">
        <w:rPr>
          <w:rFonts w:ascii="Times New Roman" w:eastAsia="Times New Roman" w:hAnsi="Times New Roman" w:cs="Times New Roman"/>
          <w:noProof/>
          <w:color w:val="000000" w:themeColor="text1"/>
          <w:sz w:val="24"/>
          <w:szCs w:val="24"/>
        </w:rPr>
        <w:t xml:space="preserve"> of the EU’s predominantly bank-based financial system.</w:t>
      </w:r>
      <w:r w:rsidR="04DBB6C5" w:rsidRPr="0036474B">
        <w:rPr>
          <w:rFonts w:ascii="Times New Roman" w:eastAsia="Times New Roman" w:hAnsi="Times New Roman" w:cs="Times New Roman"/>
          <w:noProof/>
          <w:color w:val="000000" w:themeColor="text1"/>
          <w:sz w:val="24"/>
          <w:szCs w:val="24"/>
        </w:rPr>
        <w:t xml:space="preserve"> The ECB's Economic Bulletin analysis</w:t>
      </w:r>
      <w:r w:rsidR="00DE05A8" w:rsidRPr="0036474B">
        <w:rPr>
          <w:rStyle w:val="FootnoteReference"/>
          <w:rFonts w:ascii="Times New Roman" w:hAnsi="Times New Roman" w:cs="Times New Roman"/>
          <w:noProof/>
          <w:sz w:val="24"/>
          <w:szCs w:val="24"/>
          <w:lang w:val="en-GB"/>
        </w:rPr>
        <w:footnoteReference w:id="7"/>
      </w:r>
      <w:r w:rsidR="04DBB6C5" w:rsidRPr="0036474B">
        <w:rPr>
          <w:rFonts w:ascii="Times New Roman" w:eastAsia="Times New Roman" w:hAnsi="Times New Roman" w:cs="Times New Roman"/>
          <w:noProof/>
          <w:color w:val="000000" w:themeColor="text1"/>
          <w:sz w:val="24"/>
          <w:szCs w:val="24"/>
        </w:rPr>
        <w:t xml:space="preserve"> </w:t>
      </w:r>
      <w:r w:rsidR="5FC5AB92" w:rsidRPr="0036474B">
        <w:rPr>
          <w:rFonts w:ascii="Times New Roman" w:eastAsia="Times New Roman" w:hAnsi="Times New Roman" w:cs="Times New Roman"/>
          <w:noProof/>
          <w:color w:val="000000" w:themeColor="text1"/>
          <w:sz w:val="24"/>
          <w:szCs w:val="24"/>
        </w:rPr>
        <w:t>confirm</w:t>
      </w:r>
      <w:r w:rsidR="2E90CDCF" w:rsidRPr="0036474B">
        <w:rPr>
          <w:rFonts w:ascii="Times New Roman" w:eastAsia="Times New Roman" w:hAnsi="Times New Roman" w:cs="Times New Roman"/>
          <w:noProof/>
          <w:color w:val="000000" w:themeColor="text1"/>
          <w:sz w:val="24"/>
          <w:szCs w:val="24"/>
        </w:rPr>
        <w:t>s</w:t>
      </w:r>
      <w:r w:rsidR="5FC5AB92" w:rsidRPr="0036474B">
        <w:rPr>
          <w:rFonts w:ascii="Times New Roman" w:eastAsia="Times New Roman" w:hAnsi="Times New Roman" w:cs="Times New Roman"/>
          <w:noProof/>
          <w:color w:val="000000" w:themeColor="text1"/>
          <w:sz w:val="24"/>
          <w:szCs w:val="24"/>
        </w:rPr>
        <w:t xml:space="preserve"> this conclusion</w:t>
      </w:r>
      <w:r w:rsidR="04DBB6C5" w:rsidRPr="0036474B">
        <w:rPr>
          <w:rFonts w:ascii="Times New Roman" w:eastAsia="Times New Roman" w:hAnsi="Times New Roman" w:cs="Times New Roman"/>
          <w:noProof/>
          <w:color w:val="000000" w:themeColor="text1"/>
          <w:sz w:val="24"/>
          <w:szCs w:val="24"/>
        </w:rPr>
        <w:t xml:space="preserve">, </w:t>
      </w:r>
      <w:r w:rsidR="22E0C321" w:rsidRPr="0036474B">
        <w:rPr>
          <w:rFonts w:ascii="Times New Roman" w:eastAsia="Times New Roman" w:hAnsi="Times New Roman" w:cs="Times New Roman"/>
          <w:noProof/>
          <w:color w:val="000000" w:themeColor="text1"/>
          <w:sz w:val="24"/>
          <w:szCs w:val="24"/>
        </w:rPr>
        <w:t xml:space="preserve">acknowledging the impact of </w:t>
      </w:r>
      <w:r w:rsidR="04DBB6C5" w:rsidRPr="0036474B">
        <w:rPr>
          <w:rFonts w:ascii="Times New Roman" w:eastAsia="Times New Roman" w:hAnsi="Times New Roman" w:cs="Times New Roman"/>
          <w:noProof/>
          <w:color w:val="000000" w:themeColor="text1"/>
          <w:sz w:val="24"/>
          <w:szCs w:val="24"/>
        </w:rPr>
        <w:t>national banking markets</w:t>
      </w:r>
      <w:r w:rsidR="22E0C321" w:rsidRPr="0036474B">
        <w:rPr>
          <w:rFonts w:ascii="Times New Roman" w:eastAsia="Times New Roman" w:hAnsi="Times New Roman" w:cs="Times New Roman"/>
          <w:noProof/>
          <w:color w:val="000000" w:themeColor="text1"/>
          <w:sz w:val="24"/>
          <w:szCs w:val="24"/>
        </w:rPr>
        <w:t>’ structure</w:t>
      </w:r>
      <w:r w:rsidR="04DBB6C5" w:rsidRPr="0036474B">
        <w:rPr>
          <w:rFonts w:ascii="Times New Roman" w:eastAsia="Times New Roman" w:hAnsi="Times New Roman" w:cs="Times New Roman"/>
          <w:noProof/>
          <w:color w:val="000000" w:themeColor="text1"/>
          <w:sz w:val="24"/>
          <w:szCs w:val="24"/>
        </w:rPr>
        <w:t xml:space="preserve"> and </w:t>
      </w:r>
      <w:r w:rsidR="78E18B33" w:rsidRPr="0036474B">
        <w:rPr>
          <w:rFonts w:ascii="Times New Roman" w:eastAsia="Times New Roman" w:hAnsi="Times New Roman" w:cs="Times New Roman"/>
          <w:noProof/>
          <w:color w:val="000000" w:themeColor="text1"/>
          <w:sz w:val="24"/>
          <w:szCs w:val="24"/>
        </w:rPr>
        <w:t xml:space="preserve">remaining </w:t>
      </w:r>
      <w:r w:rsidR="04DBB6C5" w:rsidRPr="0036474B">
        <w:rPr>
          <w:rFonts w:ascii="Times New Roman" w:eastAsia="Times New Roman" w:hAnsi="Times New Roman" w:cs="Times New Roman"/>
          <w:noProof/>
          <w:color w:val="000000" w:themeColor="text1"/>
          <w:sz w:val="24"/>
          <w:szCs w:val="24"/>
        </w:rPr>
        <w:t>differences in</w:t>
      </w:r>
      <w:r w:rsidR="78E18B33" w:rsidRPr="0036474B">
        <w:rPr>
          <w:rFonts w:ascii="Times New Roman" w:eastAsia="Times New Roman" w:hAnsi="Times New Roman" w:cs="Times New Roman"/>
          <w:noProof/>
          <w:color w:val="000000" w:themeColor="text1"/>
          <w:sz w:val="24"/>
          <w:szCs w:val="24"/>
        </w:rPr>
        <w:t xml:space="preserve"> the EU</w:t>
      </w:r>
      <w:r w:rsidR="04DBB6C5" w:rsidRPr="0036474B">
        <w:rPr>
          <w:rFonts w:ascii="Times New Roman" w:eastAsia="Times New Roman" w:hAnsi="Times New Roman" w:cs="Times New Roman"/>
          <w:noProof/>
          <w:color w:val="000000" w:themeColor="text1"/>
          <w:sz w:val="24"/>
          <w:szCs w:val="24"/>
        </w:rPr>
        <w:t xml:space="preserve"> deposit insurance frameworks.</w:t>
      </w:r>
    </w:p>
    <w:p w14:paraId="402527A0" w14:textId="2C539E7B" w:rsidR="008F539D" w:rsidRPr="0036474B" w:rsidRDefault="008F539D" w:rsidP="1F722A72">
      <w:pPr>
        <w:spacing w:before="80" w:after="80" w:line="276" w:lineRule="auto"/>
        <w:jc w:val="both"/>
        <w:rPr>
          <w:rFonts w:ascii="Times New Roman" w:eastAsia="Times New Roman" w:hAnsi="Times New Roman" w:cs="Times New Roman"/>
          <w:noProof/>
          <w:color w:val="000000" w:themeColor="text1"/>
          <w:sz w:val="24"/>
          <w:szCs w:val="24"/>
          <w:lang w:val="en-GB"/>
        </w:rPr>
      </w:pPr>
    </w:p>
    <w:p w14:paraId="55DDCB31" w14:textId="4C2E1F5B" w:rsidR="001A6A84" w:rsidRPr="001752EA" w:rsidRDefault="145492A3" w:rsidP="00B00C18">
      <w:pPr>
        <w:pStyle w:val="ListParagraph"/>
        <w:numPr>
          <w:ilvl w:val="2"/>
          <w:numId w:val="11"/>
        </w:numPr>
        <w:ind w:left="1077"/>
        <w:outlineLvl w:val="2"/>
        <w:rPr>
          <w:rFonts w:ascii="Times New Roman" w:hAnsi="Times New Roman" w:cs="Times New Roman"/>
          <w:b/>
          <w:noProof/>
          <w:sz w:val="24"/>
          <w:szCs w:val="24"/>
          <w:lang w:val="en-GB"/>
        </w:rPr>
      </w:pPr>
      <w:bookmarkStart w:id="9" w:name="_Toc1325424760"/>
      <w:bookmarkStart w:id="10" w:name="_Toc234341723"/>
      <w:r w:rsidRPr="001752EA">
        <w:rPr>
          <w:rFonts w:ascii="Times New Roman" w:hAnsi="Times New Roman" w:cs="Times New Roman"/>
          <w:b/>
          <w:noProof/>
          <w:sz w:val="24"/>
          <w:szCs w:val="24"/>
          <w:lang w:val="en-GB"/>
        </w:rPr>
        <w:t>L</w:t>
      </w:r>
      <w:r w:rsidR="001A4216" w:rsidRPr="001752EA">
        <w:rPr>
          <w:rFonts w:ascii="Times New Roman" w:hAnsi="Times New Roman" w:cs="Times New Roman"/>
          <w:b/>
          <w:noProof/>
          <w:sz w:val="24"/>
          <w:szCs w:val="24"/>
          <w:lang w:val="en-GB"/>
        </w:rPr>
        <w:t xml:space="preserve">ending: </w:t>
      </w:r>
      <w:r w:rsidR="00780142">
        <w:rPr>
          <w:rFonts w:ascii="Times New Roman" w:hAnsi="Times New Roman" w:cs="Times New Roman"/>
          <w:b/>
          <w:noProof/>
          <w:sz w:val="24"/>
          <w:szCs w:val="24"/>
          <w:lang w:val="en-GB"/>
        </w:rPr>
        <w:t>EU banks’</w:t>
      </w:r>
      <w:r w:rsidR="00780142" w:rsidRPr="001752EA">
        <w:rPr>
          <w:rFonts w:ascii="Times New Roman" w:hAnsi="Times New Roman" w:cs="Times New Roman"/>
          <w:b/>
          <w:noProof/>
          <w:sz w:val="24"/>
          <w:szCs w:val="24"/>
          <w:lang w:val="en-GB"/>
        </w:rPr>
        <w:t xml:space="preserve"> </w:t>
      </w:r>
      <w:r w:rsidR="001A4216" w:rsidRPr="001752EA">
        <w:rPr>
          <w:rFonts w:ascii="Times New Roman" w:hAnsi="Times New Roman" w:cs="Times New Roman"/>
          <w:b/>
          <w:noProof/>
          <w:sz w:val="24"/>
          <w:szCs w:val="24"/>
          <w:lang w:val="en-GB"/>
        </w:rPr>
        <w:t>core financing function</w:t>
      </w:r>
      <w:bookmarkEnd w:id="9"/>
      <w:bookmarkEnd w:id="10"/>
    </w:p>
    <w:p w14:paraId="30712C68" w14:textId="67FD3B67" w:rsidR="00AA6141" w:rsidRPr="0036474B" w:rsidRDefault="7EB261D0" w:rsidP="77BB1F80">
      <w:pPr>
        <w:jc w:val="both"/>
        <w:rPr>
          <w:rFonts w:ascii="Times New Roman" w:eastAsia="Times New Roman" w:hAnsi="Times New Roman" w:cs="Times New Roman"/>
          <w:noProof/>
          <w:sz w:val="24"/>
          <w:szCs w:val="24"/>
          <w:lang w:val="en-GB"/>
        </w:rPr>
      </w:pPr>
      <w:r w:rsidRPr="0036474B">
        <w:rPr>
          <w:rFonts w:ascii="Times New Roman" w:hAnsi="Times New Roman" w:cs="Times New Roman"/>
          <w:b/>
          <w:bCs/>
          <w:noProof/>
          <w:sz w:val="24"/>
          <w:szCs w:val="24"/>
          <w:lang w:val="en-GB"/>
        </w:rPr>
        <w:t xml:space="preserve">EU </w:t>
      </w:r>
      <w:r w:rsidR="2F93A31C" w:rsidRPr="0036474B">
        <w:rPr>
          <w:rFonts w:ascii="Times New Roman" w:hAnsi="Times New Roman" w:cs="Times New Roman"/>
          <w:b/>
          <w:bCs/>
          <w:noProof/>
          <w:sz w:val="24"/>
          <w:szCs w:val="24"/>
          <w:lang w:val="en-GB"/>
        </w:rPr>
        <w:t xml:space="preserve">banks </w:t>
      </w:r>
      <w:r w:rsidR="00D431BB">
        <w:rPr>
          <w:rFonts w:ascii="Times New Roman" w:hAnsi="Times New Roman" w:cs="Times New Roman"/>
          <w:b/>
          <w:bCs/>
          <w:noProof/>
          <w:sz w:val="24"/>
          <w:szCs w:val="24"/>
          <w:lang w:val="en-GB"/>
        </w:rPr>
        <w:t>are</w:t>
      </w:r>
      <w:r w:rsidR="00D431BB" w:rsidRPr="0036474B">
        <w:rPr>
          <w:rFonts w:ascii="Times New Roman" w:hAnsi="Times New Roman" w:cs="Times New Roman"/>
          <w:b/>
          <w:bCs/>
          <w:noProof/>
          <w:sz w:val="24"/>
          <w:szCs w:val="24"/>
          <w:lang w:val="en-GB"/>
        </w:rPr>
        <w:t xml:space="preserve"> </w:t>
      </w:r>
      <w:r w:rsidR="4874B249" w:rsidRPr="0036474B">
        <w:rPr>
          <w:rFonts w:ascii="Times New Roman" w:hAnsi="Times New Roman" w:cs="Times New Roman"/>
          <w:b/>
          <w:bCs/>
          <w:noProof/>
          <w:sz w:val="24"/>
          <w:szCs w:val="24"/>
          <w:lang w:val="en-GB"/>
        </w:rPr>
        <w:t>the primary source</w:t>
      </w:r>
      <w:r w:rsidR="2F93A31C" w:rsidRPr="0036474B">
        <w:rPr>
          <w:rFonts w:ascii="Times New Roman" w:hAnsi="Times New Roman" w:cs="Times New Roman"/>
          <w:b/>
          <w:bCs/>
          <w:noProof/>
          <w:sz w:val="24"/>
          <w:szCs w:val="24"/>
          <w:lang w:val="en-GB"/>
        </w:rPr>
        <w:t xml:space="preserve"> of financing to the real economy</w:t>
      </w:r>
      <w:r w:rsidR="2F93A31C" w:rsidRPr="0036474B">
        <w:rPr>
          <w:rFonts w:ascii="Times New Roman" w:hAnsi="Times New Roman" w:cs="Times New Roman"/>
          <w:noProof/>
          <w:sz w:val="24"/>
          <w:szCs w:val="24"/>
          <w:lang w:val="en-GB"/>
        </w:rPr>
        <w:t xml:space="preserve">. </w:t>
      </w:r>
      <w:r w:rsidR="6136065D" w:rsidRPr="0036474B">
        <w:rPr>
          <w:rFonts w:ascii="Times New Roman" w:hAnsi="Times New Roman" w:cs="Times New Roman"/>
          <w:noProof/>
          <w:sz w:val="24"/>
          <w:szCs w:val="24"/>
          <w:lang w:val="en-GB"/>
        </w:rPr>
        <w:t xml:space="preserve">As of June 2025, </w:t>
      </w:r>
      <w:r w:rsidR="67232264" w:rsidRPr="0036474B">
        <w:rPr>
          <w:rFonts w:ascii="Times New Roman" w:hAnsi="Times New Roman" w:cs="Times New Roman"/>
          <w:noProof/>
          <w:sz w:val="24"/>
          <w:szCs w:val="24"/>
          <w:lang w:val="en-GB"/>
        </w:rPr>
        <w:t xml:space="preserve">the aggregated assets of </w:t>
      </w:r>
      <w:r w:rsidR="5E6E0F20" w:rsidRPr="0036474B">
        <w:rPr>
          <w:rFonts w:ascii="Times New Roman" w:hAnsi="Times New Roman" w:cs="Times New Roman"/>
          <w:noProof/>
          <w:sz w:val="24"/>
          <w:szCs w:val="24"/>
          <w:lang w:val="en-GB"/>
        </w:rPr>
        <w:t>EU/EEA banks reached EUR 29 trillion</w:t>
      </w:r>
      <w:r w:rsidR="00FC0C47" w:rsidRPr="0036474B">
        <w:rPr>
          <w:rFonts w:ascii="Times New Roman" w:hAnsi="Times New Roman" w:cs="Times New Roman"/>
          <w:noProof/>
          <w:sz w:val="24"/>
          <w:szCs w:val="24"/>
          <w:lang w:val="en-GB"/>
        </w:rPr>
        <w:t xml:space="preserve"> equivalent to roughly 80% of EU GDP</w:t>
      </w:r>
      <w:r w:rsidR="10F0FA59" w:rsidRPr="0036474B">
        <w:rPr>
          <w:rFonts w:ascii="Times New Roman" w:hAnsi="Times New Roman" w:cs="Times New Roman"/>
          <w:noProof/>
          <w:sz w:val="24"/>
          <w:szCs w:val="24"/>
          <w:lang w:val="en-GB"/>
        </w:rPr>
        <w:t xml:space="preserve">, </w:t>
      </w:r>
      <w:r w:rsidR="02F9B163" w:rsidRPr="0036474B">
        <w:rPr>
          <w:rFonts w:ascii="Times New Roman" w:hAnsi="Times New Roman" w:cs="Times New Roman"/>
          <w:noProof/>
          <w:sz w:val="24"/>
          <w:szCs w:val="24"/>
          <w:lang w:val="en-GB"/>
        </w:rPr>
        <w:t>with</w:t>
      </w:r>
      <w:r w:rsidR="445878A2" w:rsidRPr="0036474B">
        <w:rPr>
          <w:rFonts w:ascii="Times New Roman" w:hAnsi="Times New Roman" w:cs="Times New Roman"/>
          <w:noProof/>
          <w:sz w:val="24"/>
          <w:szCs w:val="24"/>
          <w:lang w:val="en-GB"/>
        </w:rPr>
        <w:t xml:space="preserve"> loans and advances </w:t>
      </w:r>
      <w:r w:rsidR="02F9B163" w:rsidRPr="0036474B">
        <w:rPr>
          <w:rFonts w:ascii="Times New Roman" w:hAnsi="Times New Roman" w:cs="Times New Roman"/>
          <w:noProof/>
          <w:sz w:val="24"/>
          <w:szCs w:val="24"/>
          <w:lang w:val="en-GB"/>
        </w:rPr>
        <w:t xml:space="preserve">accounting for </w:t>
      </w:r>
      <w:r w:rsidR="445878A2" w:rsidRPr="0036474B">
        <w:rPr>
          <w:rFonts w:ascii="Times New Roman" w:hAnsi="Times New Roman" w:cs="Times New Roman"/>
          <w:noProof/>
          <w:sz w:val="24"/>
          <w:szCs w:val="24"/>
          <w:lang w:val="en-GB"/>
        </w:rPr>
        <w:t>63</w:t>
      </w:r>
      <w:r w:rsidR="22A9E90F" w:rsidRPr="0036474B">
        <w:rPr>
          <w:rFonts w:ascii="Times New Roman" w:hAnsi="Times New Roman" w:cs="Times New Roman"/>
          <w:noProof/>
          <w:sz w:val="24"/>
          <w:szCs w:val="24"/>
          <w:lang w:val="en-GB"/>
        </w:rPr>
        <w:t>% of total assets</w:t>
      </w:r>
      <w:r w:rsidR="00C03267">
        <w:rPr>
          <w:rFonts w:ascii="Times New Roman" w:hAnsi="Times New Roman" w:cs="Times New Roman"/>
          <w:noProof/>
          <w:sz w:val="24"/>
          <w:szCs w:val="24"/>
          <w:lang w:val="en-GB"/>
        </w:rPr>
        <w:t xml:space="preserve"> (</w:t>
      </w:r>
      <w:r w:rsidR="00C34CCF">
        <w:rPr>
          <w:rFonts w:ascii="Times New Roman" w:hAnsi="Times New Roman" w:cs="Times New Roman"/>
          <w:noProof/>
          <w:sz w:val="24"/>
          <w:szCs w:val="24"/>
          <w:lang w:val="en-GB"/>
        </w:rPr>
        <w:t>EUR 20.3 trillion)</w:t>
      </w:r>
      <w:r w:rsidR="02F9B163" w:rsidRPr="0036474B">
        <w:rPr>
          <w:rFonts w:ascii="Times New Roman" w:hAnsi="Times New Roman" w:cs="Times New Roman"/>
          <w:noProof/>
          <w:sz w:val="24"/>
          <w:szCs w:val="24"/>
          <w:lang w:val="en-GB"/>
        </w:rPr>
        <w:t xml:space="preserve">. </w:t>
      </w:r>
      <w:r w:rsidRPr="0036474B">
        <w:rPr>
          <w:rFonts w:ascii="Times New Roman" w:hAnsi="Times New Roman" w:cs="Times New Roman"/>
          <w:noProof/>
          <w:sz w:val="24"/>
          <w:szCs w:val="24"/>
          <w:lang w:val="en-GB"/>
        </w:rPr>
        <w:fldChar w:fldCharType="begin"/>
      </w:r>
      <w:r w:rsidRPr="0036474B">
        <w:rPr>
          <w:rFonts w:ascii="Times New Roman" w:hAnsi="Times New Roman" w:cs="Times New Roman"/>
          <w:noProof/>
          <w:sz w:val="24"/>
          <w:szCs w:val="24"/>
          <w:lang w:val="en-GB"/>
        </w:rPr>
        <w:instrText xml:space="preserve"> REF _Ref230165523 \h </w:instrText>
      </w:r>
      <w:r w:rsidR="00064CC0">
        <w:rPr>
          <w:rFonts w:ascii="Times New Roman" w:hAnsi="Times New Roman" w:cs="Times New Roman"/>
          <w:noProof/>
          <w:sz w:val="24"/>
          <w:szCs w:val="24"/>
          <w:lang w:val="en-GB"/>
        </w:rPr>
        <w:instrText xml:space="preserve"> \* MERGEFORMAT </w:instrText>
      </w:r>
      <w:r w:rsidRPr="0036474B">
        <w:rPr>
          <w:rFonts w:ascii="Times New Roman" w:hAnsi="Times New Roman" w:cs="Times New Roman"/>
          <w:noProof/>
          <w:sz w:val="24"/>
          <w:szCs w:val="24"/>
          <w:lang w:val="en-GB"/>
        </w:rPr>
      </w:r>
      <w:r w:rsidRPr="0036474B">
        <w:rPr>
          <w:rFonts w:ascii="Times New Roman" w:hAnsi="Times New Roman" w:cs="Times New Roman"/>
          <w:noProof/>
          <w:sz w:val="24"/>
          <w:szCs w:val="24"/>
          <w:lang w:val="en-GB"/>
        </w:rPr>
        <w:fldChar w:fldCharType="separate"/>
      </w:r>
      <w:r w:rsidR="00263CCB">
        <w:rPr>
          <w:rFonts w:ascii="Times New Roman" w:hAnsi="Times New Roman" w:cs="Times New Roman"/>
          <w:b/>
          <w:bCs/>
          <w:noProof/>
          <w:sz w:val="24"/>
          <w:szCs w:val="24"/>
          <w:lang w:val="en-US"/>
        </w:rPr>
        <w:t>Error! Reference source not found.</w:t>
      </w:r>
      <w:r w:rsidRPr="0036474B">
        <w:rPr>
          <w:rFonts w:ascii="Times New Roman" w:hAnsi="Times New Roman" w:cs="Times New Roman"/>
          <w:noProof/>
          <w:sz w:val="24"/>
          <w:szCs w:val="24"/>
          <w:lang w:val="en-GB"/>
        </w:rPr>
        <w:fldChar w:fldCharType="end"/>
      </w:r>
      <w:r w:rsidR="00C64BC7">
        <w:rPr>
          <w:rFonts w:ascii="Times New Roman" w:hAnsi="Times New Roman" w:cs="Times New Roman"/>
          <w:noProof/>
          <w:sz w:val="24"/>
          <w:szCs w:val="24"/>
          <w:lang w:val="en-GB"/>
        </w:rPr>
        <w:fldChar w:fldCharType="begin"/>
      </w:r>
      <w:r w:rsidR="00C64BC7">
        <w:rPr>
          <w:rFonts w:ascii="Times New Roman" w:hAnsi="Times New Roman" w:cs="Times New Roman"/>
          <w:noProof/>
          <w:sz w:val="24"/>
          <w:szCs w:val="24"/>
          <w:lang w:val="en-GB"/>
        </w:rPr>
        <w:instrText xml:space="preserve"> REF _Ref233723569 \h </w:instrText>
      </w:r>
      <w:r w:rsidR="00C64BC7">
        <w:rPr>
          <w:rFonts w:ascii="Times New Roman" w:hAnsi="Times New Roman" w:cs="Times New Roman"/>
          <w:noProof/>
          <w:sz w:val="24"/>
          <w:szCs w:val="24"/>
          <w:lang w:val="en-GB"/>
        </w:rPr>
      </w:r>
      <w:r w:rsidR="00C64BC7">
        <w:rPr>
          <w:rFonts w:ascii="Times New Roman" w:hAnsi="Times New Roman" w:cs="Times New Roman"/>
          <w:noProof/>
          <w:sz w:val="24"/>
          <w:szCs w:val="24"/>
          <w:lang w:val="en-GB"/>
        </w:rPr>
        <w:fldChar w:fldCharType="separate"/>
      </w:r>
      <w:r w:rsidR="00263CCB" w:rsidRPr="00263CCB">
        <w:rPr>
          <w:rFonts w:ascii="Times New Roman" w:eastAsia="Times New Roman" w:hAnsi="Times New Roman" w:cs="Times New Roman"/>
          <w:noProof/>
          <w:sz w:val="24"/>
          <w:szCs w:val="24"/>
        </w:rPr>
        <w:t xml:space="preserve">Figure </w:t>
      </w:r>
      <w:r w:rsidR="00263CCB" w:rsidRPr="00263CCB">
        <w:rPr>
          <w:rFonts w:ascii="Times New Roman" w:eastAsia="Times New Roman" w:hAnsi="Times New Roman" w:cs="Times New Roman"/>
          <w:i/>
          <w:noProof/>
          <w:sz w:val="24"/>
          <w:szCs w:val="24"/>
        </w:rPr>
        <w:t>1</w:t>
      </w:r>
      <w:r w:rsidR="00C64BC7">
        <w:rPr>
          <w:rFonts w:ascii="Times New Roman" w:hAnsi="Times New Roman" w:cs="Times New Roman"/>
          <w:noProof/>
          <w:sz w:val="24"/>
          <w:szCs w:val="24"/>
          <w:lang w:val="en-GB"/>
        </w:rPr>
        <w:fldChar w:fldCharType="end"/>
      </w:r>
      <w:r w:rsidR="02F9B163" w:rsidRPr="0036474B">
        <w:rPr>
          <w:rFonts w:ascii="Times New Roman" w:eastAsia="Times New Roman" w:hAnsi="Times New Roman" w:cs="Times New Roman"/>
          <w:noProof/>
          <w:sz w:val="24"/>
          <w:szCs w:val="24"/>
          <w:lang w:val="en-GB"/>
        </w:rPr>
        <w:t xml:space="preserve"> underscore</w:t>
      </w:r>
      <w:r w:rsidR="516C02BB" w:rsidRPr="0036474B">
        <w:rPr>
          <w:rFonts w:ascii="Times New Roman" w:eastAsia="Times New Roman" w:hAnsi="Times New Roman" w:cs="Times New Roman"/>
          <w:noProof/>
          <w:sz w:val="24"/>
          <w:szCs w:val="24"/>
          <w:lang w:val="en-GB"/>
        </w:rPr>
        <w:t>s</w:t>
      </w:r>
      <w:r w:rsidR="02F9B163" w:rsidRPr="0036474B">
        <w:rPr>
          <w:rFonts w:ascii="Times New Roman" w:eastAsia="Times New Roman" w:hAnsi="Times New Roman" w:cs="Times New Roman"/>
          <w:noProof/>
          <w:sz w:val="24"/>
          <w:szCs w:val="24"/>
          <w:lang w:val="en-GB"/>
        </w:rPr>
        <w:t xml:space="preserve"> </w:t>
      </w:r>
      <w:r w:rsidR="0A53AF62" w:rsidRPr="0036474B">
        <w:rPr>
          <w:rFonts w:ascii="Times New Roman" w:eastAsia="Times New Roman" w:hAnsi="Times New Roman" w:cs="Times New Roman"/>
          <w:noProof/>
          <w:sz w:val="24"/>
          <w:szCs w:val="24"/>
          <w:lang w:val="en-GB"/>
        </w:rPr>
        <w:t>the</w:t>
      </w:r>
      <w:r w:rsidR="18A91A16" w:rsidRPr="0036474B">
        <w:rPr>
          <w:rFonts w:ascii="Times New Roman" w:eastAsia="Times New Roman" w:hAnsi="Times New Roman" w:cs="Times New Roman"/>
          <w:noProof/>
          <w:sz w:val="24"/>
          <w:szCs w:val="24"/>
          <w:lang w:val="en-GB"/>
        </w:rPr>
        <w:t xml:space="preserve"> </w:t>
      </w:r>
      <w:r w:rsidR="0A53AF62" w:rsidRPr="0036474B">
        <w:rPr>
          <w:rFonts w:ascii="Times New Roman" w:eastAsia="Times New Roman" w:hAnsi="Times New Roman" w:cs="Times New Roman"/>
          <w:noProof/>
          <w:sz w:val="24"/>
          <w:szCs w:val="24"/>
          <w:lang w:val="en-GB"/>
        </w:rPr>
        <w:t xml:space="preserve">criticality of bank financing </w:t>
      </w:r>
      <w:r w:rsidR="001C10C4" w:rsidRPr="0036474B">
        <w:rPr>
          <w:rFonts w:ascii="Times New Roman" w:eastAsia="Times New Roman" w:hAnsi="Times New Roman" w:cs="Times New Roman"/>
          <w:noProof/>
          <w:sz w:val="24"/>
          <w:szCs w:val="24"/>
          <w:lang w:val="en-GB"/>
        </w:rPr>
        <w:t xml:space="preserve">for </w:t>
      </w:r>
      <w:r w:rsidR="1AE76F98" w:rsidRPr="0036474B">
        <w:rPr>
          <w:rFonts w:ascii="Times New Roman" w:eastAsia="Times New Roman" w:hAnsi="Times New Roman" w:cs="Times New Roman"/>
          <w:noProof/>
          <w:sz w:val="24"/>
          <w:szCs w:val="24"/>
          <w:lang w:val="en-GB"/>
        </w:rPr>
        <w:t xml:space="preserve">the </w:t>
      </w:r>
      <w:r w:rsidR="0A53AF62" w:rsidRPr="0036474B">
        <w:rPr>
          <w:rFonts w:ascii="Times New Roman" w:eastAsia="Times New Roman" w:hAnsi="Times New Roman" w:cs="Times New Roman"/>
          <w:noProof/>
          <w:sz w:val="24"/>
          <w:szCs w:val="24"/>
          <w:lang w:val="en-GB"/>
        </w:rPr>
        <w:t>EU economy</w:t>
      </w:r>
      <w:r w:rsidR="792F2E1D" w:rsidRPr="0036474B">
        <w:rPr>
          <w:rFonts w:ascii="Times New Roman" w:eastAsia="Times New Roman" w:hAnsi="Times New Roman" w:cs="Times New Roman"/>
          <w:noProof/>
          <w:sz w:val="24"/>
          <w:szCs w:val="24"/>
          <w:lang w:val="en-GB"/>
        </w:rPr>
        <w:t>.</w:t>
      </w:r>
      <w:r w:rsidR="5E98DECF" w:rsidRPr="0036474B">
        <w:rPr>
          <w:rFonts w:ascii="Times New Roman" w:eastAsia="Times New Roman" w:hAnsi="Times New Roman" w:cs="Times New Roman"/>
          <w:noProof/>
          <w:sz w:val="24"/>
          <w:szCs w:val="24"/>
          <w:lang w:val="en-GB"/>
        </w:rPr>
        <w:t xml:space="preserve"> This aggregate figure </w:t>
      </w:r>
      <w:r w:rsidR="00607AC4">
        <w:rPr>
          <w:rFonts w:ascii="Times New Roman" w:eastAsia="Times New Roman" w:hAnsi="Times New Roman" w:cs="Times New Roman"/>
          <w:noProof/>
          <w:sz w:val="24"/>
          <w:szCs w:val="24"/>
          <w:lang w:val="en-GB"/>
        </w:rPr>
        <w:t>hides</w:t>
      </w:r>
      <w:r w:rsidR="00607AC4" w:rsidRPr="0036474B">
        <w:rPr>
          <w:rFonts w:ascii="Times New Roman" w:eastAsia="Times New Roman" w:hAnsi="Times New Roman" w:cs="Times New Roman"/>
          <w:noProof/>
          <w:sz w:val="24"/>
          <w:szCs w:val="24"/>
          <w:lang w:val="en-GB"/>
        </w:rPr>
        <w:t xml:space="preserve"> </w:t>
      </w:r>
      <w:r w:rsidR="5E98DECF" w:rsidRPr="0036474B">
        <w:rPr>
          <w:rFonts w:ascii="Times New Roman" w:eastAsia="Times New Roman" w:hAnsi="Times New Roman" w:cs="Times New Roman"/>
          <w:noProof/>
          <w:sz w:val="24"/>
          <w:szCs w:val="24"/>
          <w:lang w:val="en-GB"/>
        </w:rPr>
        <w:t xml:space="preserve">however substantial variation across different types of borrowers. </w:t>
      </w:r>
      <w:r w:rsidR="00853BF3" w:rsidRPr="4437E6DE">
        <w:rPr>
          <w:rFonts w:ascii="Times New Roman" w:hAnsi="Times New Roman" w:cs="Times New Roman"/>
          <w:noProof/>
          <w:sz w:val="24"/>
          <w:szCs w:val="24"/>
          <w:lang w:val="en-GB"/>
        </w:rPr>
        <w:t xml:space="preserve">As of </w:t>
      </w:r>
      <w:r w:rsidR="00853BF3" w:rsidRPr="0BB48CD5">
        <w:rPr>
          <w:rFonts w:ascii="Times New Roman" w:hAnsi="Times New Roman" w:cs="Times New Roman"/>
          <w:noProof/>
          <w:sz w:val="24"/>
          <w:szCs w:val="24"/>
          <w:lang w:val="en-GB"/>
        </w:rPr>
        <w:t xml:space="preserve">December </w:t>
      </w:r>
      <w:r w:rsidR="00853BF3" w:rsidRPr="4437E6DE">
        <w:rPr>
          <w:rFonts w:ascii="Times New Roman" w:hAnsi="Times New Roman" w:cs="Times New Roman"/>
          <w:noProof/>
          <w:sz w:val="24"/>
          <w:szCs w:val="24"/>
          <w:lang w:val="en-GB"/>
        </w:rPr>
        <w:t xml:space="preserve">2025, </w:t>
      </w:r>
      <w:r w:rsidR="00853BF3" w:rsidRPr="0BB48CD5">
        <w:rPr>
          <w:rFonts w:ascii="Times New Roman" w:hAnsi="Times New Roman" w:cs="Times New Roman"/>
          <w:noProof/>
          <w:sz w:val="24"/>
          <w:szCs w:val="24"/>
          <w:lang w:val="en-GB"/>
        </w:rPr>
        <w:t>6</w:t>
      </w:r>
      <w:r w:rsidR="00853BF3">
        <w:rPr>
          <w:rFonts w:ascii="Times New Roman" w:hAnsi="Times New Roman" w:cs="Times New Roman"/>
          <w:noProof/>
          <w:sz w:val="24"/>
          <w:szCs w:val="24"/>
          <w:lang w:val="en-GB"/>
        </w:rPr>
        <w:t>6</w:t>
      </w:r>
      <w:r w:rsidR="00853BF3" w:rsidRPr="4437E6DE">
        <w:rPr>
          <w:rFonts w:ascii="Times New Roman" w:hAnsi="Times New Roman" w:cs="Times New Roman"/>
          <w:noProof/>
          <w:sz w:val="24"/>
          <w:szCs w:val="24"/>
          <w:lang w:val="en-GB"/>
        </w:rPr>
        <w:t>% of the outstanding loans and advances of EU/EEA banks were extended to households and corporates</w:t>
      </w:r>
      <w:r w:rsidR="00853BF3" w:rsidRPr="006857A3">
        <w:rPr>
          <w:rFonts w:ascii="Times New Roman" w:hAnsi="Times New Roman" w:cs="Times New Roman"/>
          <w:noProof/>
          <w:sz w:val="24"/>
          <w:szCs w:val="24"/>
          <w:vertAlign w:val="superscript"/>
          <w:lang w:val="en-GB"/>
        </w:rPr>
        <w:footnoteReference w:id="8"/>
      </w:r>
      <w:r w:rsidR="00853BF3" w:rsidRPr="4437E6DE">
        <w:rPr>
          <w:rFonts w:ascii="Times New Roman" w:hAnsi="Times New Roman" w:cs="Times New Roman"/>
          <w:noProof/>
          <w:sz w:val="24"/>
          <w:szCs w:val="24"/>
          <w:lang w:val="en-GB"/>
        </w:rPr>
        <w:t>. Households accounted for EUR 7 trillion (</w:t>
      </w:r>
      <w:r w:rsidR="00853BF3" w:rsidRPr="0BB48CD5">
        <w:rPr>
          <w:rFonts w:ascii="Times New Roman" w:hAnsi="Times New Roman" w:cs="Times New Roman"/>
          <w:noProof/>
          <w:sz w:val="24"/>
          <w:szCs w:val="24"/>
          <w:lang w:val="en-GB"/>
        </w:rPr>
        <w:t>35</w:t>
      </w:r>
      <w:r w:rsidR="00853BF3" w:rsidRPr="4437E6DE">
        <w:rPr>
          <w:rFonts w:ascii="Times New Roman" w:hAnsi="Times New Roman" w:cs="Times New Roman"/>
          <w:noProof/>
          <w:sz w:val="24"/>
          <w:szCs w:val="24"/>
          <w:lang w:val="en-GB"/>
        </w:rPr>
        <w:t>% of total loans and advances) while corporates represented EUR 6.</w:t>
      </w:r>
      <w:r w:rsidR="00853BF3" w:rsidRPr="0BB48CD5">
        <w:rPr>
          <w:rFonts w:ascii="Times New Roman" w:hAnsi="Times New Roman" w:cs="Times New Roman"/>
          <w:noProof/>
          <w:sz w:val="24"/>
          <w:szCs w:val="24"/>
          <w:lang w:val="en-GB"/>
        </w:rPr>
        <w:t>3</w:t>
      </w:r>
      <w:r w:rsidR="00853BF3" w:rsidRPr="4437E6DE">
        <w:rPr>
          <w:rFonts w:ascii="Times New Roman" w:hAnsi="Times New Roman" w:cs="Times New Roman"/>
          <w:noProof/>
          <w:sz w:val="24"/>
          <w:szCs w:val="24"/>
          <w:lang w:val="en-GB"/>
        </w:rPr>
        <w:t xml:space="preserve"> trillion (</w:t>
      </w:r>
      <w:r w:rsidR="00853BF3" w:rsidRPr="0BB48CD5">
        <w:rPr>
          <w:rFonts w:ascii="Times New Roman" w:hAnsi="Times New Roman" w:cs="Times New Roman"/>
          <w:noProof/>
          <w:sz w:val="24"/>
          <w:szCs w:val="24"/>
          <w:lang w:val="en-GB"/>
        </w:rPr>
        <w:t>31</w:t>
      </w:r>
      <w:r w:rsidR="00853BF3" w:rsidRPr="4437E6DE">
        <w:rPr>
          <w:rFonts w:ascii="Times New Roman" w:hAnsi="Times New Roman" w:cs="Times New Roman"/>
          <w:noProof/>
          <w:sz w:val="24"/>
          <w:szCs w:val="24"/>
          <w:lang w:val="en-GB"/>
        </w:rPr>
        <w:t xml:space="preserve">% of total loans and advances). </w:t>
      </w:r>
    </w:p>
    <w:p w14:paraId="60591C1C" w14:textId="77777777" w:rsidR="003D49CE" w:rsidRPr="0036474B" w:rsidRDefault="003D49CE" w:rsidP="006D3739">
      <w:pPr>
        <w:jc w:val="both"/>
        <w:rPr>
          <w:rFonts w:ascii="Times New Roman" w:hAnsi="Times New Roman" w:cs="Times New Roman"/>
          <w:noProof/>
          <w:sz w:val="24"/>
          <w:szCs w:val="24"/>
        </w:rPr>
      </w:pPr>
    </w:p>
    <w:p w14:paraId="55985575" w14:textId="51FA03ED" w:rsidR="003D49CE" w:rsidRPr="001752EA" w:rsidRDefault="003D49CE" w:rsidP="003D49CE">
      <w:pPr>
        <w:pStyle w:val="Caption"/>
        <w:jc w:val="both"/>
        <w:rPr>
          <w:rFonts w:ascii="Times New Roman" w:eastAsia="Times New Roman" w:hAnsi="Times New Roman" w:cs="Times New Roman"/>
          <w:noProof/>
          <w:color w:val="auto"/>
          <w:sz w:val="24"/>
          <w:szCs w:val="24"/>
          <w:lang w:val="fr-FR"/>
        </w:rPr>
      </w:pPr>
      <w:bookmarkStart w:id="11" w:name="_Ref233730008"/>
      <w:bookmarkStart w:id="12" w:name="_Ref233723569"/>
      <w:r w:rsidRPr="001752EA">
        <w:rPr>
          <w:rFonts w:ascii="Times New Roman" w:eastAsia="Times New Roman" w:hAnsi="Times New Roman" w:cs="Times New Roman"/>
          <w:noProof/>
          <w:color w:val="auto"/>
          <w:sz w:val="24"/>
          <w:szCs w:val="24"/>
          <w:lang w:val="fr-FR"/>
        </w:rPr>
        <w:t xml:space="preserve">Figure </w:t>
      </w:r>
      <w:r w:rsidR="007962F7" w:rsidRPr="001752EA">
        <w:rPr>
          <w:rFonts w:ascii="Times New Roman" w:eastAsia="Times New Roman" w:hAnsi="Times New Roman" w:cs="Times New Roman"/>
          <w:noProof/>
          <w:color w:val="auto"/>
          <w:sz w:val="24"/>
          <w:szCs w:val="24"/>
        </w:rPr>
        <w:fldChar w:fldCharType="begin"/>
      </w:r>
      <w:r w:rsidR="007962F7" w:rsidRPr="001752EA">
        <w:rPr>
          <w:rFonts w:ascii="Times New Roman" w:eastAsia="Times New Roman" w:hAnsi="Times New Roman" w:cs="Times New Roman"/>
          <w:i w:val="0"/>
          <w:noProof/>
          <w:sz w:val="24"/>
          <w:szCs w:val="24"/>
          <w:lang w:val="fr-FR"/>
        </w:rPr>
        <w:instrText xml:space="preserve"> SEQ Figure \* ARABIC </w:instrText>
      </w:r>
      <w:r w:rsidR="007962F7" w:rsidRPr="001752EA">
        <w:rPr>
          <w:rFonts w:ascii="Times New Roman" w:eastAsia="Times New Roman" w:hAnsi="Times New Roman" w:cs="Times New Roman"/>
          <w:noProof/>
          <w:color w:val="auto"/>
          <w:sz w:val="24"/>
          <w:szCs w:val="24"/>
        </w:rPr>
        <w:fldChar w:fldCharType="separate"/>
      </w:r>
      <w:r w:rsidR="00263CCB">
        <w:rPr>
          <w:rFonts w:ascii="Times New Roman" w:eastAsia="Times New Roman" w:hAnsi="Times New Roman" w:cs="Times New Roman"/>
          <w:i w:val="0"/>
          <w:noProof/>
          <w:sz w:val="24"/>
          <w:szCs w:val="24"/>
          <w:lang w:val="fr-FR"/>
        </w:rPr>
        <w:t>1</w:t>
      </w:r>
      <w:r w:rsidR="007962F7" w:rsidRPr="001752EA">
        <w:rPr>
          <w:rFonts w:ascii="Times New Roman" w:eastAsia="Times New Roman" w:hAnsi="Times New Roman" w:cs="Times New Roman"/>
          <w:noProof/>
          <w:color w:val="auto"/>
          <w:sz w:val="24"/>
          <w:szCs w:val="24"/>
        </w:rPr>
        <w:fldChar w:fldCharType="end"/>
      </w:r>
      <w:bookmarkEnd w:id="11"/>
      <w:bookmarkEnd w:id="12"/>
      <w:r w:rsidRPr="001752EA">
        <w:rPr>
          <w:rFonts w:ascii="Times New Roman" w:eastAsia="Times New Roman" w:hAnsi="Times New Roman" w:cs="Times New Roman"/>
          <w:noProof/>
          <w:color w:val="auto"/>
          <w:sz w:val="24"/>
          <w:szCs w:val="24"/>
          <w:lang w:val="fr-FR"/>
        </w:rPr>
        <w:t xml:space="preserve">: EU/EEA Banks' asset composition. </w:t>
      </w:r>
    </w:p>
    <w:p w14:paraId="501349F0" w14:textId="77777777" w:rsidR="003D49CE" w:rsidRPr="0036474B" w:rsidRDefault="003D49CE" w:rsidP="003D49CE">
      <w:pPr>
        <w:jc w:val="both"/>
        <w:rPr>
          <w:rFonts w:ascii="Times New Roman" w:hAnsi="Times New Roman" w:cs="Times New Roman"/>
          <w:noProof/>
          <w:sz w:val="24"/>
          <w:szCs w:val="24"/>
          <w:lang w:val="en-GB"/>
        </w:rPr>
      </w:pPr>
      <w:r w:rsidRPr="001752EA">
        <w:rPr>
          <w:noProof/>
          <w:lang w:val="fr-FR"/>
        </w:rPr>
        <w:t xml:space="preserve"> </w:t>
      </w:r>
      <w:r w:rsidRPr="00262A09">
        <w:rPr>
          <w:rFonts w:ascii="Times New Roman" w:hAnsi="Times New Roman" w:cs="Times New Roman"/>
          <w:noProof/>
          <w:sz w:val="24"/>
          <w:szCs w:val="24"/>
          <w:lang w:val="en-GB" w:eastAsia="en-GB"/>
        </w:rPr>
        <w:drawing>
          <wp:inline distT="0" distB="0" distL="0" distR="0" wp14:anchorId="4C88CB58" wp14:editId="36EDDE2A">
            <wp:extent cx="5685013" cy="3063505"/>
            <wp:effectExtent l="0" t="0" r="0" b="3810"/>
            <wp:docPr id="1004953427" name="Picture 1" descr="A graph of a financial state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953427" name="Picture 1" descr="A graph of a financial statement&#10;&#10;AI-generated content may be incorrect."/>
                    <pic:cNvPicPr/>
                  </pic:nvPicPr>
                  <pic:blipFill>
                    <a:blip r:embed="rId15"/>
                    <a:stretch>
                      <a:fillRect/>
                    </a:stretch>
                  </pic:blipFill>
                  <pic:spPr>
                    <a:xfrm>
                      <a:off x="0" y="0"/>
                      <a:ext cx="5685013" cy="3063505"/>
                    </a:xfrm>
                    <a:prstGeom prst="rect">
                      <a:avLst/>
                    </a:prstGeom>
                  </pic:spPr>
                </pic:pic>
              </a:graphicData>
            </a:graphic>
          </wp:inline>
        </w:drawing>
      </w:r>
    </w:p>
    <w:p w14:paraId="0F084D43" w14:textId="70499716" w:rsidR="003D49CE" w:rsidRPr="0036474B" w:rsidRDefault="003D49CE" w:rsidP="003D49CE">
      <w:pPr>
        <w:jc w:val="both"/>
        <w:rPr>
          <w:rFonts w:ascii="Times New Roman" w:eastAsia="Times New Roman" w:hAnsi="Times New Roman" w:cs="Times New Roman"/>
          <w:i/>
          <w:iCs/>
          <w:noProof/>
          <w:sz w:val="24"/>
          <w:szCs w:val="24"/>
        </w:rPr>
      </w:pPr>
      <w:r w:rsidRPr="0036474B">
        <w:rPr>
          <w:rFonts w:ascii="Times New Roman" w:eastAsia="Times New Roman" w:hAnsi="Times New Roman" w:cs="Times New Roman"/>
          <w:i/>
          <w:iCs/>
          <w:noProof/>
          <w:sz w:val="24"/>
          <w:szCs w:val="24"/>
        </w:rPr>
        <w:t xml:space="preserve">Source: EBA </w:t>
      </w:r>
      <w:r>
        <w:rPr>
          <w:rFonts w:ascii="Times New Roman" w:eastAsia="Times New Roman" w:hAnsi="Times New Roman" w:cs="Times New Roman"/>
          <w:i/>
          <w:iCs/>
          <w:noProof/>
          <w:sz w:val="24"/>
          <w:szCs w:val="24"/>
        </w:rPr>
        <w:t>Rish Dashboard</w:t>
      </w:r>
      <w:r w:rsidR="00024669">
        <w:rPr>
          <w:rFonts w:ascii="Times New Roman" w:eastAsia="Times New Roman" w:hAnsi="Times New Roman" w:cs="Times New Roman"/>
          <w:i/>
          <w:iCs/>
          <w:noProof/>
          <w:sz w:val="24"/>
          <w:szCs w:val="24"/>
        </w:rPr>
        <w:t xml:space="preserve"> (</w:t>
      </w:r>
      <w:r>
        <w:rPr>
          <w:rFonts w:ascii="Times New Roman" w:eastAsia="Times New Roman" w:hAnsi="Times New Roman" w:cs="Times New Roman"/>
          <w:i/>
          <w:iCs/>
          <w:noProof/>
          <w:sz w:val="24"/>
          <w:szCs w:val="24"/>
        </w:rPr>
        <w:t>Q4 2025</w:t>
      </w:r>
      <w:r w:rsidR="00024669">
        <w:rPr>
          <w:rFonts w:ascii="Times New Roman" w:eastAsia="Times New Roman" w:hAnsi="Times New Roman" w:cs="Times New Roman"/>
          <w:i/>
          <w:iCs/>
          <w:noProof/>
          <w:sz w:val="24"/>
          <w:szCs w:val="24"/>
        </w:rPr>
        <w:t>), FISMA calculations</w:t>
      </w:r>
    </w:p>
    <w:p w14:paraId="683857E6" w14:textId="768B606E" w:rsidR="00164456" w:rsidRDefault="5BBFA8DE" w:rsidP="77BB1F80">
      <w:pPr>
        <w:jc w:val="both"/>
        <w:rPr>
          <w:rFonts w:ascii="Times New Roman" w:hAnsi="Times New Roman" w:cs="Times New Roman"/>
          <w:noProof/>
          <w:sz w:val="24"/>
          <w:szCs w:val="24"/>
          <w:lang w:val="en-GB"/>
        </w:rPr>
      </w:pPr>
      <w:r w:rsidRPr="001752EA">
        <w:rPr>
          <w:rFonts w:ascii="Times New Roman" w:hAnsi="Times New Roman" w:cs="Times New Roman"/>
          <w:b/>
          <w:bCs/>
          <w:noProof/>
          <w:sz w:val="24"/>
          <w:szCs w:val="24"/>
          <w:lang w:val="en-GB"/>
        </w:rPr>
        <w:t xml:space="preserve">Households lending </w:t>
      </w:r>
      <w:r w:rsidR="2CDEDD63" w:rsidRPr="001752EA">
        <w:rPr>
          <w:rFonts w:ascii="Times New Roman" w:hAnsi="Times New Roman" w:cs="Times New Roman"/>
          <w:b/>
          <w:bCs/>
          <w:noProof/>
          <w:sz w:val="24"/>
          <w:szCs w:val="24"/>
          <w:lang w:val="en-GB"/>
        </w:rPr>
        <w:t>remains</w:t>
      </w:r>
      <w:r w:rsidRPr="001752EA">
        <w:rPr>
          <w:rFonts w:ascii="Times New Roman" w:hAnsi="Times New Roman" w:cs="Times New Roman"/>
          <w:b/>
          <w:bCs/>
          <w:noProof/>
          <w:sz w:val="24"/>
          <w:szCs w:val="24"/>
          <w:lang w:val="en-GB"/>
        </w:rPr>
        <w:t xml:space="preserve"> one of the most structurally important </w:t>
      </w:r>
      <w:r w:rsidR="693E6207" w:rsidRPr="001752EA">
        <w:rPr>
          <w:rFonts w:ascii="Times New Roman" w:hAnsi="Times New Roman" w:cs="Times New Roman"/>
          <w:b/>
          <w:bCs/>
          <w:noProof/>
          <w:sz w:val="24"/>
          <w:szCs w:val="24"/>
          <w:lang w:val="en-GB"/>
        </w:rPr>
        <w:t xml:space="preserve">functions of EU/EEA banks, primarily </w:t>
      </w:r>
      <w:r w:rsidR="4960BD60" w:rsidRPr="001752EA">
        <w:rPr>
          <w:rFonts w:ascii="Times New Roman" w:hAnsi="Times New Roman" w:cs="Times New Roman"/>
          <w:b/>
          <w:bCs/>
          <w:noProof/>
          <w:sz w:val="24"/>
          <w:szCs w:val="24"/>
          <w:lang w:val="en-GB"/>
        </w:rPr>
        <w:t>through</w:t>
      </w:r>
      <w:r w:rsidR="693E6207" w:rsidRPr="001752EA">
        <w:rPr>
          <w:rFonts w:ascii="Times New Roman" w:hAnsi="Times New Roman" w:cs="Times New Roman"/>
          <w:b/>
          <w:bCs/>
          <w:noProof/>
          <w:sz w:val="24"/>
          <w:szCs w:val="24"/>
          <w:lang w:val="en-GB"/>
        </w:rPr>
        <w:t xml:space="preserve"> mortgages</w:t>
      </w:r>
      <w:r w:rsidR="0AE363D8" w:rsidRPr="001752EA">
        <w:rPr>
          <w:rFonts w:ascii="Times New Roman" w:hAnsi="Times New Roman" w:cs="Times New Roman"/>
          <w:b/>
          <w:bCs/>
          <w:noProof/>
          <w:sz w:val="24"/>
          <w:szCs w:val="24"/>
          <w:lang w:val="en-GB"/>
        </w:rPr>
        <w:t>,</w:t>
      </w:r>
      <w:r w:rsidR="693E6207" w:rsidRPr="001752EA">
        <w:rPr>
          <w:rFonts w:ascii="Times New Roman" w:hAnsi="Times New Roman" w:cs="Times New Roman"/>
          <w:b/>
          <w:bCs/>
          <w:noProof/>
          <w:sz w:val="24"/>
          <w:szCs w:val="24"/>
          <w:lang w:val="en-GB"/>
        </w:rPr>
        <w:t xml:space="preserve"> consumer credits</w:t>
      </w:r>
      <w:r w:rsidR="0AE363D8" w:rsidRPr="001752EA">
        <w:rPr>
          <w:rFonts w:ascii="Times New Roman" w:hAnsi="Times New Roman" w:cs="Times New Roman"/>
          <w:b/>
          <w:bCs/>
          <w:noProof/>
          <w:sz w:val="24"/>
          <w:szCs w:val="24"/>
          <w:lang w:val="en-GB"/>
        </w:rPr>
        <w:t>, and personal loans</w:t>
      </w:r>
      <w:r w:rsidR="693E6207" w:rsidRPr="4437E6DE">
        <w:rPr>
          <w:rFonts w:ascii="Times New Roman" w:hAnsi="Times New Roman" w:cs="Times New Roman"/>
          <w:noProof/>
          <w:sz w:val="24"/>
          <w:szCs w:val="24"/>
          <w:lang w:val="en-GB"/>
        </w:rPr>
        <w:t>.</w:t>
      </w:r>
      <w:r w:rsidR="72F4607E" w:rsidRPr="4437E6DE">
        <w:rPr>
          <w:rFonts w:ascii="Times New Roman" w:hAnsi="Times New Roman" w:cs="Times New Roman"/>
          <w:noProof/>
          <w:sz w:val="24"/>
          <w:szCs w:val="24"/>
          <w:lang w:val="en-GB"/>
        </w:rPr>
        <w:t xml:space="preserve"> Competition </w:t>
      </w:r>
      <w:r w:rsidR="4960BD60" w:rsidRPr="4437E6DE">
        <w:rPr>
          <w:rFonts w:ascii="Times New Roman" w:hAnsi="Times New Roman" w:cs="Times New Roman"/>
          <w:noProof/>
          <w:sz w:val="24"/>
          <w:szCs w:val="24"/>
          <w:lang w:val="en-GB"/>
        </w:rPr>
        <w:t xml:space="preserve">in this segment </w:t>
      </w:r>
      <w:r w:rsidR="70FC9EE3" w:rsidRPr="4437E6DE">
        <w:rPr>
          <w:rFonts w:ascii="Times New Roman" w:hAnsi="Times New Roman" w:cs="Times New Roman"/>
          <w:noProof/>
          <w:sz w:val="24"/>
          <w:szCs w:val="24"/>
          <w:lang w:val="en-GB"/>
        </w:rPr>
        <w:t>stays robust</w:t>
      </w:r>
      <w:r w:rsidR="1342C8EB" w:rsidRPr="4437E6DE">
        <w:rPr>
          <w:rFonts w:ascii="Times New Roman" w:hAnsi="Times New Roman" w:cs="Times New Roman"/>
          <w:noProof/>
          <w:sz w:val="24"/>
          <w:szCs w:val="24"/>
          <w:lang w:val="en-GB"/>
        </w:rPr>
        <w:t xml:space="preserve">, </w:t>
      </w:r>
      <w:r w:rsidR="55929645" w:rsidRPr="4437E6DE">
        <w:rPr>
          <w:rFonts w:ascii="Times New Roman" w:hAnsi="Times New Roman" w:cs="Times New Roman"/>
          <w:noProof/>
          <w:sz w:val="24"/>
          <w:szCs w:val="24"/>
          <w:lang w:val="en-GB"/>
        </w:rPr>
        <w:t>driven by</w:t>
      </w:r>
      <w:r w:rsidR="28AD0295" w:rsidRPr="4437E6DE">
        <w:rPr>
          <w:rFonts w:ascii="Times New Roman" w:hAnsi="Times New Roman" w:cs="Times New Roman"/>
          <w:noProof/>
          <w:sz w:val="24"/>
          <w:szCs w:val="24"/>
          <w:lang w:val="en-GB"/>
        </w:rPr>
        <w:t xml:space="preserve"> a broad</w:t>
      </w:r>
      <w:r w:rsidR="1342C8EB" w:rsidRPr="4437E6DE">
        <w:rPr>
          <w:rFonts w:ascii="Times New Roman" w:hAnsi="Times New Roman" w:cs="Times New Roman"/>
          <w:noProof/>
          <w:sz w:val="24"/>
          <w:szCs w:val="24"/>
          <w:lang w:val="en-GB"/>
        </w:rPr>
        <w:t xml:space="preserve"> </w:t>
      </w:r>
      <w:r w:rsidR="12D23D31" w:rsidRPr="4437E6DE">
        <w:rPr>
          <w:rFonts w:ascii="Times New Roman" w:hAnsi="Times New Roman" w:cs="Times New Roman"/>
          <w:noProof/>
          <w:sz w:val="24"/>
          <w:szCs w:val="24"/>
          <w:lang w:val="en-GB"/>
        </w:rPr>
        <w:t>network</w:t>
      </w:r>
      <w:r w:rsidR="54D15678" w:rsidRPr="4437E6DE">
        <w:rPr>
          <w:rFonts w:ascii="Times New Roman" w:hAnsi="Times New Roman" w:cs="Times New Roman"/>
          <w:noProof/>
          <w:sz w:val="24"/>
          <w:szCs w:val="24"/>
          <w:lang w:val="en-GB"/>
        </w:rPr>
        <w:t xml:space="preserve"> of significant and less significant banks </w:t>
      </w:r>
      <w:r w:rsidR="28AD0295" w:rsidRPr="4437E6DE">
        <w:rPr>
          <w:rFonts w:ascii="Times New Roman" w:hAnsi="Times New Roman" w:cs="Times New Roman"/>
          <w:noProof/>
          <w:sz w:val="24"/>
          <w:szCs w:val="24"/>
          <w:lang w:val="en-GB"/>
        </w:rPr>
        <w:t>across</w:t>
      </w:r>
      <w:r w:rsidR="54D15678" w:rsidRPr="4437E6DE">
        <w:rPr>
          <w:rFonts w:ascii="Times New Roman" w:hAnsi="Times New Roman" w:cs="Times New Roman"/>
          <w:noProof/>
          <w:sz w:val="24"/>
          <w:szCs w:val="24"/>
          <w:lang w:val="en-GB"/>
        </w:rPr>
        <w:t xml:space="preserve"> the EU</w:t>
      </w:r>
      <w:r w:rsidR="666A4B2D" w:rsidRPr="4437E6DE">
        <w:rPr>
          <w:rFonts w:ascii="Times New Roman" w:hAnsi="Times New Roman" w:cs="Times New Roman"/>
          <w:noProof/>
          <w:sz w:val="24"/>
          <w:szCs w:val="24"/>
          <w:lang w:val="en-GB"/>
        </w:rPr>
        <w:t xml:space="preserve">, as well as </w:t>
      </w:r>
      <w:r w:rsidR="3636212B" w:rsidRPr="4437E6DE">
        <w:rPr>
          <w:rFonts w:ascii="Times New Roman" w:hAnsi="Times New Roman" w:cs="Times New Roman"/>
          <w:noProof/>
          <w:sz w:val="24"/>
          <w:szCs w:val="24"/>
          <w:lang w:val="en-GB"/>
        </w:rPr>
        <w:t>enhanced</w:t>
      </w:r>
      <w:r w:rsidR="666A4B2D" w:rsidRPr="4437E6DE">
        <w:rPr>
          <w:rFonts w:ascii="Times New Roman" w:hAnsi="Times New Roman" w:cs="Times New Roman"/>
          <w:noProof/>
          <w:sz w:val="24"/>
          <w:szCs w:val="24"/>
          <w:lang w:val="en-GB"/>
        </w:rPr>
        <w:t xml:space="preserve"> digital channels widening </w:t>
      </w:r>
      <w:r w:rsidR="14F37233" w:rsidRPr="4437E6DE">
        <w:rPr>
          <w:rFonts w:ascii="Times New Roman" w:hAnsi="Times New Roman" w:cs="Times New Roman"/>
          <w:noProof/>
          <w:sz w:val="24"/>
          <w:szCs w:val="24"/>
          <w:lang w:val="en-GB"/>
        </w:rPr>
        <w:t xml:space="preserve">accessibility and streamlining loan origination. </w:t>
      </w:r>
    </w:p>
    <w:p w14:paraId="69B41001" w14:textId="564BBF40" w:rsidR="00C75DA3" w:rsidRDefault="76839E26" w:rsidP="77BB1F80">
      <w:pPr>
        <w:jc w:val="both"/>
        <w:rPr>
          <w:rFonts w:ascii="Times New Roman" w:hAnsi="Times New Roman" w:cs="Times New Roman"/>
          <w:noProof/>
          <w:sz w:val="24"/>
          <w:szCs w:val="24"/>
          <w:lang w:val="en-GB"/>
        </w:rPr>
      </w:pPr>
      <w:r w:rsidRPr="001752EA">
        <w:rPr>
          <w:rFonts w:ascii="Times New Roman" w:hAnsi="Times New Roman" w:cs="Times New Roman"/>
          <w:b/>
          <w:bCs/>
          <w:noProof/>
          <w:sz w:val="24"/>
          <w:szCs w:val="24"/>
          <w:lang w:val="en-GB"/>
        </w:rPr>
        <w:t>The</w:t>
      </w:r>
      <w:r w:rsidR="11642C8A" w:rsidRPr="001752EA">
        <w:rPr>
          <w:rFonts w:ascii="Times New Roman" w:hAnsi="Times New Roman" w:cs="Times New Roman"/>
          <w:b/>
          <w:bCs/>
          <w:noProof/>
          <w:sz w:val="24"/>
          <w:szCs w:val="24"/>
          <w:lang w:val="en-GB"/>
        </w:rPr>
        <w:t xml:space="preserve"> primary source of corporate</w:t>
      </w:r>
      <w:r w:rsidR="50C1C094" w:rsidRPr="001752EA">
        <w:rPr>
          <w:rFonts w:ascii="Times New Roman" w:hAnsi="Times New Roman" w:cs="Times New Roman"/>
          <w:b/>
          <w:bCs/>
          <w:noProof/>
          <w:sz w:val="24"/>
          <w:szCs w:val="24"/>
          <w:lang w:val="en-GB"/>
        </w:rPr>
        <w:t xml:space="preserve"> funding</w:t>
      </w:r>
      <w:r w:rsidR="00C0D852" w:rsidRPr="001752EA">
        <w:rPr>
          <w:rFonts w:ascii="Times New Roman" w:hAnsi="Times New Roman" w:cs="Times New Roman"/>
          <w:b/>
          <w:bCs/>
          <w:noProof/>
          <w:sz w:val="24"/>
          <w:szCs w:val="24"/>
          <w:lang w:val="en-GB"/>
        </w:rPr>
        <w:t xml:space="preserve"> has consistently been provided by banks</w:t>
      </w:r>
      <w:r w:rsidR="11642C8A" w:rsidRPr="001752EA">
        <w:rPr>
          <w:rFonts w:ascii="Times New Roman" w:hAnsi="Times New Roman" w:cs="Times New Roman"/>
          <w:b/>
          <w:bCs/>
          <w:noProof/>
          <w:sz w:val="24"/>
          <w:szCs w:val="24"/>
          <w:lang w:val="en-GB"/>
        </w:rPr>
        <w:t xml:space="preserve">, </w:t>
      </w:r>
      <w:r w:rsidR="50C1C094" w:rsidRPr="001752EA">
        <w:rPr>
          <w:rFonts w:ascii="Times New Roman" w:hAnsi="Times New Roman" w:cs="Times New Roman"/>
          <w:b/>
          <w:bCs/>
          <w:noProof/>
          <w:sz w:val="24"/>
          <w:szCs w:val="24"/>
          <w:lang w:val="en-GB"/>
        </w:rPr>
        <w:t>accounting for</w:t>
      </w:r>
      <w:r w:rsidR="11642C8A" w:rsidRPr="001752EA">
        <w:rPr>
          <w:rFonts w:ascii="Times New Roman" w:hAnsi="Times New Roman" w:cs="Times New Roman"/>
          <w:b/>
          <w:bCs/>
          <w:noProof/>
          <w:sz w:val="24"/>
          <w:szCs w:val="24"/>
          <w:lang w:val="en-GB"/>
        </w:rPr>
        <w:t xml:space="preserve"> </w:t>
      </w:r>
      <w:r w:rsidR="00CE1CE0" w:rsidRPr="001752EA">
        <w:rPr>
          <w:rFonts w:ascii="Times New Roman" w:hAnsi="Times New Roman" w:cs="Times New Roman"/>
          <w:b/>
          <w:bCs/>
          <w:noProof/>
          <w:sz w:val="24"/>
          <w:szCs w:val="24"/>
          <w:lang w:val="en-GB"/>
        </w:rPr>
        <w:t>46</w:t>
      </w:r>
      <w:r w:rsidR="11642C8A" w:rsidRPr="001752EA">
        <w:rPr>
          <w:rFonts w:ascii="Times New Roman" w:hAnsi="Times New Roman" w:cs="Times New Roman"/>
          <w:b/>
          <w:bCs/>
          <w:noProof/>
          <w:sz w:val="24"/>
          <w:szCs w:val="24"/>
          <w:lang w:val="en-GB"/>
        </w:rPr>
        <w:t xml:space="preserve">% </w:t>
      </w:r>
      <w:r w:rsidR="008D00FF" w:rsidRPr="001752EA">
        <w:rPr>
          <w:rFonts w:ascii="Times New Roman" w:hAnsi="Times New Roman" w:cs="Times New Roman"/>
          <w:b/>
          <w:bCs/>
          <w:noProof/>
          <w:sz w:val="24"/>
          <w:szCs w:val="24"/>
          <w:lang w:val="en-GB"/>
        </w:rPr>
        <w:t xml:space="preserve">of </w:t>
      </w:r>
      <w:r w:rsidR="11642C8A" w:rsidRPr="001752EA">
        <w:rPr>
          <w:rFonts w:ascii="Times New Roman" w:hAnsi="Times New Roman" w:cs="Times New Roman"/>
          <w:b/>
          <w:bCs/>
          <w:noProof/>
          <w:sz w:val="24"/>
          <w:szCs w:val="24"/>
          <w:lang w:val="en-GB"/>
        </w:rPr>
        <w:t>corporate debt financing in the EU</w:t>
      </w:r>
      <w:r w:rsidR="00420DE2" w:rsidRPr="001752EA">
        <w:rPr>
          <w:rStyle w:val="FootnoteReference"/>
          <w:rFonts w:ascii="Times New Roman" w:hAnsi="Times New Roman" w:cs="Times New Roman"/>
          <w:b/>
          <w:bCs/>
          <w:noProof/>
          <w:sz w:val="24"/>
          <w:szCs w:val="24"/>
          <w:lang w:val="en-GB"/>
        </w:rPr>
        <w:footnoteReference w:id="9"/>
      </w:r>
      <w:r w:rsidR="00B125CA">
        <w:rPr>
          <w:rFonts w:ascii="Times New Roman" w:hAnsi="Times New Roman" w:cs="Times New Roman"/>
          <w:noProof/>
          <w:sz w:val="24"/>
          <w:szCs w:val="24"/>
          <w:lang w:val="en-GB"/>
        </w:rPr>
        <w:t>.</w:t>
      </w:r>
      <w:r w:rsidR="008D51BC">
        <w:rPr>
          <w:rFonts w:ascii="Times New Roman" w:hAnsi="Times New Roman" w:cs="Times New Roman"/>
          <w:noProof/>
          <w:sz w:val="24"/>
          <w:szCs w:val="24"/>
          <w:lang w:val="en-GB"/>
        </w:rPr>
        <w:t xml:space="preserve"> </w:t>
      </w:r>
      <w:r w:rsidR="00B125CA">
        <w:rPr>
          <w:rFonts w:ascii="Times New Roman" w:hAnsi="Times New Roman" w:cs="Times New Roman"/>
          <w:noProof/>
          <w:sz w:val="24"/>
          <w:szCs w:val="24"/>
          <w:lang w:val="en-GB"/>
        </w:rPr>
        <w:t xml:space="preserve">This figure has been </w:t>
      </w:r>
      <w:r w:rsidR="008D51BC">
        <w:rPr>
          <w:rFonts w:ascii="Times New Roman" w:hAnsi="Times New Roman" w:cs="Times New Roman"/>
          <w:noProof/>
          <w:sz w:val="24"/>
          <w:szCs w:val="24"/>
          <w:lang w:val="en-GB"/>
        </w:rPr>
        <w:t xml:space="preserve">broadly stable for the past </w:t>
      </w:r>
      <w:r w:rsidR="00086D98">
        <w:rPr>
          <w:rFonts w:ascii="Times New Roman" w:hAnsi="Times New Roman" w:cs="Times New Roman"/>
          <w:noProof/>
          <w:sz w:val="24"/>
          <w:szCs w:val="24"/>
          <w:lang w:val="en-GB"/>
        </w:rPr>
        <w:t>year but</w:t>
      </w:r>
      <w:r w:rsidR="008D51BC">
        <w:rPr>
          <w:rFonts w:ascii="Times New Roman" w:hAnsi="Times New Roman" w:cs="Times New Roman"/>
          <w:noProof/>
          <w:sz w:val="24"/>
          <w:szCs w:val="24"/>
          <w:lang w:val="en-GB"/>
        </w:rPr>
        <w:t xml:space="preserve"> </w:t>
      </w:r>
      <w:r w:rsidR="00F57BE5">
        <w:rPr>
          <w:rFonts w:ascii="Times New Roman" w:hAnsi="Times New Roman" w:cs="Times New Roman"/>
          <w:noProof/>
          <w:sz w:val="24"/>
          <w:szCs w:val="24"/>
          <w:lang w:val="en-GB"/>
        </w:rPr>
        <w:t xml:space="preserve">decreased </w:t>
      </w:r>
      <w:r w:rsidR="00F745A1">
        <w:rPr>
          <w:rFonts w:ascii="Times New Roman" w:hAnsi="Times New Roman" w:cs="Times New Roman"/>
          <w:noProof/>
          <w:sz w:val="24"/>
          <w:szCs w:val="24"/>
          <w:lang w:val="en-GB"/>
        </w:rPr>
        <w:t>signific</w:t>
      </w:r>
      <w:r w:rsidR="00CC0A00">
        <w:rPr>
          <w:rFonts w:ascii="Times New Roman" w:hAnsi="Times New Roman" w:cs="Times New Roman"/>
          <w:noProof/>
          <w:sz w:val="24"/>
          <w:szCs w:val="24"/>
          <w:lang w:val="en-GB"/>
        </w:rPr>
        <w:t>antly (11% gap) since the GFC</w:t>
      </w:r>
      <w:r w:rsidR="00B6646F">
        <w:rPr>
          <w:rFonts w:ascii="Times New Roman" w:hAnsi="Times New Roman" w:cs="Times New Roman"/>
          <w:noProof/>
          <w:sz w:val="24"/>
          <w:szCs w:val="24"/>
          <w:lang w:val="en-GB"/>
        </w:rPr>
        <w:t xml:space="preserve"> as banks were forced to deleverage in order to comply with stricter prudential requirements.</w:t>
      </w:r>
      <w:r w:rsidR="004116DD">
        <w:rPr>
          <w:rFonts w:ascii="Times New Roman" w:hAnsi="Times New Roman" w:cs="Times New Roman"/>
          <w:noProof/>
          <w:sz w:val="24"/>
          <w:szCs w:val="24"/>
          <w:lang w:val="en-GB"/>
        </w:rPr>
        <w:t xml:space="preserve"> </w:t>
      </w:r>
      <w:r w:rsidR="0091338F">
        <w:rPr>
          <w:rFonts w:ascii="Times New Roman" w:hAnsi="Times New Roman" w:cs="Times New Roman"/>
          <w:noProof/>
          <w:sz w:val="24"/>
          <w:szCs w:val="24"/>
          <w:lang w:val="en-GB"/>
        </w:rPr>
        <w:t xml:space="preserve">There are considerable </w:t>
      </w:r>
      <w:r w:rsidR="0037439D">
        <w:rPr>
          <w:rFonts w:ascii="Times New Roman" w:hAnsi="Times New Roman" w:cs="Times New Roman"/>
          <w:noProof/>
          <w:sz w:val="24"/>
          <w:szCs w:val="24"/>
          <w:lang w:val="en-GB"/>
        </w:rPr>
        <w:t>differences between EU Member States</w:t>
      </w:r>
      <w:r w:rsidR="008D6F41">
        <w:rPr>
          <w:rFonts w:ascii="Times New Roman" w:hAnsi="Times New Roman" w:cs="Times New Roman"/>
          <w:noProof/>
          <w:sz w:val="24"/>
          <w:szCs w:val="24"/>
          <w:lang w:val="en-GB"/>
        </w:rPr>
        <w:t xml:space="preserve"> in terms of share of bank loans in </w:t>
      </w:r>
      <w:r w:rsidR="00B23735">
        <w:rPr>
          <w:rFonts w:ascii="Times New Roman" w:hAnsi="Times New Roman" w:cs="Times New Roman"/>
          <w:noProof/>
          <w:sz w:val="24"/>
          <w:szCs w:val="24"/>
          <w:lang w:val="en-GB"/>
        </w:rPr>
        <w:t>consol</w:t>
      </w:r>
      <w:r w:rsidR="00FA6702">
        <w:rPr>
          <w:rFonts w:ascii="Times New Roman" w:hAnsi="Times New Roman" w:cs="Times New Roman"/>
          <w:noProof/>
          <w:sz w:val="24"/>
          <w:szCs w:val="24"/>
          <w:lang w:val="en-GB"/>
        </w:rPr>
        <w:t xml:space="preserve">idated </w:t>
      </w:r>
      <w:r w:rsidR="001072BD">
        <w:rPr>
          <w:rFonts w:ascii="Times New Roman" w:hAnsi="Times New Roman" w:cs="Times New Roman"/>
          <w:noProof/>
          <w:sz w:val="24"/>
          <w:szCs w:val="24"/>
          <w:lang w:val="en-GB"/>
        </w:rPr>
        <w:t>corporate</w:t>
      </w:r>
      <w:r w:rsidR="00FA6702">
        <w:rPr>
          <w:rFonts w:ascii="Times New Roman" w:hAnsi="Times New Roman" w:cs="Times New Roman"/>
          <w:noProof/>
          <w:sz w:val="24"/>
          <w:szCs w:val="24"/>
          <w:lang w:val="en-GB"/>
        </w:rPr>
        <w:t xml:space="preserve"> debt</w:t>
      </w:r>
      <w:r w:rsidR="008E2A08">
        <w:rPr>
          <w:rFonts w:ascii="Times New Roman" w:hAnsi="Times New Roman" w:cs="Times New Roman"/>
          <w:noProof/>
          <w:sz w:val="24"/>
          <w:szCs w:val="24"/>
          <w:lang w:val="en-GB"/>
        </w:rPr>
        <w:t xml:space="preserve"> (12% in Ireland up to 70% in Austria)</w:t>
      </w:r>
      <w:r w:rsidR="00714049">
        <w:rPr>
          <w:rFonts w:ascii="Times New Roman" w:hAnsi="Times New Roman" w:cs="Times New Roman"/>
          <w:noProof/>
          <w:sz w:val="24"/>
          <w:szCs w:val="24"/>
          <w:lang w:val="en-GB"/>
        </w:rPr>
        <w:t>.</w:t>
      </w:r>
      <w:r w:rsidR="01CD73AB" w:rsidRPr="0036474B">
        <w:rPr>
          <w:rFonts w:ascii="Times New Roman" w:hAnsi="Times New Roman" w:cs="Times New Roman"/>
          <w:noProof/>
          <w:sz w:val="24"/>
          <w:szCs w:val="24"/>
          <w:lang w:val="en-GB"/>
        </w:rPr>
        <w:t xml:space="preserve"> </w:t>
      </w:r>
      <w:r w:rsidR="00347E9F">
        <w:rPr>
          <w:rFonts w:ascii="Times New Roman" w:hAnsi="Times New Roman" w:cs="Times New Roman"/>
          <w:noProof/>
          <w:sz w:val="24"/>
          <w:szCs w:val="24"/>
          <w:lang w:val="en-GB"/>
        </w:rPr>
        <w:t xml:space="preserve">In parallel, </w:t>
      </w:r>
      <w:r w:rsidR="00734E26">
        <w:rPr>
          <w:rFonts w:ascii="Times New Roman" w:hAnsi="Times New Roman" w:cs="Times New Roman"/>
          <w:noProof/>
          <w:sz w:val="24"/>
          <w:szCs w:val="24"/>
          <w:lang w:val="en-GB"/>
        </w:rPr>
        <w:t>credit provisions by NBFI ha</w:t>
      </w:r>
      <w:r w:rsidR="00E41C1D">
        <w:rPr>
          <w:rFonts w:ascii="Times New Roman" w:hAnsi="Times New Roman" w:cs="Times New Roman"/>
          <w:noProof/>
          <w:sz w:val="24"/>
          <w:szCs w:val="24"/>
          <w:lang w:val="en-GB"/>
        </w:rPr>
        <w:t>ve</w:t>
      </w:r>
      <w:r w:rsidR="00734E26">
        <w:rPr>
          <w:rFonts w:ascii="Times New Roman" w:hAnsi="Times New Roman" w:cs="Times New Roman"/>
          <w:noProof/>
          <w:sz w:val="24"/>
          <w:szCs w:val="24"/>
          <w:lang w:val="en-GB"/>
        </w:rPr>
        <w:t xml:space="preserve"> increased over the past year</w:t>
      </w:r>
      <w:r w:rsidR="00E41C1D">
        <w:rPr>
          <w:rFonts w:ascii="Times New Roman" w:hAnsi="Times New Roman" w:cs="Times New Roman"/>
          <w:noProof/>
          <w:sz w:val="24"/>
          <w:szCs w:val="24"/>
          <w:lang w:val="en-GB"/>
        </w:rPr>
        <w:t>s</w:t>
      </w:r>
      <w:r w:rsidR="00734E26">
        <w:rPr>
          <w:rFonts w:ascii="Times New Roman" w:hAnsi="Times New Roman" w:cs="Times New Roman"/>
          <w:noProof/>
          <w:sz w:val="24"/>
          <w:szCs w:val="24"/>
          <w:lang w:val="en-GB"/>
        </w:rPr>
        <w:t xml:space="preserve">, notably via private credit. </w:t>
      </w:r>
      <w:r w:rsidR="00E41C1D">
        <w:rPr>
          <w:rFonts w:ascii="Times New Roman" w:hAnsi="Times New Roman" w:cs="Times New Roman"/>
          <w:noProof/>
          <w:sz w:val="24"/>
          <w:szCs w:val="24"/>
          <w:lang w:val="en-GB"/>
        </w:rPr>
        <w:t xml:space="preserve">According to ECB’s estimates, the share of non-banks in the provision of credit to corporates grew from circa 15% </w:t>
      </w:r>
      <w:r w:rsidR="0073104A">
        <w:rPr>
          <w:rFonts w:ascii="Times New Roman" w:hAnsi="Times New Roman" w:cs="Times New Roman"/>
          <w:noProof/>
          <w:sz w:val="24"/>
          <w:szCs w:val="24"/>
          <w:lang w:val="en-GB"/>
        </w:rPr>
        <w:t>at the time of the GFC to circa 30% in 2021</w:t>
      </w:r>
      <w:r w:rsidR="004116DD">
        <w:rPr>
          <w:rFonts w:ascii="Times New Roman" w:hAnsi="Times New Roman" w:cs="Times New Roman"/>
          <w:noProof/>
          <w:sz w:val="24"/>
          <w:szCs w:val="24"/>
          <w:lang w:val="en-GB"/>
        </w:rPr>
        <w:t>.</w:t>
      </w:r>
    </w:p>
    <w:p w14:paraId="0492B26A" w14:textId="343A7735" w:rsidR="007962F7" w:rsidRPr="001752EA" w:rsidRDefault="007962F7" w:rsidP="001752EA">
      <w:pPr>
        <w:pStyle w:val="Caption"/>
        <w:keepNext/>
        <w:jc w:val="both"/>
        <w:rPr>
          <w:rFonts w:ascii="Times New Roman" w:hAnsi="Times New Roman" w:cs="Times New Roman"/>
          <w:noProof/>
          <w:color w:val="auto"/>
          <w:sz w:val="24"/>
          <w:szCs w:val="24"/>
        </w:rPr>
      </w:pPr>
      <w:r w:rsidRPr="001752EA">
        <w:rPr>
          <w:rFonts w:ascii="Times New Roman" w:hAnsi="Times New Roman" w:cs="Times New Roman"/>
          <w:noProof/>
          <w:color w:val="auto"/>
          <w:sz w:val="24"/>
          <w:szCs w:val="24"/>
        </w:rPr>
        <w:t xml:space="preserve">Figure </w:t>
      </w:r>
      <w:r w:rsidRPr="001752EA">
        <w:rPr>
          <w:rFonts w:ascii="Times New Roman" w:hAnsi="Times New Roman" w:cs="Times New Roman"/>
          <w:noProof/>
          <w:color w:val="auto"/>
          <w:sz w:val="24"/>
          <w:szCs w:val="24"/>
        </w:rPr>
        <w:fldChar w:fldCharType="begin"/>
      </w:r>
      <w:r w:rsidRPr="001752EA">
        <w:rPr>
          <w:rFonts w:ascii="Times New Roman" w:hAnsi="Times New Roman" w:cs="Times New Roman"/>
          <w:noProof/>
          <w:color w:val="auto"/>
          <w:sz w:val="24"/>
          <w:szCs w:val="24"/>
        </w:rPr>
        <w:instrText xml:space="preserve"> SEQ Figure \* ARABIC </w:instrText>
      </w:r>
      <w:r w:rsidRPr="001752EA">
        <w:rPr>
          <w:rFonts w:ascii="Times New Roman" w:hAnsi="Times New Roman" w:cs="Times New Roman"/>
          <w:noProof/>
          <w:color w:val="auto"/>
          <w:sz w:val="24"/>
          <w:szCs w:val="24"/>
        </w:rPr>
        <w:fldChar w:fldCharType="separate"/>
      </w:r>
      <w:r w:rsidR="00263CCB">
        <w:rPr>
          <w:rFonts w:ascii="Times New Roman" w:hAnsi="Times New Roman" w:cs="Times New Roman"/>
          <w:noProof/>
          <w:color w:val="auto"/>
          <w:sz w:val="24"/>
          <w:szCs w:val="24"/>
        </w:rPr>
        <w:t>2</w:t>
      </w:r>
      <w:r w:rsidRPr="001752EA">
        <w:rPr>
          <w:rFonts w:ascii="Times New Roman" w:hAnsi="Times New Roman" w:cs="Times New Roman"/>
          <w:noProof/>
          <w:color w:val="auto"/>
          <w:sz w:val="24"/>
          <w:szCs w:val="24"/>
        </w:rPr>
        <w:fldChar w:fldCharType="end"/>
      </w:r>
      <w:r w:rsidRPr="001752EA">
        <w:rPr>
          <w:rFonts w:ascii="Times New Roman" w:hAnsi="Times New Roman" w:cs="Times New Roman"/>
          <w:noProof/>
          <w:color w:val="auto"/>
          <w:sz w:val="24"/>
          <w:szCs w:val="24"/>
        </w:rPr>
        <w:t>: Share of bank loans in total (consolidated) NFC debt</w:t>
      </w:r>
    </w:p>
    <w:p w14:paraId="457AD7F6" w14:textId="77777777" w:rsidR="007962F7" w:rsidRDefault="007962F7" w:rsidP="77BB1F80">
      <w:pPr>
        <w:jc w:val="both"/>
        <w:rPr>
          <w:rFonts w:ascii="Times New Roman" w:hAnsi="Times New Roman" w:cs="Times New Roman"/>
          <w:noProof/>
          <w:sz w:val="24"/>
          <w:szCs w:val="24"/>
          <w:lang w:val="en-GB"/>
        </w:rPr>
      </w:pPr>
      <w:r w:rsidRPr="00830AFF">
        <w:rPr>
          <w:noProof/>
          <w:lang w:val="en-GB" w:eastAsia="en-GB"/>
        </w:rPr>
        <w:drawing>
          <wp:inline distT="0" distB="0" distL="0" distR="0" wp14:anchorId="0828C393" wp14:editId="1EE3A0A4">
            <wp:extent cx="5659144" cy="3667125"/>
            <wp:effectExtent l="0" t="0" r="0" b="0"/>
            <wp:docPr id="196279790" name="Picture 1" descr="A graph of a financial loan&#10;&#10;AI-generated content may be incorrect.">
              <a:extLst xmlns:a="http://schemas.openxmlformats.org/drawingml/2006/main">
                <a:ext uri="{FF2B5EF4-FFF2-40B4-BE49-F238E27FC236}">
                  <a16:creationId xmlns:a16="http://schemas.microsoft.com/office/drawing/2014/main" id="{0361978A-193E-48CA-8C33-9ECB04A5BE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79790" name="Picture 1" descr="A graph of a financial loan&#10;&#10;AI-generated content may be incorrect."/>
                    <pic:cNvPicPr/>
                  </pic:nvPicPr>
                  <pic:blipFill>
                    <a:blip r:embed="rId16"/>
                    <a:stretch>
                      <a:fillRect/>
                    </a:stretch>
                  </pic:blipFill>
                  <pic:spPr>
                    <a:xfrm>
                      <a:off x="0" y="0"/>
                      <a:ext cx="5696061" cy="3691047"/>
                    </a:xfrm>
                    <a:prstGeom prst="rect">
                      <a:avLst/>
                    </a:prstGeom>
                  </pic:spPr>
                </pic:pic>
              </a:graphicData>
            </a:graphic>
          </wp:inline>
        </w:drawing>
      </w:r>
    </w:p>
    <w:p w14:paraId="16E56EC2" w14:textId="7C72A4DC" w:rsidR="00D00972" w:rsidRPr="0036474B" w:rsidRDefault="00006CA1" w:rsidP="00D00972">
      <w:pPr>
        <w:spacing w:before="80" w:after="80" w:line="276" w:lineRule="auto"/>
        <w:jc w:val="both"/>
        <w:rPr>
          <w:rFonts w:ascii="Times New Roman" w:eastAsia="Times New Roman" w:hAnsi="Times New Roman" w:cs="Times New Roman"/>
          <w:noProof/>
          <w:color w:val="000000" w:themeColor="text1"/>
          <w:sz w:val="24"/>
          <w:szCs w:val="24"/>
          <w:lang w:val="en-GB"/>
        </w:rPr>
      </w:pPr>
      <w:r w:rsidRPr="001752EA">
        <w:rPr>
          <w:rFonts w:ascii="Times New Roman" w:hAnsi="Times New Roman" w:cs="Times New Roman"/>
          <w:b/>
          <w:bCs/>
          <w:noProof/>
          <w:sz w:val="24"/>
          <w:szCs w:val="24"/>
          <w:lang w:val="en-GB"/>
        </w:rPr>
        <w:t>C</w:t>
      </w:r>
      <w:r w:rsidR="00892911" w:rsidRPr="001752EA">
        <w:rPr>
          <w:rFonts w:ascii="Times New Roman" w:hAnsi="Times New Roman" w:cs="Times New Roman"/>
          <w:b/>
          <w:bCs/>
          <w:noProof/>
          <w:sz w:val="24"/>
          <w:szCs w:val="24"/>
          <w:lang w:val="en-GB"/>
        </w:rPr>
        <w:t>apital market instruments (listed shares, corporate bonds) remain structurally underdeveloped</w:t>
      </w:r>
      <w:r w:rsidR="003537DA" w:rsidRPr="001752EA">
        <w:rPr>
          <w:rFonts w:ascii="Times New Roman" w:hAnsi="Times New Roman" w:cs="Times New Roman"/>
          <w:b/>
          <w:bCs/>
          <w:noProof/>
          <w:sz w:val="24"/>
          <w:szCs w:val="24"/>
          <w:lang w:val="en-GB"/>
        </w:rPr>
        <w:t xml:space="preserve">, especially compared to the </w:t>
      </w:r>
      <w:r w:rsidR="002F7A5E" w:rsidRPr="001752EA">
        <w:rPr>
          <w:rFonts w:ascii="Times New Roman" w:hAnsi="Times New Roman" w:cs="Times New Roman"/>
          <w:b/>
          <w:bCs/>
          <w:noProof/>
          <w:sz w:val="24"/>
          <w:szCs w:val="24"/>
          <w:lang w:val="en-GB"/>
        </w:rPr>
        <w:t>UK and the US</w:t>
      </w:r>
      <w:r w:rsidR="002F7A5E">
        <w:rPr>
          <w:rFonts w:ascii="Times New Roman" w:hAnsi="Times New Roman" w:cs="Times New Roman"/>
          <w:noProof/>
          <w:sz w:val="24"/>
          <w:szCs w:val="24"/>
          <w:lang w:val="en-GB"/>
        </w:rPr>
        <w:t>.</w:t>
      </w:r>
      <w:r w:rsidR="00520A0A">
        <w:rPr>
          <w:rFonts w:ascii="Times New Roman" w:hAnsi="Times New Roman" w:cs="Times New Roman"/>
          <w:noProof/>
          <w:sz w:val="24"/>
          <w:szCs w:val="24"/>
          <w:lang w:val="en-GB"/>
        </w:rPr>
        <w:t xml:space="preserve"> Debt securities and listed </w:t>
      </w:r>
      <w:r w:rsidR="001072BD">
        <w:rPr>
          <w:rFonts w:ascii="Times New Roman" w:hAnsi="Times New Roman" w:cs="Times New Roman"/>
          <w:noProof/>
          <w:sz w:val="24"/>
          <w:szCs w:val="24"/>
          <w:lang w:val="en-GB"/>
        </w:rPr>
        <w:t>shares make up only 3% and 14% of corporate debt in the EU</w:t>
      </w:r>
      <w:r w:rsidR="00423E20">
        <w:rPr>
          <w:rFonts w:ascii="Times New Roman" w:hAnsi="Times New Roman" w:cs="Times New Roman"/>
          <w:noProof/>
          <w:sz w:val="24"/>
          <w:szCs w:val="24"/>
          <w:lang w:val="en-GB"/>
        </w:rPr>
        <w:t>, whereas respectively account for 7% and 31% in the UK and 6% and 38% in the US</w:t>
      </w:r>
      <w:r w:rsidR="00B33A12">
        <w:rPr>
          <w:rFonts w:ascii="Times New Roman" w:hAnsi="Times New Roman" w:cs="Times New Roman"/>
          <w:noProof/>
          <w:sz w:val="24"/>
          <w:szCs w:val="24"/>
          <w:lang w:val="en-GB"/>
        </w:rPr>
        <w:t>.</w:t>
      </w:r>
      <w:r w:rsidR="00D00972">
        <w:rPr>
          <w:rFonts w:ascii="Times New Roman" w:hAnsi="Times New Roman" w:cs="Times New Roman"/>
          <w:noProof/>
          <w:sz w:val="24"/>
          <w:szCs w:val="24"/>
          <w:lang w:val="en-GB"/>
        </w:rPr>
        <w:t xml:space="preserve"> </w:t>
      </w:r>
      <w:r w:rsidR="00D00972" w:rsidRPr="0036474B">
        <w:rPr>
          <w:rFonts w:ascii="Times New Roman" w:eastAsia="Times New Roman" w:hAnsi="Times New Roman" w:cs="Times New Roman"/>
          <w:noProof/>
          <w:color w:val="000000" w:themeColor="text1"/>
          <w:sz w:val="24"/>
          <w:szCs w:val="24"/>
        </w:rPr>
        <w:t>The ECB's Occasional Paper on the Capital Markets Union notes that while progress has been made over the past decade, European capital markets remain fragmented along national lines, reducing their capacity to allocate capital efficiently across borders.</w:t>
      </w:r>
      <w:r w:rsidR="00D00972" w:rsidRPr="0036474B">
        <w:rPr>
          <w:rFonts w:ascii="Times New Roman" w:eastAsia="Times New Roman" w:hAnsi="Times New Roman" w:cs="Times New Roman"/>
          <w:noProof/>
          <w:color w:val="000000" w:themeColor="text1"/>
          <w:sz w:val="24"/>
          <w:szCs w:val="24"/>
          <w:vertAlign w:val="superscript"/>
        </w:rPr>
        <w:footnoteReference w:id="10"/>
      </w:r>
      <w:r w:rsidR="00D00972" w:rsidRPr="0036474B">
        <w:rPr>
          <w:rFonts w:ascii="Times New Roman" w:eastAsia="Times New Roman" w:hAnsi="Times New Roman" w:cs="Times New Roman"/>
          <w:noProof/>
          <w:color w:val="000000" w:themeColor="text1"/>
          <w:sz w:val="24"/>
          <w:szCs w:val="24"/>
          <w:vertAlign w:val="superscript"/>
        </w:rPr>
        <w:t xml:space="preserve"> </w:t>
      </w:r>
      <w:r w:rsidR="00D00972" w:rsidRPr="0036474B">
        <w:rPr>
          <w:rFonts w:ascii="Times New Roman" w:eastAsia="Times New Roman" w:hAnsi="Times New Roman" w:cs="Times New Roman"/>
          <w:noProof/>
          <w:color w:val="000000" w:themeColor="text1"/>
          <w:sz w:val="24"/>
          <w:szCs w:val="24"/>
        </w:rPr>
        <w:t>This structural gap reinforces the continued centrality of banks in financing the European economy.</w:t>
      </w:r>
      <w:r w:rsidR="006F04B1">
        <w:rPr>
          <w:rFonts w:ascii="Times New Roman" w:eastAsia="Times New Roman" w:hAnsi="Times New Roman" w:cs="Times New Roman"/>
          <w:noProof/>
          <w:color w:val="000000" w:themeColor="text1"/>
          <w:sz w:val="24"/>
          <w:szCs w:val="24"/>
        </w:rPr>
        <w:t xml:space="preserve"> </w:t>
      </w:r>
      <w:r w:rsidR="00CB2EB7">
        <w:rPr>
          <w:rFonts w:ascii="Times New Roman" w:eastAsia="Times New Roman" w:hAnsi="Times New Roman" w:cs="Times New Roman"/>
          <w:noProof/>
          <w:color w:val="000000" w:themeColor="text1"/>
          <w:sz w:val="24"/>
          <w:szCs w:val="24"/>
        </w:rPr>
        <w:t>The Savings and Investments Union strategy aims at developing scale and depth of the EU capital markets</w:t>
      </w:r>
      <w:r w:rsidR="00D135A8">
        <w:rPr>
          <w:rFonts w:ascii="Times New Roman" w:eastAsia="Times New Roman" w:hAnsi="Times New Roman" w:cs="Times New Roman"/>
          <w:noProof/>
          <w:color w:val="000000" w:themeColor="text1"/>
          <w:sz w:val="24"/>
          <w:szCs w:val="24"/>
        </w:rPr>
        <w:t xml:space="preserve">, thus bringing diversification to EU funding markets. </w:t>
      </w:r>
    </w:p>
    <w:p w14:paraId="035FC9E2" w14:textId="3B4CE3BF" w:rsidR="00553C41" w:rsidRPr="001752EA" w:rsidRDefault="00553C41" w:rsidP="001752EA">
      <w:pPr>
        <w:pStyle w:val="Caption"/>
        <w:keepNext/>
        <w:jc w:val="both"/>
        <w:rPr>
          <w:rFonts w:ascii="Times New Roman" w:hAnsi="Times New Roman" w:cs="Times New Roman"/>
          <w:noProof/>
          <w:color w:val="auto"/>
          <w:sz w:val="24"/>
          <w:szCs w:val="24"/>
        </w:rPr>
      </w:pPr>
      <w:r w:rsidRPr="001752EA">
        <w:rPr>
          <w:rFonts w:ascii="Times New Roman" w:hAnsi="Times New Roman" w:cs="Times New Roman"/>
          <w:noProof/>
          <w:color w:val="auto"/>
          <w:sz w:val="24"/>
          <w:szCs w:val="24"/>
        </w:rPr>
        <w:t xml:space="preserve">Figure </w:t>
      </w:r>
      <w:r w:rsidRPr="001752EA">
        <w:rPr>
          <w:rFonts w:ascii="Times New Roman" w:hAnsi="Times New Roman" w:cs="Times New Roman"/>
          <w:noProof/>
          <w:color w:val="auto"/>
          <w:sz w:val="24"/>
          <w:szCs w:val="24"/>
        </w:rPr>
        <w:fldChar w:fldCharType="begin"/>
      </w:r>
      <w:r w:rsidRPr="001752EA">
        <w:rPr>
          <w:rFonts w:ascii="Times New Roman" w:hAnsi="Times New Roman" w:cs="Times New Roman"/>
          <w:noProof/>
          <w:color w:val="auto"/>
          <w:sz w:val="24"/>
          <w:szCs w:val="24"/>
        </w:rPr>
        <w:instrText xml:space="preserve"> SEQ Figure \* ARABIC </w:instrText>
      </w:r>
      <w:r w:rsidRPr="001752EA">
        <w:rPr>
          <w:rFonts w:ascii="Times New Roman" w:hAnsi="Times New Roman" w:cs="Times New Roman"/>
          <w:noProof/>
          <w:color w:val="auto"/>
          <w:sz w:val="24"/>
          <w:szCs w:val="24"/>
        </w:rPr>
        <w:fldChar w:fldCharType="separate"/>
      </w:r>
      <w:r w:rsidR="00263CCB">
        <w:rPr>
          <w:rFonts w:ascii="Times New Roman" w:hAnsi="Times New Roman" w:cs="Times New Roman"/>
          <w:noProof/>
          <w:color w:val="auto"/>
          <w:sz w:val="24"/>
          <w:szCs w:val="24"/>
        </w:rPr>
        <w:t>3</w:t>
      </w:r>
      <w:r w:rsidRPr="001752EA">
        <w:rPr>
          <w:rFonts w:ascii="Times New Roman" w:hAnsi="Times New Roman" w:cs="Times New Roman"/>
          <w:noProof/>
          <w:color w:val="auto"/>
          <w:sz w:val="24"/>
          <w:szCs w:val="24"/>
        </w:rPr>
        <w:fldChar w:fldCharType="end"/>
      </w:r>
      <w:r w:rsidRPr="001752EA">
        <w:rPr>
          <w:rFonts w:ascii="Times New Roman" w:hAnsi="Times New Roman" w:cs="Times New Roman"/>
          <w:noProof/>
          <w:color w:val="auto"/>
          <w:sz w:val="24"/>
          <w:szCs w:val="24"/>
        </w:rPr>
        <w:t>: Composition of NFC liabilities in the EU</w:t>
      </w:r>
    </w:p>
    <w:p w14:paraId="3C6AE4F0" w14:textId="2CB0C59A" w:rsidR="00037866" w:rsidRPr="0036474B" w:rsidRDefault="00037866" w:rsidP="77BB1F80">
      <w:pPr>
        <w:jc w:val="both"/>
        <w:rPr>
          <w:rFonts w:ascii="Times New Roman" w:hAnsi="Times New Roman" w:cs="Times New Roman"/>
          <w:noProof/>
          <w:sz w:val="24"/>
          <w:szCs w:val="24"/>
          <w:lang w:val="en-GB"/>
        </w:rPr>
      </w:pPr>
      <w:r>
        <w:rPr>
          <w:noProof/>
          <w:lang w:val="en-GB" w:eastAsia="en-GB"/>
        </w:rPr>
        <w:drawing>
          <wp:inline distT="0" distB="0" distL="0" distR="0" wp14:anchorId="14997499" wp14:editId="24DA74FB">
            <wp:extent cx="5731510" cy="3913031"/>
            <wp:effectExtent l="0" t="0" r="2540" b="0"/>
            <wp:docPr id="748933637" name="Picture 1" descr="A close-up of a graph&#10;&#10;AI-generated content may be incorrect.">
              <a:extLst xmlns:a="http://schemas.openxmlformats.org/drawingml/2006/main">
                <a:ext uri="{FF2B5EF4-FFF2-40B4-BE49-F238E27FC236}">
                  <a16:creationId xmlns:a16="http://schemas.microsoft.com/office/drawing/2014/main" id="{36A053F2-51CD-4B06-91B7-AF8A9AF3FC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933637" name="Picture 1" descr="A close-up of a graph&#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3913031"/>
                    </a:xfrm>
                    <a:prstGeom prst="rect">
                      <a:avLst/>
                    </a:prstGeom>
                    <a:noFill/>
                  </pic:spPr>
                </pic:pic>
              </a:graphicData>
            </a:graphic>
          </wp:inline>
        </w:drawing>
      </w:r>
    </w:p>
    <w:p w14:paraId="2CFD930D" w14:textId="1C7131BB" w:rsidR="00F00E0A" w:rsidRPr="0036474B" w:rsidRDefault="5EF556A5" w:rsidP="00294B69">
      <w:pPr>
        <w:jc w:val="both"/>
        <w:rPr>
          <w:rFonts w:ascii="Times New Roman" w:hAnsi="Times New Roman" w:cs="Times New Roman"/>
          <w:noProof/>
          <w:sz w:val="24"/>
          <w:szCs w:val="24"/>
          <w:lang w:val="en-GB"/>
        </w:rPr>
      </w:pPr>
      <w:r w:rsidRPr="0036474B">
        <w:rPr>
          <w:rFonts w:ascii="Times New Roman" w:hAnsi="Times New Roman" w:cs="Times New Roman"/>
          <w:b/>
          <w:bCs/>
          <w:noProof/>
          <w:sz w:val="24"/>
          <w:szCs w:val="24"/>
          <w:lang w:val="en-GB"/>
        </w:rPr>
        <w:t xml:space="preserve">Banks </w:t>
      </w:r>
      <w:r w:rsidR="43B55637" w:rsidRPr="0036474B">
        <w:rPr>
          <w:rFonts w:ascii="Times New Roman" w:hAnsi="Times New Roman" w:cs="Times New Roman"/>
          <w:b/>
          <w:bCs/>
          <w:noProof/>
          <w:sz w:val="24"/>
          <w:szCs w:val="24"/>
          <w:lang w:val="en-GB"/>
        </w:rPr>
        <w:t>play a</w:t>
      </w:r>
      <w:r w:rsidRPr="0036474B">
        <w:rPr>
          <w:rFonts w:ascii="Times New Roman" w:hAnsi="Times New Roman" w:cs="Times New Roman"/>
          <w:b/>
          <w:bCs/>
          <w:noProof/>
          <w:sz w:val="24"/>
          <w:szCs w:val="24"/>
          <w:lang w:val="en-GB"/>
        </w:rPr>
        <w:t xml:space="preserve"> particularly critical</w:t>
      </w:r>
      <w:r w:rsidR="43B55637" w:rsidRPr="0036474B">
        <w:rPr>
          <w:rFonts w:ascii="Times New Roman" w:hAnsi="Times New Roman" w:cs="Times New Roman"/>
          <w:b/>
          <w:bCs/>
          <w:noProof/>
          <w:sz w:val="24"/>
          <w:szCs w:val="24"/>
          <w:lang w:val="en-GB"/>
        </w:rPr>
        <w:t xml:space="preserve"> role</w:t>
      </w:r>
      <w:r w:rsidRPr="0036474B">
        <w:rPr>
          <w:rFonts w:ascii="Times New Roman" w:hAnsi="Times New Roman" w:cs="Times New Roman"/>
          <w:b/>
          <w:bCs/>
          <w:noProof/>
          <w:sz w:val="24"/>
          <w:szCs w:val="24"/>
          <w:lang w:val="en-GB"/>
        </w:rPr>
        <w:t xml:space="preserve"> for SMEs</w:t>
      </w:r>
      <w:r w:rsidR="008E17D4" w:rsidRPr="4EB84919">
        <w:rPr>
          <w:rStyle w:val="FootnoteReference"/>
          <w:rFonts w:ascii="Times New Roman" w:hAnsi="Times New Roman" w:cs="Times New Roman"/>
          <w:b/>
          <w:bCs/>
          <w:noProof/>
          <w:sz w:val="24"/>
          <w:szCs w:val="24"/>
          <w:lang w:val="en-GB"/>
        </w:rPr>
        <w:footnoteReference w:id="11"/>
      </w:r>
      <w:r w:rsidR="2E14654B" w:rsidRPr="0036474B">
        <w:rPr>
          <w:rFonts w:ascii="Times New Roman" w:hAnsi="Times New Roman" w:cs="Times New Roman"/>
          <w:b/>
          <w:bCs/>
          <w:noProof/>
          <w:sz w:val="24"/>
          <w:szCs w:val="24"/>
          <w:lang w:val="en-GB"/>
        </w:rPr>
        <w:t xml:space="preserve">, providing </w:t>
      </w:r>
      <w:r w:rsidR="37063FF2" w:rsidRPr="0036474B">
        <w:rPr>
          <w:rFonts w:ascii="Times New Roman" w:hAnsi="Times New Roman" w:cs="Times New Roman"/>
          <w:b/>
          <w:bCs/>
          <w:noProof/>
          <w:sz w:val="24"/>
          <w:szCs w:val="24"/>
          <w:lang w:val="en-GB"/>
        </w:rPr>
        <w:t>EUR</w:t>
      </w:r>
      <w:r w:rsidR="41ACC289" w:rsidRPr="0036474B">
        <w:rPr>
          <w:rFonts w:ascii="Times New Roman" w:hAnsi="Times New Roman" w:cs="Times New Roman"/>
          <w:b/>
          <w:bCs/>
          <w:noProof/>
          <w:sz w:val="24"/>
          <w:szCs w:val="24"/>
          <w:lang w:val="en-GB"/>
        </w:rPr>
        <w:t xml:space="preserve"> </w:t>
      </w:r>
      <w:r w:rsidR="37063FF2" w:rsidRPr="0036474B">
        <w:rPr>
          <w:rFonts w:ascii="Times New Roman" w:hAnsi="Times New Roman" w:cs="Times New Roman"/>
          <w:b/>
          <w:bCs/>
          <w:noProof/>
          <w:sz w:val="24"/>
          <w:szCs w:val="24"/>
          <w:lang w:val="en-GB"/>
        </w:rPr>
        <w:t>2</w:t>
      </w:r>
      <w:r w:rsidR="52E1297A" w:rsidRPr="0036474B">
        <w:rPr>
          <w:rFonts w:ascii="Times New Roman" w:hAnsi="Times New Roman" w:cs="Times New Roman"/>
          <w:b/>
          <w:bCs/>
          <w:noProof/>
          <w:sz w:val="24"/>
          <w:szCs w:val="24"/>
          <w:lang w:val="en-GB"/>
        </w:rPr>
        <w:t>.</w:t>
      </w:r>
      <w:r w:rsidR="00353EBA">
        <w:rPr>
          <w:rFonts w:ascii="Times New Roman" w:hAnsi="Times New Roman" w:cs="Times New Roman"/>
          <w:b/>
          <w:bCs/>
          <w:noProof/>
          <w:sz w:val="24"/>
          <w:szCs w:val="24"/>
          <w:lang w:val="en-GB"/>
        </w:rPr>
        <w:t>6</w:t>
      </w:r>
      <w:r w:rsidR="00353EBA" w:rsidRPr="0036474B">
        <w:rPr>
          <w:rFonts w:ascii="Times New Roman" w:hAnsi="Times New Roman" w:cs="Times New Roman"/>
          <w:b/>
          <w:bCs/>
          <w:noProof/>
          <w:sz w:val="24"/>
          <w:szCs w:val="24"/>
          <w:lang w:val="en-GB"/>
        </w:rPr>
        <w:t xml:space="preserve"> </w:t>
      </w:r>
      <w:r w:rsidR="5CB58688" w:rsidRPr="0036474B">
        <w:rPr>
          <w:rFonts w:ascii="Times New Roman" w:hAnsi="Times New Roman" w:cs="Times New Roman"/>
          <w:b/>
          <w:bCs/>
          <w:noProof/>
          <w:sz w:val="24"/>
          <w:szCs w:val="24"/>
          <w:lang w:val="en-GB"/>
        </w:rPr>
        <w:t>trillion</w:t>
      </w:r>
      <w:r w:rsidR="5CB58688" w:rsidRPr="4EB84919">
        <w:rPr>
          <w:rFonts w:ascii="Times New Roman" w:hAnsi="Times New Roman" w:cs="Times New Roman"/>
          <w:b/>
          <w:bCs/>
          <w:noProof/>
          <w:sz w:val="24"/>
          <w:szCs w:val="24"/>
          <w:lang w:val="en-GB"/>
        </w:rPr>
        <w:t xml:space="preserve"> </w:t>
      </w:r>
      <w:r w:rsidR="0B9AAE89" w:rsidRPr="0036474B">
        <w:rPr>
          <w:rFonts w:ascii="Times New Roman" w:hAnsi="Times New Roman" w:cs="Times New Roman"/>
          <w:b/>
          <w:bCs/>
          <w:noProof/>
          <w:sz w:val="24"/>
          <w:szCs w:val="24"/>
          <w:lang w:val="en-GB"/>
        </w:rPr>
        <w:t>in</w:t>
      </w:r>
      <w:r w:rsidR="5D0033FB" w:rsidRPr="0036474B">
        <w:rPr>
          <w:rFonts w:ascii="Times New Roman" w:hAnsi="Times New Roman" w:cs="Times New Roman"/>
          <w:b/>
          <w:bCs/>
          <w:noProof/>
          <w:sz w:val="24"/>
          <w:szCs w:val="24"/>
          <w:lang w:val="en-GB"/>
        </w:rPr>
        <w:t xml:space="preserve"> </w:t>
      </w:r>
      <w:r w:rsidR="5CB58688" w:rsidRPr="0036474B">
        <w:rPr>
          <w:rFonts w:ascii="Times New Roman" w:hAnsi="Times New Roman" w:cs="Times New Roman"/>
          <w:b/>
          <w:bCs/>
          <w:noProof/>
          <w:sz w:val="24"/>
          <w:szCs w:val="24"/>
          <w:lang w:val="en-GB"/>
        </w:rPr>
        <w:t>outstanding loans</w:t>
      </w:r>
      <w:r w:rsidR="0003201B" w:rsidRPr="0036474B">
        <w:rPr>
          <w:rFonts w:ascii="Times New Roman" w:hAnsi="Times New Roman" w:cs="Times New Roman"/>
          <w:b/>
          <w:bCs/>
          <w:noProof/>
          <w:sz w:val="24"/>
          <w:szCs w:val="24"/>
          <w:lang w:val="en-GB"/>
        </w:rPr>
        <w:t xml:space="preserve"> </w:t>
      </w:r>
      <w:r w:rsidR="0B00BDC1" w:rsidRPr="0036474B">
        <w:rPr>
          <w:rFonts w:ascii="Times New Roman" w:hAnsi="Times New Roman" w:cs="Times New Roman"/>
          <w:b/>
          <w:bCs/>
          <w:noProof/>
          <w:sz w:val="24"/>
          <w:szCs w:val="24"/>
          <w:lang w:val="en-GB"/>
        </w:rPr>
        <w:t>(</w:t>
      </w:r>
      <w:r w:rsidR="007762D1" w:rsidRPr="0036474B">
        <w:rPr>
          <w:rFonts w:ascii="Times New Roman" w:hAnsi="Times New Roman" w:cs="Times New Roman"/>
          <w:b/>
          <w:bCs/>
          <w:noProof/>
          <w:sz w:val="24"/>
          <w:szCs w:val="24"/>
          <w:lang w:val="en-GB"/>
        </w:rPr>
        <w:t>4</w:t>
      </w:r>
      <w:r w:rsidR="00DF0F63">
        <w:rPr>
          <w:rFonts w:ascii="Times New Roman" w:hAnsi="Times New Roman" w:cs="Times New Roman"/>
          <w:b/>
          <w:bCs/>
          <w:noProof/>
          <w:sz w:val="24"/>
          <w:szCs w:val="24"/>
          <w:lang w:val="en-GB"/>
        </w:rPr>
        <w:t>0</w:t>
      </w:r>
      <w:r w:rsidR="5CB58688" w:rsidRPr="0036474B">
        <w:rPr>
          <w:rFonts w:ascii="Times New Roman" w:hAnsi="Times New Roman" w:cs="Times New Roman"/>
          <w:b/>
          <w:bCs/>
          <w:noProof/>
          <w:sz w:val="24"/>
          <w:szCs w:val="24"/>
          <w:lang w:val="en-GB"/>
        </w:rPr>
        <w:t xml:space="preserve">% of </w:t>
      </w:r>
      <w:r w:rsidR="00B75324">
        <w:rPr>
          <w:rFonts w:ascii="Times New Roman" w:hAnsi="Times New Roman" w:cs="Times New Roman"/>
          <w:b/>
          <w:bCs/>
          <w:noProof/>
          <w:sz w:val="24"/>
          <w:szCs w:val="24"/>
          <w:lang w:val="en-GB"/>
        </w:rPr>
        <w:t xml:space="preserve">banks’ </w:t>
      </w:r>
      <w:r w:rsidR="501FCD8B" w:rsidRPr="0036474B">
        <w:rPr>
          <w:rFonts w:ascii="Times New Roman" w:hAnsi="Times New Roman" w:cs="Times New Roman"/>
          <w:b/>
          <w:bCs/>
          <w:noProof/>
          <w:sz w:val="24"/>
          <w:szCs w:val="24"/>
          <w:lang w:val="en-GB"/>
        </w:rPr>
        <w:t>total corporate lending</w:t>
      </w:r>
      <w:r w:rsidR="00161837">
        <w:rPr>
          <w:rFonts w:ascii="Times New Roman" w:hAnsi="Times New Roman" w:cs="Times New Roman"/>
          <w:b/>
          <w:bCs/>
          <w:noProof/>
          <w:sz w:val="24"/>
          <w:szCs w:val="24"/>
          <w:lang w:val="en-GB"/>
        </w:rPr>
        <w:t xml:space="preserve">, as per </w:t>
      </w:r>
      <w:r w:rsidR="00161837" w:rsidRPr="0088166E">
        <w:rPr>
          <w:rFonts w:ascii="Times New Roman" w:hAnsi="Times New Roman" w:cs="Times New Roman"/>
          <w:b/>
          <w:bCs/>
          <w:noProof/>
          <w:sz w:val="24"/>
          <w:szCs w:val="24"/>
          <w:lang w:val="en-GB"/>
        </w:rPr>
        <w:fldChar w:fldCharType="begin"/>
      </w:r>
      <w:r w:rsidR="00161837" w:rsidRPr="0088166E">
        <w:rPr>
          <w:rFonts w:ascii="Times New Roman" w:hAnsi="Times New Roman" w:cs="Times New Roman"/>
          <w:b/>
          <w:bCs/>
          <w:noProof/>
          <w:sz w:val="24"/>
          <w:szCs w:val="24"/>
          <w:lang w:val="en-GB"/>
        </w:rPr>
        <w:instrText xml:space="preserve"> REF _Ref233730008 \h </w:instrText>
      </w:r>
      <w:r w:rsidR="0088166E" w:rsidRPr="0088166E">
        <w:rPr>
          <w:rFonts w:ascii="Times New Roman" w:hAnsi="Times New Roman" w:cs="Times New Roman"/>
          <w:b/>
          <w:bCs/>
          <w:noProof/>
          <w:sz w:val="24"/>
          <w:szCs w:val="24"/>
          <w:lang w:val="en-GB"/>
        </w:rPr>
        <w:instrText xml:space="preserve"> \* MERGEFORMAT </w:instrText>
      </w:r>
      <w:r w:rsidR="00161837" w:rsidRPr="0088166E">
        <w:rPr>
          <w:rFonts w:ascii="Times New Roman" w:hAnsi="Times New Roman" w:cs="Times New Roman"/>
          <w:b/>
          <w:bCs/>
          <w:noProof/>
          <w:sz w:val="24"/>
          <w:szCs w:val="24"/>
          <w:lang w:val="en-GB"/>
        </w:rPr>
      </w:r>
      <w:r w:rsidR="00161837" w:rsidRPr="0088166E">
        <w:rPr>
          <w:rFonts w:ascii="Times New Roman" w:hAnsi="Times New Roman" w:cs="Times New Roman"/>
          <w:b/>
          <w:bCs/>
          <w:noProof/>
          <w:sz w:val="24"/>
          <w:szCs w:val="24"/>
          <w:lang w:val="en-GB"/>
        </w:rPr>
        <w:fldChar w:fldCharType="separate"/>
      </w:r>
      <w:r w:rsidR="00263CCB" w:rsidRPr="00263CCB">
        <w:rPr>
          <w:rFonts w:ascii="Times New Roman" w:eastAsia="Times New Roman" w:hAnsi="Times New Roman" w:cs="Times New Roman"/>
          <w:noProof/>
          <w:sz w:val="24"/>
          <w:szCs w:val="24"/>
        </w:rPr>
        <w:t>Figure 1</w:t>
      </w:r>
      <w:r w:rsidR="00161837" w:rsidRPr="0088166E">
        <w:rPr>
          <w:rFonts w:ascii="Times New Roman" w:hAnsi="Times New Roman" w:cs="Times New Roman"/>
          <w:b/>
          <w:bCs/>
          <w:noProof/>
          <w:sz w:val="24"/>
          <w:szCs w:val="24"/>
          <w:lang w:val="en-GB"/>
        </w:rPr>
        <w:fldChar w:fldCharType="end"/>
      </w:r>
      <w:r w:rsidR="5D0033FB" w:rsidRPr="0088166E">
        <w:rPr>
          <w:rFonts w:ascii="Times New Roman" w:hAnsi="Times New Roman" w:cs="Times New Roman"/>
          <w:b/>
          <w:bCs/>
          <w:noProof/>
          <w:sz w:val="24"/>
          <w:szCs w:val="24"/>
          <w:lang w:val="en-GB"/>
        </w:rPr>
        <w:t>)</w:t>
      </w:r>
      <w:r w:rsidR="00F94224" w:rsidRPr="00F94224">
        <w:rPr>
          <w:rStyle w:val="FootnoteReference"/>
          <w:rFonts w:ascii="Times New Roman" w:hAnsi="Times New Roman" w:cs="Times New Roman"/>
          <w:b/>
          <w:bCs/>
          <w:noProof/>
          <w:sz w:val="24"/>
          <w:szCs w:val="24"/>
        </w:rPr>
        <w:t xml:space="preserve"> </w:t>
      </w:r>
      <w:r w:rsidR="5D18FD72" w:rsidRPr="0036474B">
        <w:rPr>
          <w:rFonts w:ascii="Times New Roman" w:hAnsi="Times New Roman" w:cs="Times New Roman"/>
          <w:noProof/>
          <w:sz w:val="24"/>
          <w:szCs w:val="24"/>
          <w:lang w:val="en-GB"/>
        </w:rPr>
        <w:t xml:space="preserve">. </w:t>
      </w:r>
      <w:r w:rsidR="007442F2">
        <w:rPr>
          <w:rFonts w:ascii="Times New Roman" w:hAnsi="Times New Roman" w:cs="Times New Roman"/>
          <w:noProof/>
          <w:sz w:val="24"/>
          <w:szCs w:val="24"/>
          <w:lang w:val="en-GB"/>
        </w:rPr>
        <w:t>SME</w:t>
      </w:r>
      <w:r w:rsidR="004E7A25">
        <w:rPr>
          <w:rFonts w:ascii="Times New Roman" w:hAnsi="Times New Roman" w:cs="Times New Roman"/>
          <w:noProof/>
          <w:sz w:val="24"/>
          <w:szCs w:val="24"/>
          <w:lang w:val="en-GB"/>
        </w:rPr>
        <w:t>s are, on average,</w:t>
      </w:r>
      <w:r w:rsidR="5D18FD72" w:rsidRPr="4EB84919">
        <w:rPr>
          <w:rFonts w:ascii="Times New Roman" w:hAnsi="Times New Roman" w:cs="Times New Roman"/>
          <w:b/>
          <w:bCs/>
          <w:noProof/>
          <w:sz w:val="24"/>
          <w:szCs w:val="24"/>
          <w:lang w:val="en-GB"/>
        </w:rPr>
        <w:t xml:space="preserve"> </w:t>
      </w:r>
      <w:r w:rsidR="2D9C8686" w:rsidRPr="0036474B">
        <w:rPr>
          <w:rFonts w:ascii="Times New Roman" w:hAnsi="Times New Roman" w:cs="Times New Roman"/>
          <w:b/>
          <w:bCs/>
          <w:noProof/>
          <w:sz w:val="24"/>
          <w:szCs w:val="24"/>
          <w:lang w:val="en-GB"/>
        </w:rPr>
        <w:t>high</w:t>
      </w:r>
      <w:r w:rsidR="004E7A25">
        <w:rPr>
          <w:rFonts w:ascii="Times New Roman" w:hAnsi="Times New Roman" w:cs="Times New Roman"/>
          <w:b/>
          <w:bCs/>
          <w:noProof/>
          <w:sz w:val="24"/>
          <w:szCs w:val="24"/>
          <w:lang w:val="en-GB"/>
        </w:rPr>
        <w:t>ly</w:t>
      </w:r>
      <w:r w:rsidR="2D9C8686" w:rsidRPr="0036474B">
        <w:rPr>
          <w:rFonts w:ascii="Times New Roman" w:hAnsi="Times New Roman" w:cs="Times New Roman"/>
          <w:b/>
          <w:bCs/>
          <w:noProof/>
          <w:sz w:val="24"/>
          <w:szCs w:val="24"/>
          <w:lang w:val="en-GB"/>
        </w:rPr>
        <w:t xml:space="preserve"> relian</w:t>
      </w:r>
      <w:r w:rsidR="004E7A25">
        <w:rPr>
          <w:rFonts w:ascii="Times New Roman" w:hAnsi="Times New Roman" w:cs="Times New Roman"/>
          <w:b/>
          <w:bCs/>
          <w:noProof/>
          <w:sz w:val="24"/>
          <w:szCs w:val="24"/>
          <w:lang w:val="en-GB"/>
        </w:rPr>
        <w:t>t</w:t>
      </w:r>
      <w:r w:rsidR="2D9C8686" w:rsidRPr="0036474B">
        <w:rPr>
          <w:rFonts w:ascii="Times New Roman" w:hAnsi="Times New Roman" w:cs="Times New Roman"/>
          <w:b/>
          <w:bCs/>
          <w:noProof/>
          <w:sz w:val="24"/>
          <w:szCs w:val="24"/>
          <w:lang w:val="en-GB"/>
        </w:rPr>
        <w:t xml:space="preserve"> on banks</w:t>
      </w:r>
      <w:r w:rsidR="0DE94908" w:rsidRPr="0036474B">
        <w:rPr>
          <w:rFonts w:ascii="Times New Roman" w:hAnsi="Times New Roman" w:cs="Times New Roman"/>
          <w:b/>
          <w:bCs/>
          <w:noProof/>
          <w:sz w:val="24"/>
          <w:szCs w:val="24"/>
          <w:lang w:val="en-GB"/>
        </w:rPr>
        <w:t xml:space="preserve"> </w:t>
      </w:r>
      <w:r w:rsidR="004E7A25">
        <w:rPr>
          <w:rFonts w:ascii="Times New Roman" w:hAnsi="Times New Roman" w:cs="Times New Roman"/>
          <w:b/>
          <w:bCs/>
          <w:noProof/>
          <w:sz w:val="24"/>
          <w:szCs w:val="24"/>
          <w:lang w:val="en-GB"/>
        </w:rPr>
        <w:t>due to</w:t>
      </w:r>
      <w:r w:rsidR="004E7A25" w:rsidRPr="0036474B">
        <w:rPr>
          <w:rFonts w:ascii="Times New Roman" w:hAnsi="Times New Roman" w:cs="Times New Roman"/>
          <w:b/>
          <w:bCs/>
          <w:noProof/>
          <w:sz w:val="24"/>
          <w:szCs w:val="24"/>
          <w:lang w:val="en-GB"/>
        </w:rPr>
        <w:t xml:space="preserve"> </w:t>
      </w:r>
      <w:r w:rsidR="007442F2">
        <w:rPr>
          <w:rFonts w:ascii="Times New Roman" w:hAnsi="Times New Roman" w:cs="Times New Roman"/>
          <w:b/>
          <w:bCs/>
          <w:noProof/>
          <w:sz w:val="24"/>
          <w:szCs w:val="24"/>
          <w:lang w:val="en-GB"/>
        </w:rPr>
        <w:t>their</w:t>
      </w:r>
      <w:r w:rsidR="007442F2" w:rsidRPr="0036474B">
        <w:rPr>
          <w:rFonts w:ascii="Times New Roman" w:hAnsi="Times New Roman" w:cs="Times New Roman"/>
          <w:b/>
          <w:bCs/>
          <w:noProof/>
          <w:sz w:val="24"/>
          <w:szCs w:val="24"/>
          <w:lang w:val="en-GB"/>
        </w:rPr>
        <w:t xml:space="preserve"> </w:t>
      </w:r>
      <w:r w:rsidR="218FED0F" w:rsidRPr="0036474B">
        <w:rPr>
          <w:rFonts w:ascii="Times New Roman" w:hAnsi="Times New Roman" w:cs="Times New Roman"/>
          <w:b/>
          <w:bCs/>
          <w:noProof/>
          <w:sz w:val="24"/>
          <w:szCs w:val="24"/>
          <w:lang w:val="en-GB"/>
        </w:rPr>
        <w:t xml:space="preserve">limited access to </w:t>
      </w:r>
      <w:r w:rsidR="5F5F5D0B" w:rsidRPr="0036474B">
        <w:rPr>
          <w:rFonts w:ascii="Times New Roman" w:hAnsi="Times New Roman" w:cs="Times New Roman"/>
          <w:b/>
          <w:bCs/>
          <w:noProof/>
          <w:sz w:val="24"/>
          <w:szCs w:val="24"/>
          <w:lang w:val="en-GB"/>
        </w:rPr>
        <w:t>capital markets</w:t>
      </w:r>
      <w:r w:rsidR="004E7A25">
        <w:rPr>
          <w:rFonts w:ascii="Times New Roman" w:hAnsi="Times New Roman" w:cs="Times New Roman"/>
          <w:b/>
          <w:bCs/>
          <w:noProof/>
          <w:sz w:val="24"/>
          <w:szCs w:val="24"/>
          <w:lang w:val="en-GB"/>
        </w:rPr>
        <w:t>, making them</w:t>
      </w:r>
      <w:r w:rsidR="00F813EC">
        <w:rPr>
          <w:rFonts w:ascii="Times New Roman" w:hAnsi="Times New Roman" w:cs="Times New Roman"/>
          <w:noProof/>
          <w:sz w:val="24"/>
          <w:szCs w:val="24"/>
          <w:lang w:val="en-GB"/>
        </w:rPr>
        <w:t xml:space="preserve"> </w:t>
      </w:r>
      <w:r w:rsidR="1C037A73" w:rsidRPr="0036474B">
        <w:rPr>
          <w:rFonts w:ascii="Times New Roman" w:hAnsi="Times New Roman" w:cs="Times New Roman"/>
          <w:noProof/>
          <w:sz w:val="24"/>
          <w:szCs w:val="24"/>
          <w:lang w:val="en-GB"/>
        </w:rPr>
        <w:t>vulnerable</w:t>
      </w:r>
      <w:r w:rsidR="7309DAF1" w:rsidRPr="0036474B">
        <w:rPr>
          <w:rFonts w:ascii="Times New Roman" w:hAnsi="Times New Roman" w:cs="Times New Roman"/>
          <w:noProof/>
          <w:sz w:val="24"/>
          <w:szCs w:val="24"/>
          <w:lang w:val="en-GB"/>
        </w:rPr>
        <w:t xml:space="preserve"> to any tightening of credit </w:t>
      </w:r>
      <w:r w:rsidR="0CC38A83" w:rsidRPr="0036474B">
        <w:rPr>
          <w:rFonts w:ascii="Times New Roman" w:hAnsi="Times New Roman" w:cs="Times New Roman"/>
          <w:noProof/>
          <w:sz w:val="24"/>
          <w:szCs w:val="24"/>
          <w:lang w:val="en-GB"/>
        </w:rPr>
        <w:t>lending</w:t>
      </w:r>
      <w:r w:rsidR="0AEB588C" w:rsidRPr="0036474B">
        <w:rPr>
          <w:rFonts w:ascii="Times New Roman" w:hAnsi="Times New Roman" w:cs="Times New Roman"/>
          <w:noProof/>
          <w:sz w:val="24"/>
          <w:szCs w:val="24"/>
          <w:lang w:val="en-GB"/>
        </w:rPr>
        <w:t>, related to underwriting</w:t>
      </w:r>
      <w:r w:rsidR="7309DAF1" w:rsidRPr="0036474B">
        <w:rPr>
          <w:rFonts w:ascii="Times New Roman" w:hAnsi="Times New Roman" w:cs="Times New Roman"/>
          <w:noProof/>
          <w:sz w:val="24"/>
          <w:szCs w:val="24"/>
          <w:lang w:val="en-GB"/>
        </w:rPr>
        <w:t xml:space="preserve"> standards</w:t>
      </w:r>
      <w:r w:rsidR="0AEB588C" w:rsidRPr="0036474B">
        <w:rPr>
          <w:rFonts w:ascii="Times New Roman" w:hAnsi="Times New Roman" w:cs="Times New Roman"/>
          <w:noProof/>
          <w:sz w:val="24"/>
          <w:szCs w:val="24"/>
          <w:lang w:val="en-GB"/>
        </w:rPr>
        <w:t xml:space="preserve"> or other </w:t>
      </w:r>
      <w:r w:rsidR="27E98AA7" w:rsidRPr="0036474B">
        <w:rPr>
          <w:rFonts w:ascii="Times New Roman" w:hAnsi="Times New Roman" w:cs="Times New Roman"/>
          <w:noProof/>
          <w:sz w:val="24"/>
          <w:szCs w:val="24"/>
          <w:lang w:val="en-GB"/>
        </w:rPr>
        <w:t>factors</w:t>
      </w:r>
      <w:r w:rsidR="001118DF" w:rsidRPr="0036474B">
        <w:rPr>
          <w:rFonts w:ascii="Times New Roman" w:hAnsi="Times New Roman" w:cs="Times New Roman"/>
          <w:noProof/>
          <w:sz w:val="24"/>
          <w:szCs w:val="24"/>
          <w:lang w:val="en-GB"/>
        </w:rPr>
        <w:t xml:space="preserve">. </w:t>
      </w:r>
      <w:r w:rsidR="5019F1C3" w:rsidRPr="0036474B">
        <w:rPr>
          <w:rFonts w:ascii="Times New Roman" w:hAnsi="Times New Roman" w:cs="Times New Roman"/>
          <w:noProof/>
          <w:sz w:val="24"/>
          <w:szCs w:val="24"/>
          <w:lang w:val="en-GB"/>
        </w:rPr>
        <w:t>In</w:t>
      </w:r>
      <w:r w:rsidR="73E9F5F8" w:rsidRPr="0036474B">
        <w:rPr>
          <w:rFonts w:ascii="Times New Roman" w:hAnsi="Times New Roman" w:cs="Times New Roman"/>
          <w:noProof/>
          <w:sz w:val="24"/>
          <w:szCs w:val="24"/>
          <w:lang w:val="en-GB"/>
        </w:rPr>
        <w:t xml:space="preserve"> contrast, m</w:t>
      </w:r>
      <w:r w:rsidR="2967621F" w:rsidRPr="0036474B">
        <w:rPr>
          <w:rFonts w:ascii="Times New Roman" w:hAnsi="Times New Roman" w:cs="Times New Roman"/>
          <w:noProof/>
          <w:sz w:val="24"/>
          <w:szCs w:val="24"/>
          <w:lang w:val="en-GB"/>
        </w:rPr>
        <w:t>icro-firms</w:t>
      </w:r>
      <w:r w:rsidR="73E9F5F8" w:rsidRPr="0036474B">
        <w:rPr>
          <w:rFonts w:ascii="Times New Roman" w:hAnsi="Times New Roman" w:cs="Times New Roman"/>
          <w:noProof/>
          <w:sz w:val="24"/>
          <w:szCs w:val="24"/>
          <w:lang w:val="en-GB"/>
        </w:rPr>
        <w:t xml:space="preserve"> </w:t>
      </w:r>
      <w:r w:rsidR="6422D653" w:rsidRPr="0036474B">
        <w:rPr>
          <w:rFonts w:ascii="Times New Roman" w:hAnsi="Times New Roman" w:cs="Times New Roman"/>
          <w:noProof/>
          <w:sz w:val="24"/>
          <w:szCs w:val="24"/>
          <w:lang w:val="en-GB"/>
        </w:rPr>
        <w:t xml:space="preserve">tend to rely </w:t>
      </w:r>
      <w:r w:rsidR="33E4C0F3" w:rsidRPr="0036474B">
        <w:rPr>
          <w:rFonts w:ascii="Times New Roman" w:hAnsi="Times New Roman" w:cs="Times New Roman"/>
          <w:noProof/>
          <w:sz w:val="24"/>
          <w:szCs w:val="24"/>
          <w:lang w:val="en-GB"/>
        </w:rPr>
        <w:t xml:space="preserve">more </w:t>
      </w:r>
      <w:r w:rsidR="6422D653" w:rsidRPr="0036474B">
        <w:rPr>
          <w:rFonts w:ascii="Times New Roman" w:hAnsi="Times New Roman" w:cs="Times New Roman"/>
          <w:noProof/>
          <w:sz w:val="24"/>
          <w:szCs w:val="24"/>
          <w:lang w:val="en-GB"/>
        </w:rPr>
        <w:t>on non-bank financing</w:t>
      </w:r>
      <w:r w:rsidR="7D324DED" w:rsidRPr="0036474B">
        <w:rPr>
          <w:rFonts w:ascii="Times New Roman" w:hAnsi="Times New Roman" w:cs="Times New Roman"/>
          <w:noProof/>
          <w:sz w:val="24"/>
          <w:szCs w:val="24"/>
          <w:lang w:val="en-GB"/>
        </w:rPr>
        <w:t xml:space="preserve">, as </w:t>
      </w:r>
      <w:r w:rsidR="43E79CD1" w:rsidRPr="0036474B">
        <w:rPr>
          <w:rFonts w:ascii="Times New Roman" w:hAnsi="Times New Roman" w:cs="Times New Roman"/>
          <w:noProof/>
          <w:sz w:val="24"/>
          <w:szCs w:val="24"/>
          <w:lang w:val="en-GB"/>
        </w:rPr>
        <w:t>alternative</w:t>
      </w:r>
      <w:r w:rsidR="7D324DED" w:rsidRPr="0036474B">
        <w:rPr>
          <w:rFonts w:ascii="Times New Roman" w:hAnsi="Times New Roman" w:cs="Times New Roman"/>
          <w:noProof/>
          <w:sz w:val="24"/>
          <w:szCs w:val="24"/>
          <w:lang w:val="en-GB"/>
        </w:rPr>
        <w:t xml:space="preserve"> sources</w:t>
      </w:r>
      <w:r w:rsidR="6766DAF0" w:rsidRPr="0036474B">
        <w:rPr>
          <w:rFonts w:ascii="Times New Roman" w:hAnsi="Times New Roman" w:cs="Times New Roman"/>
          <w:noProof/>
          <w:sz w:val="24"/>
          <w:szCs w:val="24"/>
          <w:lang w:val="en-GB"/>
        </w:rPr>
        <w:t xml:space="preserve"> </w:t>
      </w:r>
      <w:r w:rsidR="4D22A5A1" w:rsidRPr="0036474B">
        <w:rPr>
          <w:rFonts w:ascii="Times New Roman" w:hAnsi="Times New Roman" w:cs="Times New Roman"/>
          <w:noProof/>
          <w:sz w:val="24"/>
          <w:szCs w:val="24"/>
          <w:lang w:val="en-GB"/>
        </w:rPr>
        <w:t xml:space="preserve">of funding </w:t>
      </w:r>
      <w:r w:rsidR="6766DAF0" w:rsidRPr="0036474B">
        <w:rPr>
          <w:rFonts w:ascii="Times New Roman" w:hAnsi="Times New Roman" w:cs="Times New Roman"/>
          <w:noProof/>
          <w:sz w:val="24"/>
          <w:szCs w:val="24"/>
          <w:lang w:val="en-GB"/>
        </w:rPr>
        <w:t xml:space="preserve">(such as </w:t>
      </w:r>
      <w:r w:rsidR="0AEB588C" w:rsidRPr="0036474B">
        <w:rPr>
          <w:rFonts w:ascii="Times New Roman" w:hAnsi="Times New Roman" w:cs="Times New Roman"/>
          <w:noProof/>
          <w:sz w:val="24"/>
          <w:szCs w:val="24"/>
          <w:lang w:val="en-GB"/>
        </w:rPr>
        <w:t>own equity or</w:t>
      </w:r>
      <w:r w:rsidR="08B438BD" w:rsidRPr="0036474B">
        <w:rPr>
          <w:rFonts w:ascii="Times New Roman" w:hAnsi="Times New Roman" w:cs="Times New Roman"/>
          <w:noProof/>
          <w:sz w:val="24"/>
          <w:szCs w:val="24"/>
          <w:lang w:val="en-GB"/>
        </w:rPr>
        <w:t xml:space="preserve"> </w:t>
      </w:r>
      <w:r w:rsidR="007C60D7">
        <w:rPr>
          <w:rFonts w:ascii="Times New Roman" w:hAnsi="Times New Roman" w:cs="Times New Roman"/>
          <w:noProof/>
          <w:sz w:val="24"/>
          <w:szCs w:val="24"/>
          <w:lang w:val="en-GB"/>
        </w:rPr>
        <w:t xml:space="preserve">other sources </w:t>
      </w:r>
      <w:r w:rsidR="62563B58" w:rsidRPr="0036474B">
        <w:rPr>
          <w:rFonts w:ascii="Times New Roman" w:hAnsi="Times New Roman" w:cs="Times New Roman"/>
          <w:noProof/>
          <w:sz w:val="24"/>
          <w:szCs w:val="24"/>
          <w:lang w:val="en-GB"/>
        </w:rPr>
        <w:t xml:space="preserve">which </w:t>
      </w:r>
      <w:r w:rsidR="43E79CD1" w:rsidRPr="0036474B">
        <w:rPr>
          <w:rFonts w:ascii="Times New Roman" w:hAnsi="Times New Roman" w:cs="Times New Roman"/>
          <w:noProof/>
          <w:sz w:val="24"/>
          <w:szCs w:val="24"/>
          <w:lang w:val="en-GB"/>
        </w:rPr>
        <w:t>are better</w:t>
      </w:r>
      <w:r w:rsidR="1A92FE1C" w:rsidRPr="0036474B">
        <w:rPr>
          <w:rFonts w:ascii="Times New Roman" w:hAnsi="Times New Roman" w:cs="Times New Roman"/>
          <w:noProof/>
          <w:sz w:val="24"/>
          <w:szCs w:val="24"/>
          <w:lang w:val="en-GB"/>
        </w:rPr>
        <w:t xml:space="preserve"> suited to fund</w:t>
      </w:r>
      <w:r w:rsidR="2FB95BA8" w:rsidRPr="0036474B">
        <w:rPr>
          <w:rFonts w:ascii="Times New Roman" w:hAnsi="Times New Roman" w:cs="Times New Roman"/>
          <w:noProof/>
          <w:sz w:val="24"/>
          <w:szCs w:val="24"/>
          <w:lang w:val="en-GB"/>
        </w:rPr>
        <w:t>ing</w:t>
      </w:r>
      <w:r w:rsidR="1A92FE1C" w:rsidRPr="0036474B">
        <w:rPr>
          <w:rFonts w:ascii="Times New Roman" w:hAnsi="Times New Roman" w:cs="Times New Roman"/>
          <w:noProof/>
          <w:sz w:val="24"/>
          <w:szCs w:val="24"/>
          <w:lang w:val="en-GB"/>
        </w:rPr>
        <w:t xml:space="preserve"> </w:t>
      </w:r>
      <w:r w:rsidR="2FB95BA8" w:rsidRPr="0036474B">
        <w:rPr>
          <w:rFonts w:ascii="Times New Roman" w:hAnsi="Times New Roman" w:cs="Times New Roman"/>
          <w:noProof/>
          <w:sz w:val="24"/>
          <w:szCs w:val="24"/>
          <w:lang w:val="en-GB"/>
        </w:rPr>
        <w:t>higher-risk</w:t>
      </w:r>
      <w:r w:rsidR="1A92FE1C" w:rsidRPr="0036474B">
        <w:rPr>
          <w:rFonts w:ascii="Times New Roman" w:hAnsi="Times New Roman" w:cs="Times New Roman"/>
          <w:noProof/>
          <w:sz w:val="24"/>
          <w:szCs w:val="24"/>
          <w:lang w:val="en-GB"/>
        </w:rPr>
        <w:t xml:space="preserve"> projects that fall outside banks’ risk appetite</w:t>
      </w:r>
      <w:r w:rsidR="007C60D7">
        <w:rPr>
          <w:rFonts w:ascii="Times New Roman" w:hAnsi="Times New Roman" w:cs="Times New Roman"/>
          <w:noProof/>
          <w:sz w:val="24"/>
          <w:szCs w:val="24"/>
          <w:lang w:val="en-GB"/>
        </w:rPr>
        <w:t>)</w:t>
      </w:r>
      <w:r w:rsidR="226BC5D7" w:rsidRPr="0036474B">
        <w:rPr>
          <w:rFonts w:ascii="Times New Roman" w:hAnsi="Times New Roman" w:cs="Times New Roman"/>
          <w:noProof/>
          <w:sz w:val="24"/>
          <w:szCs w:val="24"/>
          <w:lang w:val="en-GB"/>
        </w:rPr>
        <w:t>.</w:t>
      </w:r>
      <w:r w:rsidR="3D632081" w:rsidRPr="0036474B">
        <w:rPr>
          <w:rFonts w:ascii="Times New Roman" w:hAnsi="Times New Roman" w:cs="Times New Roman"/>
          <w:noProof/>
          <w:sz w:val="24"/>
          <w:szCs w:val="24"/>
          <w:lang w:val="en-GB"/>
        </w:rPr>
        <w:t xml:space="preserve"> </w:t>
      </w:r>
    </w:p>
    <w:p w14:paraId="047F7B85" w14:textId="3C31A404" w:rsidR="00294B69" w:rsidRPr="0036474B" w:rsidRDefault="6A1506F9" w:rsidP="003F317D">
      <w:pPr>
        <w:jc w:val="both"/>
        <w:rPr>
          <w:rFonts w:ascii="Times New Roman" w:hAnsi="Times New Roman" w:cs="Times New Roman"/>
          <w:noProof/>
          <w:sz w:val="24"/>
          <w:szCs w:val="24"/>
          <w:lang w:val="en-GB"/>
        </w:rPr>
      </w:pPr>
      <w:r w:rsidRPr="0036474B">
        <w:rPr>
          <w:rFonts w:ascii="Times New Roman" w:hAnsi="Times New Roman" w:cs="Times New Roman"/>
          <w:b/>
          <w:bCs/>
          <w:noProof/>
          <w:sz w:val="24"/>
          <w:szCs w:val="24"/>
          <w:lang w:val="en-GB"/>
        </w:rPr>
        <w:t xml:space="preserve">Corporates’ reliance on bank lending </w:t>
      </w:r>
      <w:r w:rsidR="197B3522" w:rsidRPr="0036474B">
        <w:rPr>
          <w:rFonts w:ascii="Times New Roman" w:hAnsi="Times New Roman" w:cs="Times New Roman"/>
          <w:b/>
          <w:bCs/>
          <w:noProof/>
          <w:sz w:val="24"/>
          <w:szCs w:val="24"/>
          <w:lang w:val="en-GB"/>
        </w:rPr>
        <w:t xml:space="preserve">differs </w:t>
      </w:r>
      <w:r w:rsidR="388B0960" w:rsidRPr="0036474B">
        <w:rPr>
          <w:rFonts w:ascii="Times New Roman" w:hAnsi="Times New Roman" w:cs="Times New Roman"/>
          <w:b/>
          <w:bCs/>
          <w:noProof/>
          <w:sz w:val="24"/>
          <w:szCs w:val="24"/>
          <w:lang w:val="en-GB"/>
        </w:rPr>
        <w:t xml:space="preserve">markedly </w:t>
      </w:r>
      <w:r w:rsidR="197B3522" w:rsidRPr="0036474B">
        <w:rPr>
          <w:rFonts w:ascii="Times New Roman" w:hAnsi="Times New Roman" w:cs="Times New Roman"/>
          <w:b/>
          <w:bCs/>
          <w:noProof/>
          <w:sz w:val="24"/>
          <w:szCs w:val="24"/>
          <w:lang w:val="en-GB"/>
        </w:rPr>
        <w:t>across sectors</w:t>
      </w:r>
      <w:r w:rsidR="197B3522" w:rsidRPr="0036474B">
        <w:rPr>
          <w:rFonts w:ascii="Times New Roman" w:hAnsi="Times New Roman" w:cs="Times New Roman"/>
          <w:noProof/>
          <w:sz w:val="24"/>
          <w:szCs w:val="24"/>
          <w:lang w:val="en-GB"/>
        </w:rPr>
        <w:t xml:space="preserve">. </w:t>
      </w:r>
      <w:r w:rsidR="115C7ECC" w:rsidRPr="0036474B">
        <w:rPr>
          <w:rFonts w:ascii="Times New Roman" w:hAnsi="Times New Roman" w:cs="Times New Roman"/>
          <w:noProof/>
          <w:sz w:val="24"/>
          <w:szCs w:val="24"/>
          <w:lang w:val="en-GB"/>
        </w:rPr>
        <w:t xml:space="preserve">Banks remain </w:t>
      </w:r>
      <w:r w:rsidR="21452797" w:rsidRPr="0036474B">
        <w:rPr>
          <w:rFonts w:ascii="Times New Roman" w:hAnsi="Times New Roman" w:cs="Times New Roman"/>
          <w:noProof/>
          <w:sz w:val="24"/>
          <w:szCs w:val="24"/>
          <w:lang w:val="en-GB"/>
        </w:rPr>
        <w:t>the</w:t>
      </w:r>
      <w:r w:rsidR="115C7ECC" w:rsidRPr="0036474B">
        <w:rPr>
          <w:rFonts w:ascii="Times New Roman" w:hAnsi="Times New Roman" w:cs="Times New Roman"/>
          <w:noProof/>
          <w:sz w:val="24"/>
          <w:szCs w:val="24"/>
          <w:lang w:val="en-GB"/>
        </w:rPr>
        <w:t xml:space="preserve"> dominant source of external financing for </w:t>
      </w:r>
      <w:r w:rsidR="54EEA99A" w:rsidRPr="0036474B">
        <w:rPr>
          <w:rFonts w:ascii="Times New Roman" w:hAnsi="Times New Roman" w:cs="Times New Roman"/>
          <w:noProof/>
          <w:sz w:val="24"/>
          <w:szCs w:val="24"/>
          <w:lang w:val="en-GB"/>
        </w:rPr>
        <w:t>asset</w:t>
      </w:r>
      <w:r w:rsidR="31B34FC8" w:rsidRPr="0036474B">
        <w:rPr>
          <w:rFonts w:ascii="Times New Roman" w:hAnsi="Times New Roman" w:cs="Times New Roman"/>
          <w:noProof/>
          <w:sz w:val="24"/>
          <w:szCs w:val="24"/>
          <w:lang w:val="en-GB"/>
        </w:rPr>
        <w:t xml:space="preserve">-heavy </w:t>
      </w:r>
      <w:r w:rsidR="21452797" w:rsidRPr="0036474B">
        <w:rPr>
          <w:rFonts w:ascii="Times New Roman" w:hAnsi="Times New Roman" w:cs="Times New Roman"/>
          <w:noProof/>
          <w:sz w:val="24"/>
          <w:szCs w:val="24"/>
          <w:lang w:val="en-GB"/>
        </w:rPr>
        <w:t>industries,</w:t>
      </w:r>
      <w:r w:rsidR="31B34FC8" w:rsidRPr="0036474B">
        <w:rPr>
          <w:rFonts w:ascii="Times New Roman" w:hAnsi="Times New Roman" w:cs="Times New Roman"/>
          <w:noProof/>
          <w:sz w:val="24"/>
          <w:szCs w:val="24"/>
          <w:lang w:val="en-GB"/>
        </w:rPr>
        <w:t xml:space="preserve"> such as real</w:t>
      </w:r>
      <w:r w:rsidR="6D602ECA" w:rsidRPr="0036474B">
        <w:rPr>
          <w:rFonts w:ascii="Times New Roman" w:hAnsi="Times New Roman" w:cs="Times New Roman"/>
          <w:noProof/>
          <w:sz w:val="24"/>
          <w:szCs w:val="24"/>
          <w:lang w:val="en-GB"/>
        </w:rPr>
        <w:t xml:space="preserve"> </w:t>
      </w:r>
      <w:r w:rsidR="31B34FC8" w:rsidRPr="0036474B">
        <w:rPr>
          <w:rFonts w:ascii="Times New Roman" w:hAnsi="Times New Roman" w:cs="Times New Roman"/>
          <w:noProof/>
          <w:sz w:val="24"/>
          <w:szCs w:val="24"/>
          <w:lang w:val="en-GB"/>
        </w:rPr>
        <w:t>estate</w:t>
      </w:r>
      <w:r w:rsidR="35FF9C5C" w:rsidRPr="0036474B">
        <w:rPr>
          <w:rFonts w:ascii="Times New Roman" w:hAnsi="Times New Roman" w:cs="Times New Roman"/>
          <w:noProof/>
          <w:sz w:val="24"/>
          <w:szCs w:val="24"/>
          <w:lang w:val="en-GB"/>
        </w:rPr>
        <w:t xml:space="preserve">, </w:t>
      </w:r>
      <w:r w:rsidR="62C65476" w:rsidRPr="0036474B">
        <w:rPr>
          <w:rFonts w:ascii="Times New Roman" w:hAnsi="Times New Roman" w:cs="Times New Roman"/>
          <w:noProof/>
          <w:sz w:val="24"/>
          <w:szCs w:val="24"/>
          <w:lang w:val="en-GB"/>
        </w:rPr>
        <w:t>construction</w:t>
      </w:r>
      <w:r w:rsidR="59A21938" w:rsidRPr="0036474B">
        <w:rPr>
          <w:rFonts w:ascii="Times New Roman" w:hAnsi="Times New Roman" w:cs="Times New Roman"/>
          <w:noProof/>
          <w:sz w:val="24"/>
          <w:szCs w:val="24"/>
          <w:lang w:val="en-GB"/>
        </w:rPr>
        <w:t>, and wholesale trade</w:t>
      </w:r>
      <w:r w:rsidR="18951B50" w:rsidRPr="0036474B">
        <w:rPr>
          <w:rFonts w:ascii="Times New Roman" w:hAnsi="Times New Roman" w:cs="Times New Roman"/>
          <w:noProof/>
          <w:sz w:val="24"/>
          <w:szCs w:val="24"/>
          <w:lang w:val="en-GB"/>
        </w:rPr>
        <w:t xml:space="preserve">, where tangible collateral </w:t>
      </w:r>
      <w:r w:rsidR="402D7B83" w:rsidRPr="0036474B">
        <w:rPr>
          <w:rFonts w:ascii="Times New Roman" w:hAnsi="Times New Roman" w:cs="Times New Roman"/>
          <w:noProof/>
          <w:sz w:val="24"/>
          <w:szCs w:val="24"/>
          <w:lang w:val="en-GB"/>
        </w:rPr>
        <w:t xml:space="preserve">and </w:t>
      </w:r>
      <w:r w:rsidR="15CD2634" w:rsidRPr="0036474B">
        <w:rPr>
          <w:rFonts w:ascii="Times New Roman" w:hAnsi="Times New Roman" w:cs="Times New Roman"/>
          <w:noProof/>
          <w:sz w:val="24"/>
          <w:szCs w:val="24"/>
          <w:lang w:val="en-GB"/>
        </w:rPr>
        <w:t>established</w:t>
      </w:r>
      <w:r w:rsidR="402D7B83" w:rsidRPr="0036474B">
        <w:rPr>
          <w:rFonts w:ascii="Times New Roman" w:hAnsi="Times New Roman" w:cs="Times New Roman"/>
          <w:noProof/>
          <w:sz w:val="24"/>
          <w:szCs w:val="24"/>
          <w:lang w:val="en-GB"/>
        </w:rPr>
        <w:t xml:space="preserve"> credit histories </w:t>
      </w:r>
      <w:r w:rsidR="15CD2634" w:rsidRPr="0036474B">
        <w:rPr>
          <w:rFonts w:ascii="Times New Roman" w:hAnsi="Times New Roman" w:cs="Times New Roman"/>
          <w:noProof/>
          <w:sz w:val="24"/>
          <w:szCs w:val="24"/>
          <w:lang w:val="en-GB"/>
        </w:rPr>
        <w:t>facilitate</w:t>
      </w:r>
      <w:r w:rsidR="18951B50" w:rsidRPr="0036474B">
        <w:rPr>
          <w:rFonts w:ascii="Times New Roman" w:hAnsi="Times New Roman" w:cs="Times New Roman"/>
          <w:noProof/>
          <w:sz w:val="24"/>
          <w:szCs w:val="24"/>
          <w:lang w:val="en-GB"/>
        </w:rPr>
        <w:t xml:space="preserve"> credit assessment</w:t>
      </w:r>
      <w:r w:rsidR="460848A7" w:rsidRPr="0036474B">
        <w:rPr>
          <w:rFonts w:ascii="Times New Roman" w:hAnsi="Times New Roman" w:cs="Times New Roman"/>
          <w:noProof/>
          <w:sz w:val="24"/>
          <w:szCs w:val="24"/>
          <w:lang w:val="en-GB"/>
        </w:rPr>
        <w:t xml:space="preserve">. </w:t>
      </w:r>
      <w:r w:rsidR="788429A1" w:rsidRPr="0036474B">
        <w:rPr>
          <w:rFonts w:ascii="Times New Roman" w:hAnsi="Times New Roman" w:cs="Times New Roman"/>
          <w:noProof/>
          <w:sz w:val="24"/>
          <w:szCs w:val="24"/>
          <w:lang w:val="en-GB"/>
        </w:rPr>
        <w:t xml:space="preserve">Commercial real estate lending </w:t>
      </w:r>
      <w:r w:rsidR="1F0F7F29" w:rsidRPr="0036474B">
        <w:rPr>
          <w:rFonts w:ascii="Times New Roman" w:hAnsi="Times New Roman" w:cs="Times New Roman"/>
          <w:noProof/>
          <w:sz w:val="24"/>
          <w:szCs w:val="24"/>
          <w:lang w:val="en-GB"/>
        </w:rPr>
        <w:t xml:space="preserve">historically shows the </w:t>
      </w:r>
      <w:r w:rsidR="4D061CD3" w:rsidRPr="0036474B">
        <w:rPr>
          <w:rFonts w:ascii="Times New Roman" w:hAnsi="Times New Roman" w:cs="Times New Roman"/>
          <w:noProof/>
          <w:sz w:val="24"/>
          <w:szCs w:val="24"/>
          <w:lang w:val="en-GB"/>
        </w:rPr>
        <w:t>highest bank credit penetration (approx. 25% of total assets of the sector)</w:t>
      </w:r>
      <w:r w:rsidR="7FB4B356" w:rsidRPr="0036474B">
        <w:rPr>
          <w:rFonts w:ascii="Times New Roman" w:hAnsi="Times New Roman" w:cs="Times New Roman"/>
          <w:noProof/>
          <w:sz w:val="24"/>
          <w:szCs w:val="24"/>
          <w:lang w:val="en-GB"/>
        </w:rPr>
        <w:t xml:space="preserve">, </w:t>
      </w:r>
      <w:r w:rsidR="10075224" w:rsidRPr="0036474B">
        <w:rPr>
          <w:rFonts w:ascii="Times New Roman" w:hAnsi="Times New Roman" w:cs="Times New Roman"/>
          <w:noProof/>
          <w:sz w:val="24"/>
          <w:szCs w:val="24"/>
          <w:lang w:val="en-GB"/>
        </w:rPr>
        <w:t xml:space="preserve">reflecting </w:t>
      </w:r>
      <w:r w:rsidR="4A10C6D1" w:rsidRPr="0036474B">
        <w:rPr>
          <w:rFonts w:ascii="Times New Roman" w:hAnsi="Times New Roman" w:cs="Times New Roman"/>
          <w:noProof/>
          <w:sz w:val="24"/>
          <w:szCs w:val="24"/>
          <w:lang w:val="en-GB"/>
        </w:rPr>
        <w:t xml:space="preserve">the importance of bank debt </w:t>
      </w:r>
      <w:r w:rsidR="3605FF6F" w:rsidRPr="0036474B">
        <w:rPr>
          <w:rFonts w:ascii="Times New Roman" w:hAnsi="Times New Roman" w:cs="Times New Roman"/>
          <w:noProof/>
          <w:sz w:val="24"/>
          <w:szCs w:val="24"/>
          <w:lang w:val="en-GB"/>
        </w:rPr>
        <w:t>for this sector</w:t>
      </w:r>
      <w:r w:rsidR="605CCAB5" w:rsidRPr="0036474B">
        <w:rPr>
          <w:rFonts w:ascii="Times New Roman" w:hAnsi="Times New Roman" w:cs="Times New Roman"/>
          <w:noProof/>
          <w:sz w:val="24"/>
          <w:szCs w:val="24"/>
          <w:lang w:val="en-GB"/>
        </w:rPr>
        <w:t xml:space="preserve"> made possible </w:t>
      </w:r>
      <w:r w:rsidR="04C29121" w:rsidRPr="0036474B">
        <w:rPr>
          <w:rFonts w:ascii="Times New Roman" w:hAnsi="Times New Roman" w:cs="Times New Roman"/>
          <w:noProof/>
          <w:sz w:val="24"/>
          <w:szCs w:val="24"/>
          <w:lang w:val="en-GB"/>
        </w:rPr>
        <w:t xml:space="preserve">by </w:t>
      </w:r>
      <w:r w:rsidR="2FB2FDE9" w:rsidRPr="0036474B">
        <w:rPr>
          <w:rFonts w:ascii="Times New Roman" w:hAnsi="Times New Roman" w:cs="Times New Roman"/>
          <w:noProof/>
          <w:sz w:val="24"/>
          <w:szCs w:val="24"/>
          <w:lang w:val="en-GB"/>
        </w:rPr>
        <w:t xml:space="preserve">a tangible and relatively liquid pool of collateral. </w:t>
      </w:r>
      <w:r w:rsidR="4D205248" w:rsidRPr="0036474B">
        <w:rPr>
          <w:rFonts w:ascii="Times New Roman" w:hAnsi="Times New Roman" w:cs="Times New Roman"/>
          <w:noProof/>
          <w:sz w:val="24"/>
          <w:szCs w:val="24"/>
          <w:lang w:val="en-GB"/>
        </w:rPr>
        <w:t>Conversely</w:t>
      </w:r>
      <w:r w:rsidR="7306A5E2" w:rsidRPr="0036474B">
        <w:rPr>
          <w:rFonts w:ascii="Times New Roman" w:hAnsi="Times New Roman" w:cs="Times New Roman"/>
          <w:noProof/>
          <w:sz w:val="24"/>
          <w:szCs w:val="24"/>
          <w:lang w:val="en-GB"/>
        </w:rPr>
        <w:t xml:space="preserve">, </w:t>
      </w:r>
      <w:r w:rsidR="21D631DA" w:rsidRPr="0036474B">
        <w:rPr>
          <w:rFonts w:ascii="Times New Roman" w:hAnsi="Times New Roman" w:cs="Times New Roman"/>
          <w:noProof/>
          <w:sz w:val="24"/>
          <w:szCs w:val="24"/>
          <w:lang w:val="en-GB"/>
        </w:rPr>
        <w:t xml:space="preserve">sectors with higher productivity potential, such as manufacturing, </w:t>
      </w:r>
      <w:r w:rsidR="5D2D116A" w:rsidRPr="0036474B">
        <w:rPr>
          <w:rFonts w:ascii="Times New Roman" w:hAnsi="Times New Roman" w:cs="Times New Roman"/>
          <w:noProof/>
          <w:sz w:val="24"/>
          <w:szCs w:val="24"/>
          <w:lang w:val="en-GB"/>
        </w:rPr>
        <w:t xml:space="preserve">ICT and </w:t>
      </w:r>
      <w:r w:rsidR="6DBEAA13" w:rsidRPr="0036474B">
        <w:rPr>
          <w:rFonts w:ascii="Times New Roman" w:hAnsi="Times New Roman" w:cs="Times New Roman"/>
          <w:noProof/>
          <w:sz w:val="24"/>
          <w:szCs w:val="24"/>
          <w:lang w:val="en-GB"/>
        </w:rPr>
        <w:t>productivity-enhancing</w:t>
      </w:r>
      <w:r w:rsidR="5D2D116A" w:rsidRPr="0036474B">
        <w:rPr>
          <w:rFonts w:ascii="Times New Roman" w:hAnsi="Times New Roman" w:cs="Times New Roman"/>
          <w:noProof/>
          <w:sz w:val="24"/>
          <w:szCs w:val="24"/>
          <w:lang w:val="en-GB"/>
        </w:rPr>
        <w:t xml:space="preserve"> technolog</w:t>
      </w:r>
      <w:r w:rsidR="736CB393" w:rsidRPr="0036474B">
        <w:rPr>
          <w:rFonts w:ascii="Times New Roman" w:hAnsi="Times New Roman" w:cs="Times New Roman"/>
          <w:noProof/>
          <w:sz w:val="24"/>
          <w:szCs w:val="24"/>
          <w:lang w:val="en-GB"/>
        </w:rPr>
        <w:t>y firms</w:t>
      </w:r>
      <w:r w:rsidR="6B32E478" w:rsidRPr="0036474B">
        <w:rPr>
          <w:rFonts w:ascii="Times New Roman" w:hAnsi="Times New Roman" w:cs="Times New Roman"/>
          <w:noProof/>
          <w:sz w:val="24"/>
          <w:szCs w:val="24"/>
          <w:lang w:val="en-GB"/>
        </w:rPr>
        <w:t xml:space="preserve"> </w:t>
      </w:r>
      <w:r w:rsidR="15CD2634" w:rsidRPr="0036474B">
        <w:rPr>
          <w:rFonts w:ascii="Times New Roman" w:hAnsi="Times New Roman" w:cs="Times New Roman"/>
          <w:noProof/>
          <w:sz w:val="24"/>
          <w:szCs w:val="24"/>
          <w:lang w:val="en-GB"/>
        </w:rPr>
        <w:t>fund</w:t>
      </w:r>
      <w:r w:rsidR="6B32E478" w:rsidRPr="0036474B">
        <w:rPr>
          <w:rFonts w:ascii="Times New Roman" w:hAnsi="Times New Roman" w:cs="Times New Roman"/>
          <w:noProof/>
          <w:sz w:val="24"/>
          <w:szCs w:val="24"/>
          <w:lang w:val="en-GB"/>
        </w:rPr>
        <w:t xml:space="preserve"> only a </w:t>
      </w:r>
      <w:r w:rsidR="15CD2634" w:rsidRPr="0036474B">
        <w:rPr>
          <w:rFonts w:ascii="Times New Roman" w:hAnsi="Times New Roman" w:cs="Times New Roman"/>
          <w:noProof/>
          <w:sz w:val="24"/>
          <w:szCs w:val="24"/>
          <w:lang w:val="en-GB"/>
        </w:rPr>
        <w:t>small fraction</w:t>
      </w:r>
      <w:r w:rsidR="60B66F41" w:rsidRPr="0036474B">
        <w:rPr>
          <w:rFonts w:ascii="Times New Roman" w:hAnsi="Times New Roman" w:cs="Times New Roman"/>
          <w:noProof/>
          <w:sz w:val="24"/>
          <w:szCs w:val="24"/>
          <w:lang w:val="en-GB"/>
        </w:rPr>
        <w:t xml:space="preserve"> of their assets through bank lending</w:t>
      </w:r>
      <w:r w:rsidR="00BA7F8E" w:rsidRPr="0036474B">
        <w:rPr>
          <w:rFonts w:ascii="Times New Roman" w:hAnsi="Times New Roman" w:cs="Times New Roman"/>
          <w:noProof/>
          <w:sz w:val="24"/>
          <w:szCs w:val="24"/>
          <w:lang w:val="en-GB"/>
        </w:rPr>
        <w:t xml:space="preserve"> (circa 4%)</w:t>
      </w:r>
      <w:r w:rsidR="3D4A2953" w:rsidRPr="0036474B">
        <w:rPr>
          <w:rFonts w:ascii="Times New Roman" w:hAnsi="Times New Roman" w:cs="Times New Roman"/>
          <w:noProof/>
          <w:sz w:val="24"/>
          <w:szCs w:val="24"/>
          <w:lang w:val="en-GB"/>
        </w:rPr>
        <w:t xml:space="preserve">, </w:t>
      </w:r>
      <w:r w:rsidR="3D89254C" w:rsidRPr="0036474B">
        <w:rPr>
          <w:rFonts w:ascii="Times New Roman" w:hAnsi="Times New Roman" w:cs="Times New Roman"/>
          <w:noProof/>
          <w:sz w:val="24"/>
          <w:szCs w:val="24"/>
          <w:lang w:val="en-GB"/>
        </w:rPr>
        <w:t>relying</w:t>
      </w:r>
      <w:r w:rsidR="0D9AA95B" w:rsidRPr="0036474B">
        <w:rPr>
          <w:rFonts w:ascii="Times New Roman" w:hAnsi="Times New Roman" w:cs="Times New Roman"/>
          <w:noProof/>
          <w:sz w:val="24"/>
          <w:szCs w:val="24"/>
          <w:lang w:val="en-GB"/>
        </w:rPr>
        <w:t xml:space="preserve"> instead on a </w:t>
      </w:r>
      <w:r w:rsidR="316F3AAD" w:rsidRPr="0036474B">
        <w:rPr>
          <w:rFonts w:ascii="Times New Roman" w:hAnsi="Times New Roman" w:cs="Times New Roman"/>
          <w:noProof/>
          <w:sz w:val="24"/>
          <w:szCs w:val="24"/>
          <w:lang w:val="en-GB"/>
        </w:rPr>
        <w:t xml:space="preserve">more diversified </w:t>
      </w:r>
      <w:r w:rsidR="4A5AC731" w:rsidRPr="0036474B">
        <w:rPr>
          <w:rFonts w:ascii="Times New Roman" w:hAnsi="Times New Roman" w:cs="Times New Roman"/>
          <w:noProof/>
          <w:sz w:val="24"/>
          <w:szCs w:val="24"/>
          <w:lang w:val="en-GB"/>
        </w:rPr>
        <w:t xml:space="preserve">financing </w:t>
      </w:r>
      <w:r w:rsidR="5A882BB6" w:rsidRPr="0036474B">
        <w:rPr>
          <w:rFonts w:ascii="Times New Roman" w:hAnsi="Times New Roman" w:cs="Times New Roman"/>
          <w:noProof/>
          <w:sz w:val="24"/>
          <w:szCs w:val="24"/>
          <w:lang w:val="en-GB"/>
        </w:rPr>
        <w:t>mix</w:t>
      </w:r>
      <w:r w:rsidR="052B0AB7" w:rsidRPr="0036474B">
        <w:rPr>
          <w:rFonts w:ascii="Times New Roman" w:hAnsi="Times New Roman" w:cs="Times New Roman"/>
          <w:noProof/>
          <w:sz w:val="24"/>
          <w:szCs w:val="24"/>
          <w:lang w:val="en-GB"/>
        </w:rPr>
        <w:t xml:space="preserve">. </w:t>
      </w:r>
      <w:r w:rsidR="45C50DDF" w:rsidRPr="0036474B">
        <w:rPr>
          <w:rFonts w:ascii="Times New Roman" w:hAnsi="Times New Roman" w:cs="Times New Roman"/>
          <w:noProof/>
          <w:sz w:val="24"/>
          <w:szCs w:val="24"/>
          <w:lang w:val="en-GB"/>
        </w:rPr>
        <w:t>For the latter</w:t>
      </w:r>
      <w:r w:rsidR="00953BB4">
        <w:rPr>
          <w:rFonts w:ascii="Times New Roman" w:hAnsi="Times New Roman" w:cs="Times New Roman"/>
          <w:noProof/>
          <w:sz w:val="24"/>
          <w:szCs w:val="24"/>
          <w:lang w:val="en-GB"/>
        </w:rPr>
        <w:t xml:space="preserve"> group of sectors</w:t>
      </w:r>
      <w:r w:rsidR="45C50DDF" w:rsidRPr="0036474B">
        <w:rPr>
          <w:rFonts w:ascii="Times New Roman" w:hAnsi="Times New Roman" w:cs="Times New Roman"/>
          <w:noProof/>
          <w:sz w:val="24"/>
          <w:szCs w:val="24"/>
          <w:lang w:val="en-GB"/>
        </w:rPr>
        <w:t xml:space="preserve">, </w:t>
      </w:r>
      <w:r w:rsidR="0FB39B53" w:rsidRPr="0036474B">
        <w:rPr>
          <w:rFonts w:ascii="Times New Roman" w:hAnsi="Times New Roman" w:cs="Times New Roman"/>
          <w:noProof/>
          <w:sz w:val="24"/>
          <w:szCs w:val="24"/>
          <w:lang w:val="en-GB"/>
        </w:rPr>
        <w:t xml:space="preserve">the lack of tangible collateral, coupled with the opacity of early-stage cash-flows often push financing needs beyond </w:t>
      </w:r>
      <w:r w:rsidR="3DE5B19A" w:rsidRPr="0036474B">
        <w:rPr>
          <w:rFonts w:ascii="Times New Roman" w:hAnsi="Times New Roman" w:cs="Times New Roman"/>
          <w:noProof/>
          <w:sz w:val="24"/>
          <w:szCs w:val="24"/>
          <w:lang w:val="en-GB"/>
        </w:rPr>
        <w:t>banks</w:t>
      </w:r>
      <w:r w:rsidR="10522DC7" w:rsidRPr="0036474B">
        <w:rPr>
          <w:rFonts w:ascii="Times New Roman" w:hAnsi="Times New Roman" w:cs="Times New Roman"/>
          <w:noProof/>
          <w:sz w:val="24"/>
          <w:szCs w:val="24"/>
          <w:lang w:val="en-GB"/>
        </w:rPr>
        <w:t>’</w:t>
      </w:r>
      <w:r w:rsidR="0FB39B53" w:rsidRPr="0036474B">
        <w:rPr>
          <w:rFonts w:ascii="Times New Roman" w:hAnsi="Times New Roman" w:cs="Times New Roman"/>
          <w:noProof/>
          <w:sz w:val="24"/>
          <w:szCs w:val="24"/>
          <w:lang w:val="en-GB"/>
        </w:rPr>
        <w:t xml:space="preserve"> risk appetite.</w:t>
      </w:r>
      <w:r w:rsidR="052B0AB7" w:rsidRPr="0036474B">
        <w:rPr>
          <w:rFonts w:ascii="Times New Roman" w:hAnsi="Times New Roman" w:cs="Times New Roman"/>
          <w:noProof/>
          <w:sz w:val="24"/>
          <w:szCs w:val="24"/>
          <w:lang w:val="en-GB"/>
        </w:rPr>
        <w:t xml:space="preserve"> </w:t>
      </w:r>
      <w:r w:rsidR="2134BF2B" w:rsidRPr="0036474B">
        <w:rPr>
          <w:rFonts w:ascii="Times New Roman" w:hAnsi="Times New Roman" w:cs="Times New Roman"/>
          <w:noProof/>
          <w:sz w:val="24"/>
          <w:szCs w:val="24"/>
          <w:lang w:val="en-GB"/>
        </w:rPr>
        <w:t>T</w:t>
      </w:r>
      <w:r w:rsidR="43BBC5FA" w:rsidRPr="0036474B">
        <w:rPr>
          <w:rFonts w:ascii="Times New Roman" w:hAnsi="Times New Roman" w:cs="Times New Roman"/>
          <w:noProof/>
          <w:sz w:val="24"/>
          <w:szCs w:val="24"/>
          <w:lang w:val="en-GB"/>
        </w:rPr>
        <w:t xml:space="preserve">his </w:t>
      </w:r>
      <w:r w:rsidR="388B0960" w:rsidRPr="0036474B">
        <w:rPr>
          <w:rFonts w:ascii="Times New Roman" w:hAnsi="Times New Roman" w:cs="Times New Roman"/>
          <w:noProof/>
          <w:sz w:val="24"/>
          <w:szCs w:val="24"/>
          <w:lang w:val="en-GB"/>
        </w:rPr>
        <w:t>aligns with</w:t>
      </w:r>
      <w:r w:rsidR="32CC77BC" w:rsidRPr="0036474B">
        <w:rPr>
          <w:rFonts w:ascii="Times New Roman" w:hAnsi="Times New Roman" w:cs="Times New Roman"/>
          <w:noProof/>
          <w:sz w:val="24"/>
          <w:szCs w:val="24"/>
          <w:lang w:val="en-GB"/>
        </w:rPr>
        <w:t xml:space="preserve"> the conclusions of </w:t>
      </w:r>
      <w:r w:rsidR="388B0960" w:rsidRPr="0036474B">
        <w:rPr>
          <w:rFonts w:ascii="Times New Roman" w:hAnsi="Times New Roman" w:cs="Times New Roman"/>
          <w:noProof/>
          <w:sz w:val="24"/>
          <w:szCs w:val="24"/>
          <w:lang w:val="en-GB"/>
        </w:rPr>
        <w:t>the</w:t>
      </w:r>
      <w:r w:rsidR="32CC77BC" w:rsidRPr="0036474B">
        <w:rPr>
          <w:rFonts w:ascii="Times New Roman" w:hAnsi="Times New Roman" w:cs="Times New Roman"/>
          <w:noProof/>
          <w:sz w:val="24"/>
          <w:szCs w:val="24"/>
          <w:lang w:val="en-GB"/>
        </w:rPr>
        <w:t xml:space="preserve"> </w:t>
      </w:r>
      <w:r w:rsidR="3AF6B9A6" w:rsidRPr="0036474B">
        <w:rPr>
          <w:rFonts w:ascii="Times New Roman" w:hAnsi="Times New Roman" w:cs="Times New Roman"/>
          <w:noProof/>
          <w:sz w:val="24"/>
          <w:szCs w:val="24"/>
          <w:lang w:val="en-GB"/>
        </w:rPr>
        <w:t>Letta</w:t>
      </w:r>
      <w:r w:rsidR="00DB0CD7" w:rsidRPr="0036474B">
        <w:rPr>
          <w:rStyle w:val="FootnoteReference"/>
          <w:rFonts w:ascii="Times New Roman" w:hAnsi="Times New Roman" w:cs="Times New Roman"/>
          <w:noProof/>
          <w:sz w:val="24"/>
          <w:szCs w:val="24"/>
          <w:lang w:val="en-GB"/>
        </w:rPr>
        <w:footnoteReference w:id="12"/>
      </w:r>
      <w:r w:rsidR="3AF6B9A6" w:rsidRPr="0036474B">
        <w:rPr>
          <w:rFonts w:ascii="Times New Roman" w:hAnsi="Times New Roman" w:cs="Times New Roman"/>
          <w:noProof/>
          <w:sz w:val="24"/>
          <w:szCs w:val="24"/>
          <w:lang w:val="en-GB"/>
        </w:rPr>
        <w:t xml:space="preserve"> </w:t>
      </w:r>
      <w:r w:rsidR="686E3AB8" w:rsidRPr="0036474B">
        <w:rPr>
          <w:rFonts w:ascii="Times New Roman" w:hAnsi="Times New Roman" w:cs="Times New Roman"/>
          <w:noProof/>
          <w:sz w:val="24"/>
          <w:szCs w:val="24"/>
          <w:lang w:val="en-GB"/>
        </w:rPr>
        <w:t>and Draghi</w:t>
      </w:r>
      <w:r w:rsidR="00467152" w:rsidRPr="0036474B">
        <w:rPr>
          <w:rStyle w:val="FootnoteReference"/>
          <w:rFonts w:ascii="Times New Roman" w:hAnsi="Times New Roman" w:cs="Times New Roman"/>
          <w:noProof/>
          <w:sz w:val="24"/>
          <w:szCs w:val="24"/>
          <w:lang w:val="en-GB"/>
        </w:rPr>
        <w:footnoteReference w:id="13"/>
      </w:r>
      <w:r w:rsidR="686E3AB8" w:rsidRPr="0036474B">
        <w:rPr>
          <w:rFonts w:ascii="Times New Roman" w:hAnsi="Times New Roman" w:cs="Times New Roman"/>
          <w:noProof/>
          <w:sz w:val="24"/>
          <w:szCs w:val="24"/>
          <w:lang w:val="en-GB"/>
        </w:rPr>
        <w:t xml:space="preserve"> </w:t>
      </w:r>
      <w:r w:rsidR="3AF6B9A6" w:rsidRPr="0036474B">
        <w:rPr>
          <w:rFonts w:ascii="Times New Roman" w:hAnsi="Times New Roman" w:cs="Times New Roman"/>
          <w:noProof/>
          <w:sz w:val="24"/>
          <w:szCs w:val="24"/>
          <w:lang w:val="en-GB"/>
        </w:rPr>
        <w:t>reports</w:t>
      </w:r>
      <w:r w:rsidR="42B4E0F4" w:rsidRPr="0036474B">
        <w:rPr>
          <w:rFonts w:ascii="Times New Roman" w:hAnsi="Times New Roman" w:cs="Times New Roman"/>
          <w:noProof/>
          <w:sz w:val="24"/>
          <w:szCs w:val="24"/>
          <w:lang w:val="en-GB"/>
        </w:rPr>
        <w:t xml:space="preserve">, </w:t>
      </w:r>
      <w:r w:rsidR="388B0960" w:rsidRPr="0036474B">
        <w:rPr>
          <w:rFonts w:ascii="Times New Roman" w:hAnsi="Times New Roman" w:cs="Times New Roman"/>
          <w:noProof/>
          <w:sz w:val="24"/>
          <w:szCs w:val="24"/>
          <w:lang w:val="en-GB"/>
        </w:rPr>
        <w:t>highlighting</w:t>
      </w:r>
      <w:r w:rsidR="2028928E" w:rsidRPr="0036474B">
        <w:rPr>
          <w:rFonts w:ascii="Times New Roman" w:hAnsi="Times New Roman" w:cs="Times New Roman"/>
          <w:noProof/>
          <w:sz w:val="24"/>
          <w:szCs w:val="24"/>
          <w:lang w:val="en-GB"/>
        </w:rPr>
        <w:t xml:space="preserve"> the limitations of </w:t>
      </w:r>
      <w:r w:rsidR="011CF801" w:rsidRPr="0036474B">
        <w:rPr>
          <w:rFonts w:ascii="Times New Roman" w:hAnsi="Times New Roman" w:cs="Times New Roman"/>
          <w:noProof/>
          <w:sz w:val="24"/>
          <w:szCs w:val="24"/>
          <w:lang w:val="en-GB"/>
        </w:rPr>
        <w:t>bank-based</w:t>
      </w:r>
      <w:r w:rsidR="2028928E" w:rsidRPr="0036474B">
        <w:rPr>
          <w:rFonts w:ascii="Times New Roman" w:hAnsi="Times New Roman" w:cs="Times New Roman"/>
          <w:noProof/>
          <w:sz w:val="24"/>
          <w:szCs w:val="24"/>
          <w:lang w:val="en-GB"/>
        </w:rPr>
        <w:t xml:space="preserve"> </w:t>
      </w:r>
      <w:r w:rsidR="388B0960" w:rsidRPr="0036474B">
        <w:rPr>
          <w:rFonts w:ascii="Times New Roman" w:hAnsi="Times New Roman" w:cs="Times New Roman"/>
          <w:noProof/>
          <w:sz w:val="24"/>
          <w:szCs w:val="24"/>
          <w:lang w:val="en-GB"/>
        </w:rPr>
        <w:t>financing</w:t>
      </w:r>
      <w:r w:rsidR="6A3C129F" w:rsidRPr="0036474B">
        <w:rPr>
          <w:rFonts w:ascii="Times New Roman" w:hAnsi="Times New Roman" w:cs="Times New Roman"/>
          <w:noProof/>
          <w:sz w:val="24"/>
          <w:szCs w:val="24"/>
          <w:lang w:val="en-GB"/>
        </w:rPr>
        <w:t xml:space="preserve"> </w:t>
      </w:r>
      <w:r w:rsidR="47FCAFC8" w:rsidRPr="0036474B">
        <w:rPr>
          <w:rFonts w:ascii="Times New Roman" w:hAnsi="Times New Roman" w:cs="Times New Roman"/>
          <w:noProof/>
          <w:sz w:val="24"/>
          <w:szCs w:val="24"/>
          <w:lang w:val="en-GB"/>
        </w:rPr>
        <w:t>for</w:t>
      </w:r>
      <w:r w:rsidR="6A3C129F" w:rsidRPr="0036474B">
        <w:rPr>
          <w:rFonts w:ascii="Times New Roman" w:hAnsi="Times New Roman" w:cs="Times New Roman"/>
          <w:noProof/>
          <w:sz w:val="24"/>
          <w:szCs w:val="24"/>
          <w:lang w:val="en-GB"/>
        </w:rPr>
        <w:t xml:space="preserve"> </w:t>
      </w:r>
      <w:r w:rsidR="7F32D0A6" w:rsidRPr="0036474B">
        <w:rPr>
          <w:rFonts w:ascii="Times New Roman" w:hAnsi="Times New Roman" w:cs="Times New Roman"/>
          <w:noProof/>
          <w:sz w:val="24"/>
          <w:szCs w:val="24"/>
          <w:lang w:val="en-GB"/>
        </w:rPr>
        <w:t>some sectors despite their high productivity and innovation potential</w:t>
      </w:r>
      <w:r w:rsidR="66A6A05E" w:rsidRPr="0036474B">
        <w:rPr>
          <w:rFonts w:ascii="Times New Roman" w:hAnsi="Times New Roman" w:cs="Times New Roman"/>
          <w:noProof/>
          <w:sz w:val="24"/>
          <w:szCs w:val="24"/>
          <w:lang w:val="en-GB"/>
        </w:rPr>
        <w:t xml:space="preserve">, requiring </w:t>
      </w:r>
      <w:r w:rsidR="628C0074" w:rsidRPr="0036474B">
        <w:rPr>
          <w:rFonts w:ascii="Times New Roman" w:hAnsi="Times New Roman" w:cs="Times New Roman"/>
          <w:noProof/>
          <w:sz w:val="24"/>
          <w:szCs w:val="24"/>
          <w:lang w:val="en-GB"/>
        </w:rPr>
        <w:t>deeper EU capital markets.</w:t>
      </w:r>
      <w:r w:rsidR="00AC2B0B">
        <w:rPr>
          <w:rFonts w:ascii="Times New Roman" w:hAnsi="Times New Roman" w:cs="Times New Roman"/>
          <w:noProof/>
          <w:sz w:val="24"/>
          <w:szCs w:val="24"/>
          <w:lang w:val="en-GB"/>
        </w:rPr>
        <w:t xml:space="preserve"> </w:t>
      </w:r>
    </w:p>
    <w:p w14:paraId="53C4514C" w14:textId="2C12B14E" w:rsidR="00E75206" w:rsidRPr="001752EA" w:rsidRDefault="1877966C" w:rsidP="77BB1F80">
      <w:pPr>
        <w:keepNext/>
        <w:rPr>
          <w:rFonts w:ascii="Times New Roman" w:eastAsia="Times New Roman" w:hAnsi="Times New Roman" w:cs="Times New Roman"/>
          <w:i/>
          <w:iCs/>
          <w:noProof/>
          <w:sz w:val="24"/>
          <w:szCs w:val="24"/>
        </w:rPr>
      </w:pPr>
      <w:r w:rsidRPr="001752EA">
        <w:rPr>
          <w:rFonts w:ascii="Times New Roman" w:eastAsia="Times New Roman" w:hAnsi="Times New Roman" w:cs="Times New Roman"/>
          <w:i/>
          <w:iCs/>
          <w:noProof/>
          <w:sz w:val="24"/>
          <w:szCs w:val="24"/>
        </w:rPr>
        <w:t xml:space="preserve">Figure </w:t>
      </w:r>
      <w:r w:rsidR="007962F7" w:rsidRPr="33C53544">
        <w:rPr>
          <w:rFonts w:ascii="Times New Roman" w:eastAsia="Times New Roman" w:hAnsi="Times New Roman" w:cs="Times New Roman"/>
          <w:i/>
          <w:noProof/>
          <w:sz w:val="24"/>
          <w:szCs w:val="24"/>
        </w:rPr>
        <w:fldChar w:fldCharType="begin"/>
      </w:r>
      <w:r w:rsidR="007962F7" w:rsidRPr="33C53544">
        <w:rPr>
          <w:rFonts w:ascii="Times New Roman" w:eastAsia="Times New Roman" w:hAnsi="Times New Roman" w:cs="Times New Roman"/>
          <w:i/>
          <w:noProof/>
          <w:sz w:val="24"/>
          <w:szCs w:val="24"/>
        </w:rPr>
        <w:instrText xml:space="preserve"> SEQ Figure \* ARABIC </w:instrText>
      </w:r>
      <w:r w:rsidR="007962F7" w:rsidRPr="33C53544">
        <w:rPr>
          <w:rFonts w:ascii="Times New Roman" w:eastAsia="Times New Roman" w:hAnsi="Times New Roman" w:cs="Times New Roman"/>
          <w:i/>
          <w:noProof/>
          <w:sz w:val="24"/>
          <w:szCs w:val="24"/>
        </w:rPr>
        <w:fldChar w:fldCharType="separate"/>
      </w:r>
      <w:r w:rsidR="00263CCB">
        <w:rPr>
          <w:rFonts w:ascii="Times New Roman" w:eastAsia="Times New Roman" w:hAnsi="Times New Roman" w:cs="Times New Roman"/>
          <w:i/>
          <w:noProof/>
          <w:sz w:val="24"/>
          <w:szCs w:val="24"/>
        </w:rPr>
        <w:t>4</w:t>
      </w:r>
      <w:r w:rsidR="007962F7" w:rsidRPr="33C53544">
        <w:rPr>
          <w:rFonts w:ascii="Times New Roman" w:eastAsia="Times New Roman" w:hAnsi="Times New Roman" w:cs="Times New Roman"/>
          <w:i/>
          <w:noProof/>
          <w:sz w:val="24"/>
          <w:szCs w:val="24"/>
        </w:rPr>
        <w:fldChar w:fldCharType="end"/>
      </w:r>
      <w:r w:rsidRPr="001752EA">
        <w:rPr>
          <w:rFonts w:ascii="Times New Roman" w:eastAsia="Times New Roman" w:hAnsi="Times New Roman" w:cs="Times New Roman"/>
          <w:i/>
          <w:iCs/>
          <w:noProof/>
          <w:sz w:val="24"/>
          <w:szCs w:val="24"/>
        </w:rPr>
        <w:t>: Source of funding per corporate sector; 2023</w:t>
      </w:r>
    </w:p>
    <w:p w14:paraId="06BE2E1B" w14:textId="02BE25FF" w:rsidR="003866BA" w:rsidRPr="0036474B" w:rsidRDefault="7C368EC3" w:rsidP="77BB1F80">
      <w:pPr>
        <w:keepNext/>
        <w:rPr>
          <w:rFonts w:ascii="Times New Roman" w:hAnsi="Times New Roman" w:cs="Times New Roman"/>
          <w:noProof/>
          <w:sz w:val="24"/>
          <w:szCs w:val="24"/>
        </w:rPr>
      </w:pPr>
      <w:r w:rsidRPr="0036474B">
        <w:rPr>
          <w:rFonts w:ascii="Times New Roman" w:hAnsi="Times New Roman" w:cs="Times New Roman"/>
          <w:noProof/>
          <w:sz w:val="24"/>
          <w:szCs w:val="24"/>
          <w:lang w:val="en-GB" w:eastAsia="en-GB"/>
        </w:rPr>
        <w:drawing>
          <wp:inline distT="0" distB="0" distL="0" distR="0" wp14:anchorId="3A6EDD4E" wp14:editId="08B7464B">
            <wp:extent cx="5590216" cy="3028950"/>
            <wp:effectExtent l="0" t="0" r="0" b="0"/>
            <wp:docPr id="518619929" name="Picture 1" descr="A graph with blue and orang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619929" name="Picture 1" descr="A graph with blue and orange bars&#10;&#10;AI-generated content may be incorrect."/>
                    <pic:cNvPicPr/>
                  </pic:nvPicPr>
                  <pic:blipFill rotWithShape="1">
                    <a:blip r:embed="rId18"/>
                    <a:srcRect b="2772"/>
                    <a:stretch>
                      <a:fillRect/>
                    </a:stretch>
                  </pic:blipFill>
                  <pic:spPr bwMode="auto">
                    <a:xfrm>
                      <a:off x="0" y="0"/>
                      <a:ext cx="5606457" cy="3037750"/>
                    </a:xfrm>
                    <a:prstGeom prst="rect">
                      <a:avLst/>
                    </a:prstGeom>
                    <a:ln>
                      <a:noFill/>
                    </a:ln>
                    <a:extLst>
                      <a:ext uri="{53640926-AAD7-44D8-BBD7-CCE9431645EC}">
                        <a14:shadowObscured xmlns:a14="http://schemas.microsoft.com/office/drawing/2010/main"/>
                      </a:ext>
                    </a:extLst>
                  </pic:spPr>
                </pic:pic>
              </a:graphicData>
            </a:graphic>
          </wp:inline>
        </w:drawing>
      </w:r>
    </w:p>
    <w:p w14:paraId="17B6B5BA" w14:textId="5B418A0C" w:rsidR="0033710C" w:rsidRPr="001752EA" w:rsidRDefault="0207EF51" w:rsidP="77BB1F80">
      <w:pPr>
        <w:pStyle w:val="Caption"/>
        <w:spacing w:after="0"/>
        <w:jc w:val="both"/>
        <w:rPr>
          <w:rFonts w:ascii="Times New Roman" w:eastAsia="Times New Roman" w:hAnsi="Times New Roman" w:cs="Times New Roman"/>
          <w:noProof/>
          <w:color w:val="auto"/>
          <w:sz w:val="24"/>
          <w:szCs w:val="24"/>
        </w:rPr>
      </w:pPr>
      <w:r w:rsidRPr="001752EA">
        <w:rPr>
          <w:rFonts w:ascii="Times New Roman" w:eastAsia="Times New Roman" w:hAnsi="Times New Roman" w:cs="Times New Roman"/>
          <w:noProof/>
          <w:color w:val="auto"/>
          <w:sz w:val="24"/>
          <w:szCs w:val="24"/>
        </w:rPr>
        <w:t xml:space="preserve">Source: </w:t>
      </w:r>
      <w:r w:rsidR="291EBBDD" w:rsidRPr="001752EA">
        <w:rPr>
          <w:rFonts w:ascii="Times New Roman" w:eastAsia="Times New Roman" w:hAnsi="Times New Roman" w:cs="Times New Roman"/>
          <w:noProof/>
          <w:color w:val="auto"/>
          <w:sz w:val="24"/>
          <w:szCs w:val="24"/>
        </w:rPr>
        <w:t>BvD Electronic Publishing GmbH – a Moody’s Analytics company, ECB (AnaCredit, QSA, MNA), European Commission (KLEMS) and ECB calculations</w:t>
      </w:r>
      <w:r w:rsidR="26E3F86A" w:rsidRPr="001752EA">
        <w:rPr>
          <w:rFonts w:ascii="Times New Roman" w:eastAsia="Times New Roman" w:hAnsi="Times New Roman" w:cs="Times New Roman"/>
          <w:noProof/>
          <w:color w:val="auto"/>
          <w:sz w:val="24"/>
          <w:szCs w:val="24"/>
        </w:rPr>
        <w:t>, reflected in the</w:t>
      </w:r>
      <w:r w:rsidRPr="001752EA">
        <w:rPr>
          <w:rFonts w:ascii="Times New Roman" w:eastAsia="Times New Roman" w:hAnsi="Times New Roman" w:cs="Times New Roman"/>
          <w:noProof/>
          <w:color w:val="auto"/>
          <w:sz w:val="24"/>
          <w:szCs w:val="24"/>
        </w:rPr>
        <w:t xml:space="preserve"> Eurosystem's response to the EU Commission's targeted consultation on the competitiveness of the EU banking sector.</w:t>
      </w:r>
    </w:p>
    <w:p w14:paraId="6F97FDF4" w14:textId="0664D020" w:rsidR="0033710C" w:rsidRPr="001752EA" w:rsidRDefault="764D3DC4" w:rsidP="77BB1F80">
      <w:pPr>
        <w:pStyle w:val="Caption"/>
        <w:spacing w:after="0"/>
        <w:jc w:val="both"/>
        <w:rPr>
          <w:rFonts w:ascii="Times New Roman" w:eastAsia="Times New Roman" w:hAnsi="Times New Roman" w:cs="Times New Roman"/>
          <w:noProof/>
          <w:color w:val="auto"/>
          <w:sz w:val="24"/>
          <w:szCs w:val="24"/>
        </w:rPr>
      </w:pPr>
      <w:r w:rsidRPr="001752EA">
        <w:rPr>
          <w:rFonts w:ascii="Times New Roman" w:eastAsia="Times New Roman" w:hAnsi="Times New Roman" w:cs="Times New Roman"/>
          <w:noProof/>
          <w:color w:val="auto"/>
          <w:sz w:val="24"/>
          <w:szCs w:val="24"/>
        </w:rPr>
        <w:t>Note:</w:t>
      </w:r>
      <w:r w:rsidR="48D9EE36" w:rsidRPr="001752EA">
        <w:rPr>
          <w:rFonts w:ascii="Times New Roman" w:eastAsia="Times New Roman" w:hAnsi="Times New Roman" w:cs="Times New Roman"/>
          <w:noProof/>
          <w:color w:val="auto"/>
          <w:sz w:val="24"/>
          <w:szCs w:val="24"/>
        </w:rPr>
        <w:t xml:space="preserve"> </w:t>
      </w:r>
      <w:r w:rsidR="3BCB6996" w:rsidRPr="001752EA">
        <w:rPr>
          <w:rFonts w:ascii="Times New Roman" w:eastAsia="Times New Roman" w:hAnsi="Times New Roman" w:cs="Times New Roman"/>
          <w:noProof/>
          <w:color w:val="auto"/>
          <w:sz w:val="24"/>
          <w:szCs w:val="24"/>
        </w:rPr>
        <w:t xml:space="preserve">Bank </w:t>
      </w:r>
      <w:r w:rsidR="1DEA3A7B" w:rsidRPr="001752EA">
        <w:rPr>
          <w:rFonts w:ascii="Times New Roman" w:eastAsia="Times New Roman" w:hAnsi="Times New Roman" w:cs="Times New Roman"/>
          <w:noProof/>
          <w:color w:val="auto"/>
          <w:sz w:val="24"/>
          <w:szCs w:val="24"/>
        </w:rPr>
        <w:t>credit includes credit lines, loans, trade receivables and overdrafts reported in AnaCredit. A firm is defined as having access to bank lending if it has at least one outstanding credit exposure in AnaCredit or Orbis.</w:t>
      </w:r>
    </w:p>
    <w:p w14:paraId="791A7778" w14:textId="77777777" w:rsidR="00B672D9" w:rsidRPr="0036474B" w:rsidRDefault="00B672D9" w:rsidP="1F722A72">
      <w:pPr>
        <w:spacing w:before="80" w:after="80" w:line="276" w:lineRule="auto"/>
        <w:jc w:val="both"/>
        <w:rPr>
          <w:rFonts w:ascii="Times New Roman" w:eastAsia="Times New Roman" w:hAnsi="Times New Roman" w:cs="Times New Roman"/>
          <w:noProof/>
          <w:color w:val="000000" w:themeColor="text1"/>
          <w:sz w:val="24"/>
          <w:szCs w:val="24"/>
        </w:rPr>
      </w:pPr>
    </w:p>
    <w:p w14:paraId="3D1B29CA" w14:textId="3E3C7C4A" w:rsidR="008F7955" w:rsidRPr="00C57427" w:rsidRDefault="008F7955" w:rsidP="008F7955">
      <w:pPr>
        <w:spacing w:before="80" w:after="80" w:line="276" w:lineRule="auto"/>
        <w:jc w:val="both"/>
        <w:rPr>
          <w:rFonts w:ascii="Times New Roman" w:eastAsia="Times New Roman" w:hAnsi="Times New Roman" w:cs="Times New Roman"/>
          <w:noProof/>
          <w:color w:val="000000" w:themeColor="text1"/>
          <w:sz w:val="24"/>
          <w:szCs w:val="24"/>
        </w:rPr>
      </w:pPr>
      <w:r w:rsidRPr="0036474B">
        <w:rPr>
          <w:rFonts w:ascii="Times New Roman" w:eastAsia="Times New Roman" w:hAnsi="Times New Roman" w:cs="Times New Roman"/>
          <w:b/>
          <w:noProof/>
          <w:color w:val="000000" w:themeColor="text1"/>
          <w:sz w:val="24"/>
          <w:szCs w:val="24"/>
        </w:rPr>
        <w:t>Bank lending behaviour is inherently procyclical: credit expands during upswings and contracts during downturns</w:t>
      </w:r>
      <w:r w:rsidRPr="0036474B">
        <w:rPr>
          <w:rFonts w:ascii="Times New Roman" w:eastAsia="Times New Roman" w:hAnsi="Times New Roman" w:cs="Times New Roman"/>
          <w:noProof/>
          <w:color w:val="000000" w:themeColor="text1"/>
          <w:sz w:val="24"/>
          <w:szCs w:val="24"/>
        </w:rPr>
        <w:t>. When these swings are driven by supply-side factors, they may amplify rather than dampen the underlying economic cycle. However, if banks are well capitalised and profitable, procyclicality of credit supply can be mitigated.</w:t>
      </w:r>
      <w:r w:rsidR="00C57427">
        <w:rPr>
          <w:rFonts w:ascii="Times New Roman" w:eastAsia="Times New Roman" w:hAnsi="Times New Roman" w:cs="Times New Roman"/>
          <w:noProof/>
          <w:color w:val="000000" w:themeColor="text1"/>
          <w:sz w:val="24"/>
          <w:szCs w:val="24"/>
        </w:rPr>
        <w:t xml:space="preserve"> </w:t>
      </w:r>
    </w:p>
    <w:p w14:paraId="561EFD2D" w14:textId="77777777" w:rsidR="008F7955" w:rsidRPr="0036474B" w:rsidRDefault="008F7955" w:rsidP="008F7955">
      <w:pPr>
        <w:spacing w:before="80" w:after="80" w:line="276" w:lineRule="auto"/>
        <w:jc w:val="both"/>
        <w:rPr>
          <w:rFonts w:ascii="Times New Roman" w:eastAsia="Times New Roman" w:hAnsi="Times New Roman" w:cs="Times New Roman"/>
          <w:noProof/>
          <w:color w:val="000000" w:themeColor="text1"/>
          <w:sz w:val="24"/>
          <w:szCs w:val="24"/>
          <w:lang w:val="en-GB"/>
        </w:rPr>
      </w:pPr>
    </w:p>
    <w:p w14:paraId="5D0A1F0D" w14:textId="347C3091" w:rsidR="00B13AB8" w:rsidRPr="001752EA" w:rsidRDefault="00B13AB8" w:rsidP="001752EA">
      <w:pPr>
        <w:pStyle w:val="Caption"/>
        <w:keepNext/>
        <w:jc w:val="both"/>
        <w:rPr>
          <w:rFonts w:ascii="Times New Roman" w:hAnsi="Times New Roman" w:cs="Times New Roman"/>
          <w:noProof/>
          <w:color w:val="auto"/>
          <w:sz w:val="24"/>
          <w:szCs w:val="24"/>
        </w:rPr>
      </w:pPr>
      <w:bookmarkStart w:id="13" w:name="_Ref233733407"/>
      <w:r w:rsidRPr="001752EA">
        <w:rPr>
          <w:rFonts w:ascii="Times New Roman" w:hAnsi="Times New Roman" w:cs="Times New Roman"/>
          <w:noProof/>
          <w:color w:val="auto"/>
          <w:sz w:val="24"/>
          <w:szCs w:val="24"/>
        </w:rPr>
        <w:t xml:space="preserve">Figure </w:t>
      </w:r>
      <w:r w:rsidRPr="001752EA">
        <w:rPr>
          <w:rFonts w:ascii="Times New Roman" w:hAnsi="Times New Roman" w:cs="Times New Roman"/>
          <w:noProof/>
          <w:color w:val="auto"/>
          <w:sz w:val="24"/>
          <w:szCs w:val="24"/>
        </w:rPr>
        <w:fldChar w:fldCharType="begin"/>
      </w:r>
      <w:r w:rsidRPr="001752EA">
        <w:rPr>
          <w:rFonts w:ascii="Times New Roman" w:hAnsi="Times New Roman" w:cs="Times New Roman"/>
          <w:noProof/>
          <w:color w:val="auto"/>
          <w:sz w:val="24"/>
          <w:szCs w:val="24"/>
        </w:rPr>
        <w:instrText xml:space="preserve"> SEQ Figure \* ARABIC </w:instrText>
      </w:r>
      <w:r w:rsidRPr="001752EA">
        <w:rPr>
          <w:rFonts w:ascii="Times New Roman" w:hAnsi="Times New Roman" w:cs="Times New Roman"/>
          <w:noProof/>
          <w:color w:val="auto"/>
          <w:sz w:val="24"/>
          <w:szCs w:val="24"/>
        </w:rPr>
        <w:fldChar w:fldCharType="separate"/>
      </w:r>
      <w:r w:rsidR="00263CCB">
        <w:rPr>
          <w:rFonts w:ascii="Times New Roman" w:hAnsi="Times New Roman" w:cs="Times New Roman"/>
          <w:noProof/>
          <w:color w:val="auto"/>
          <w:sz w:val="24"/>
          <w:szCs w:val="24"/>
        </w:rPr>
        <w:t>5</w:t>
      </w:r>
      <w:r w:rsidRPr="001752EA">
        <w:rPr>
          <w:rFonts w:ascii="Times New Roman" w:hAnsi="Times New Roman" w:cs="Times New Roman"/>
          <w:noProof/>
          <w:color w:val="auto"/>
          <w:sz w:val="24"/>
          <w:szCs w:val="24"/>
        </w:rPr>
        <w:fldChar w:fldCharType="end"/>
      </w:r>
      <w:bookmarkEnd w:id="13"/>
      <w:r w:rsidRPr="001752EA">
        <w:rPr>
          <w:rFonts w:ascii="Times New Roman" w:hAnsi="Times New Roman" w:cs="Times New Roman"/>
          <w:noProof/>
          <w:color w:val="auto"/>
          <w:sz w:val="24"/>
          <w:szCs w:val="24"/>
        </w:rPr>
        <w:t>: Loan demand and credit-to-GDP gap</w:t>
      </w:r>
    </w:p>
    <w:p w14:paraId="372D4225" w14:textId="77777777" w:rsidR="00FB5C55" w:rsidRDefault="008F7955" w:rsidP="008F7955">
      <w:pPr>
        <w:spacing w:before="80" w:after="80" w:line="276" w:lineRule="auto"/>
        <w:jc w:val="both"/>
        <w:rPr>
          <w:rFonts w:ascii="Times New Roman" w:eastAsia="Times New Roman" w:hAnsi="Times New Roman" w:cs="Times New Roman"/>
          <w:noProof/>
          <w:color w:val="000000" w:themeColor="text1"/>
          <w:sz w:val="24"/>
          <w:szCs w:val="24"/>
        </w:rPr>
      </w:pPr>
      <w:r w:rsidRPr="0036474B">
        <w:rPr>
          <w:rFonts w:ascii="Times New Roman" w:hAnsi="Times New Roman" w:cs="Times New Roman"/>
          <w:noProof/>
          <w:sz w:val="24"/>
          <w:szCs w:val="24"/>
          <w:lang w:val="en-GB" w:eastAsia="en-GB"/>
        </w:rPr>
        <w:drawing>
          <wp:inline distT="0" distB="0" distL="0" distR="0" wp14:anchorId="745905B5" wp14:editId="163CED4A">
            <wp:extent cx="5734050" cy="3695700"/>
            <wp:effectExtent l="0" t="0" r="0" b="0"/>
            <wp:docPr id="151268323" name="drawing" title="A graph of a line and a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68323" name="Picture 151268323"/>
                    <pic:cNvPicPr/>
                  </pic:nvPicPr>
                  <pic:blipFill>
                    <a:blip r:embed="rId19">
                      <a:extLst>
                        <a:ext uri="{28A0092B-C50C-407E-A947-70E740481C1C}">
                          <a14:useLocalDpi xmlns:a14="http://schemas.microsoft.com/office/drawing/2010/main"/>
                        </a:ext>
                      </a:extLst>
                    </a:blip>
                    <a:stretch>
                      <a:fillRect/>
                    </a:stretch>
                  </pic:blipFill>
                  <pic:spPr>
                    <a:xfrm>
                      <a:off x="0" y="0"/>
                      <a:ext cx="5734050" cy="3695700"/>
                    </a:xfrm>
                    <a:prstGeom prst="rect">
                      <a:avLst/>
                    </a:prstGeom>
                  </pic:spPr>
                </pic:pic>
              </a:graphicData>
            </a:graphic>
          </wp:inline>
        </w:drawing>
      </w:r>
    </w:p>
    <w:p w14:paraId="1FF910E8" w14:textId="0B9D936C" w:rsidR="008F7955" w:rsidRPr="001752EA" w:rsidRDefault="008F7955" w:rsidP="008F7955">
      <w:pPr>
        <w:spacing w:before="80" w:after="80" w:line="276" w:lineRule="auto"/>
        <w:jc w:val="both"/>
        <w:rPr>
          <w:rFonts w:ascii="Times New Roman" w:eastAsia="Times New Roman" w:hAnsi="Times New Roman" w:cs="Times New Roman"/>
          <w:i/>
          <w:iCs/>
          <w:noProof/>
          <w:sz w:val="24"/>
          <w:szCs w:val="24"/>
        </w:rPr>
      </w:pPr>
      <w:r w:rsidRPr="001752EA">
        <w:rPr>
          <w:rFonts w:ascii="Times New Roman" w:eastAsia="Times New Roman" w:hAnsi="Times New Roman" w:cs="Times New Roman"/>
          <w:i/>
          <w:iCs/>
          <w:noProof/>
          <w:color w:val="000000" w:themeColor="text1"/>
          <w:sz w:val="24"/>
          <w:szCs w:val="24"/>
        </w:rPr>
        <w:t xml:space="preserve">Source: </w:t>
      </w:r>
      <w:hyperlink r:id="rId20">
        <w:r w:rsidRPr="001752EA">
          <w:rPr>
            <w:rStyle w:val="Hyperlink"/>
            <w:rFonts w:ascii="Times New Roman" w:eastAsia="Times New Roman" w:hAnsi="Times New Roman" w:cs="Times New Roman"/>
            <w:i/>
            <w:iCs/>
            <w:noProof/>
            <w:color w:val="467886"/>
            <w:sz w:val="24"/>
            <w:szCs w:val="24"/>
            <w:lang w:val="en-GB"/>
          </w:rPr>
          <w:t>The transmission of monetary policy: financial conditions and credit dynamics</w:t>
        </w:r>
      </w:hyperlink>
      <w:r w:rsidRPr="001752EA">
        <w:rPr>
          <w:rFonts w:ascii="Times New Roman" w:eastAsia="Times New Roman" w:hAnsi="Times New Roman" w:cs="Times New Roman"/>
          <w:i/>
          <w:iCs/>
          <w:noProof/>
          <w:color w:val="000000" w:themeColor="text1"/>
          <w:sz w:val="24"/>
          <w:szCs w:val="24"/>
          <w:lang w:val="en-GB"/>
        </w:rPr>
        <w:t>. Speech by Philip Lane, ECB Executive Board Member</w:t>
      </w:r>
    </w:p>
    <w:p w14:paraId="310A65BB" w14:textId="77777777" w:rsidR="008F7955" w:rsidRPr="0036474B" w:rsidRDefault="008F7955" w:rsidP="008F7955">
      <w:pPr>
        <w:spacing w:before="80" w:after="80" w:line="276" w:lineRule="auto"/>
        <w:jc w:val="both"/>
        <w:rPr>
          <w:rFonts w:ascii="Times New Roman" w:eastAsia="Times New Roman" w:hAnsi="Times New Roman" w:cs="Times New Roman"/>
          <w:b/>
          <w:noProof/>
          <w:color w:val="000000" w:themeColor="text1"/>
          <w:sz w:val="24"/>
          <w:szCs w:val="24"/>
        </w:rPr>
      </w:pPr>
    </w:p>
    <w:p w14:paraId="76ED7B6A" w14:textId="335E7D07" w:rsidR="008F7955" w:rsidRPr="001752EA" w:rsidRDefault="008F7955" w:rsidP="008F7955">
      <w:pPr>
        <w:spacing w:before="80" w:after="80" w:line="276" w:lineRule="auto"/>
        <w:jc w:val="both"/>
        <w:rPr>
          <w:rFonts w:ascii="Times New Roman" w:eastAsia="Times New Roman" w:hAnsi="Times New Roman" w:cs="Times New Roman"/>
          <w:noProof/>
          <w:color w:val="000000" w:themeColor="text1"/>
          <w:sz w:val="24"/>
          <w:szCs w:val="24"/>
        </w:rPr>
      </w:pPr>
      <w:r w:rsidRPr="4EB84919">
        <w:rPr>
          <w:rFonts w:ascii="Times New Roman" w:eastAsia="Times New Roman" w:hAnsi="Times New Roman" w:cs="Times New Roman"/>
          <w:b/>
          <w:bCs/>
          <w:noProof/>
          <w:color w:val="000000" w:themeColor="text1"/>
          <w:sz w:val="24"/>
          <w:szCs w:val="24"/>
        </w:rPr>
        <w:t>During the tightening cycle of 2022–202</w:t>
      </w:r>
      <w:r w:rsidR="001267D7">
        <w:rPr>
          <w:rFonts w:ascii="Times New Roman" w:eastAsia="Times New Roman" w:hAnsi="Times New Roman" w:cs="Times New Roman"/>
          <w:b/>
          <w:bCs/>
          <w:noProof/>
          <w:color w:val="000000" w:themeColor="text1"/>
          <w:sz w:val="24"/>
          <w:szCs w:val="24"/>
        </w:rPr>
        <w:t>3</w:t>
      </w:r>
      <w:r w:rsidRPr="4EB84919">
        <w:rPr>
          <w:rFonts w:ascii="Times New Roman" w:eastAsia="Times New Roman" w:hAnsi="Times New Roman" w:cs="Times New Roman"/>
          <w:b/>
          <w:bCs/>
          <w:noProof/>
          <w:color w:val="000000" w:themeColor="text1"/>
          <w:sz w:val="24"/>
          <w:szCs w:val="24"/>
        </w:rPr>
        <w:t>, bank</w:t>
      </w:r>
      <w:r w:rsidR="00A17C76">
        <w:rPr>
          <w:rFonts w:ascii="Times New Roman" w:eastAsia="Times New Roman" w:hAnsi="Times New Roman" w:cs="Times New Roman"/>
          <w:b/>
          <w:bCs/>
          <w:noProof/>
          <w:color w:val="000000" w:themeColor="text1"/>
          <w:sz w:val="24"/>
          <w:szCs w:val="24"/>
        </w:rPr>
        <w:t>s’</w:t>
      </w:r>
      <w:r w:rsidRPr="4EB84919">
        <w:rPr>
          <w:rFonts w:ascii="Times New Roman" w:eastAsia="Times New Roman" w:hAnsi="Times New Roman" w:cs="Times New Roman"/>
          <w:b/>
          <w:bCs/>
          <w:noProof/>
          <w:color w:val="000000" w:themeColor="text1"/>
          <w:sz w:val="24"/>
          <w:szCs w:val="24"/>
        </w:rPr>
        <w:t xml:space="preserve"> lending growth </w:t>
      </w:r>
      <w:r w:rsidR="005D5184">
        <w:rPr>
          <w:rFonts w:ascii="Times New Roman" w:eastAsia="Times New Roman" w:hAnsi="Times New Roman" w:cs="Times New Roman"/>
          <w:b/>
          <w:bCs/>
          <w:noProof/>
          <w:color w:val="000000" w:themeColor="text1"/>
          <w:sz w:val="24"/>
          <w:szCs w:val="24"/>
        </w:rPr>
        <w:t>weakened sharply</w:t>
      </w:r>
      <w:r w:rsidRPr="4EB84919">
        <w:rPr>
          <w:rFonts w:ascii="Times New Roman" w:eastAsia="Times New Roman" w:hAnsi="Times New Roman" w:cs="Times New Roman"/>
          <w:b/>
          <w:bCs/>
          <w:noProof/>
          <w:color w:val="000000" w:themeColor="text1"/>
          <w:sz w:val="24"/>
          <w:szCs w:val="24"/>
        </w:rPr>
        <w:t>, in line with the intended transmission of monetary policy</w:t>
      </w:r>
      <w:r w:rsidRPr="0036474B">
        <w:rPr>
          <w:rFonts w:ascii="Times New Roman" w:eastAsia="Times New Roman" w:hAnsi="Times New Roman" w:cs="Times New Roman"/>
          <w:noProof/>
          <w:color w:val="000000" w:themeColor="text1"/>
          <w:sz w:val="24"/>
          <w:szCs w:val="24"/>
        </w:rPr>
        <w:t>.</w:t>
      </w:r>
      <w:r w:rsidR="009679F8">
        <w:rPr>
          <w:rFonts w:ascii="Times New Roman" w:eastAsia="Times New Roman" w:hAnsi="Times New Roman" w:cs="Times New Roman"/>
          <w:noProof/>
          <w:color w:val="000000" w:themeColor="text1"/>
          <w:sz w:val="24"/>
          <w:szCs w:val="24"/>
        </w:rPr>
        <w:t xml:space="preserve"> </w:t>
      </w:r>
      <w:r w:rsidR="009679F8" w:rsidRPr="00DE186B">
        <w:rPr>
          <w:rFonts w:ascii="Times New Roman" w:eastAsia="Times New Roman" w:hAnsi="Times New Roman" w:cs="Times New Roman"/>
          <w:noProof/>
          <w:color w:val="000000" w:themeColor="text1"/>
          <w:sz w:val="24"/>
          <w:szCs w:val="24"/>
        </w:rPr>
        <w:t>As highlighted in</w:t>
      </w:r>
      <w:r w:rsidR="002F3DA6" w:rsidRPr="00DE186B">
        <w:rPr>
          <w:rFonts w:ascii="Times New Roman" w:eastAsia="Times New Roman" w:hAnsi="Times New Roman" w:cs="Times New Roman"/>
          <w:noProof/>
          <w:color w:val="000000" w:themeColor="text1"/>
          <w:sz w:val="24"/>
          <w:szCs w:val="24"/>
        </w:rPr>
        <w:t xml:space="preserve"> </w:t>
      </w:r>
      <w:r w:rsidR="002F3DA6" w:rsidRPr="00DE186B">
        <w:rPr>
          <w:rFonts w:ascii="Times New Roman" w:eastAsia="Times New Roman" w:hAnsi="Times New Roman" w:cs="Times New Roman"/>
          <w:noProof/>
          <w:color w:val="000000" w:themeColor="text1"/>
          <w:sz w:val="24"/>
          <w:szCs w:val="24"/>
        </w:rPr>
        <w:fldChar w:fldCharType="begin"/>
      </w:r>
      <w:r w:rsidR="002F3DA6" w:rsidRPr="00DE186B">
        <w:rPr>
          <w:rFonts w:ascii="Times New Roman" w:eastAsia="Times New Roman" w:hAnsi="Times New Roman" w:cs="Times New Roman"/>
          <w:noProof/>
          <w:color w:val="000000" w:themeColor="text1"/>
          <w:sz w:val="24"/>
          <w:szCs w:val="24"/>
        </w:rPr>
        <w:instrText xml:space="preserve"> REF _Ref233733407 \h </w:instrText>
      </w:r>
      <w:r w:rsidR="00DE186B" w:rsidRPr="00DE186B">
        <w:rPr>
          <w:rFonts w:ascii="Times New Roman" w:eastAsia="Times New Roman" w:hAnsi="Times New Roman" w:cs="Times New Roman"/>
          <w:noProof/>
          <w:color w:val="000000" w:themeColor="text1"/>
          <w:sz w:val="24"/>
          <w:szCs w:val="24"/>
        </w:rPr>
        <w:instrText xml:space="preserve"> \* MERGEFORMAT </w:instrText>
      </w:r>
      <w:r w:rsidR="002F3DA6" w:rsidRPr="00DE186B">
        <w:rPr>
          <w:rFonts w:ascii="Times New Roman" w:eastAsia="Times New Roman" w:hAnsi="Times New Roman" w:cs="Times New Roman"/>
          <w:noProof/>
          <w:color w:val="000000" w:themeColor="text1"/>
          <w:sz w:val="24"/>
          <w:szCs w:val="24"/>
        </w:rPr>
      </w:r>
      <w:r w:rsidR="002F3DA6" w:rsidRPr="00DE186B">
        <w:rPr>
          <w:rFonts w:ascii="Times New Roman" w:eastAsia="Times New Roman" w:hAnsi="Times New Roman" w:cs="Times New Roman"/>
          <w:noProof/>
          <w:color w:val="000000" w:themeColor="text1"/>
          <w:sz w:val="24"/>
          <w:szCs w:val="24"/>
        </w:rPr>
        <w:fldChar w:fldCharType="separate"/>
      </w:r>
      <w:r w:rsidR="00263CCB" w:rsidRPr="001752EA">
        <w:rPr>
          <w:rFonts w:ascii="Times New Roman" w:hAnsi="Times New Roman" w:cs="Times New Roman"/>
          <w:noProof/>
          <w:sz w:val="24"/>
          <w:szCs w:val="24"/>
        </w:rPr>
        <w:t xml:space="preserve">Figure </w:t>
      </w:r>
      <w:r w:rsidR="00263CCB">
        <w:rPr>
          <w:rFonts w:ascii="Times New Roman" w:hAnsi="Times New Roman" w:cs="Times New Roman"/>
          <w:noProof/>
          <w:sz w:val="24"/>
          <w:szCs w:val="24"/>
        </w:rPr>
        <w:t>5</w:t>
      </w:r>
      <w:r w:rsidR="002F3DA6" w:rsidRPr="00DE186B">
        <w:rPr>
          <w:rFonts w:ascii="Times New Roman" w:eastAsia="Times New Roman" w:hAnsi="Times New Roman" w:cs="Times New Roman"/>
          <w:noProof/>
          <w:color w:val="000000" w:themeColor="text1"/>
          <w:sz w:val="24"/>
          <w:szCs w:val="24"/>
        </w:rPr>
        <w:fldChar w:fldCharType="end"/>
      </w:r>
      <w:r w:rsidR="007013EE">
        <w:rPr>
          <w:rFonts w:ascii="Times New Roman" w:eastAsia="Times New Roman" w:hAnsi="Times New Roman" w:cs="Times New Roman"/>
          <w:noProof/>
          <w:color w:val="000000" w:themeColor="text1"/>
          <w:sz w:val="24"/>
          <w:szCs w:val="24"/>
        </w:rPr>
        <w:t xml:space="preserve"> (left had side panel)</w:t>
      </w:r>
      <w:r w:rsidR="005A40C3" w:rsidRPr="00DE186B">
        <w:rPr>
          <w:rFonts w:ascii="Times New Roman" w:eastAsia="Times New Roman" w:hAnsi="Times New Roman" w:cs="Times New Roman"/>
          <w:noProof/>
          <w:color w:val="000000" w:themeColor="text1"/>
          <w:sz w:val="24"/>
          <w:szCs w:val="24"/>
        </w:rPr>
        <w:t xml:space="preserve">, </w:t>
      </w:r>
      <w:r w:rsidR="00242A44" w:rsidRPr="00DE186B">
        <w:rPr>
          <w:rFonts w:ascii="Times New Roman" w:eastAsia="Times New Roman" w:hAnsi="Times New Roman" w:cs="Times New Roman"/>
          <w:noProof/>
          <w:color w:val="000000" w:themeColor="text1"/>
          <w:sz w:val="24"/>
          <w:szCs w:val="24"/>
        </w:rPr>
        <w:t>the net demand for loans from both corporates and households</w:t>
      </w:r>
      <w:r w:rsidR="009C745F" w:rsidRPr="00DE186B">
        <w:rPr>
          <w:rFonts w:ascii="Times New Roman" w:eastAsia="Times New Roman" w:hAnsi="Times New Roman" w:cs="Times New Roman"/>
          <w:noProof/>
          <w:color w:val="000000" w:themeColor="text1"/>
          <w:sz w:val="24"/>
          <w:szCs w:val="24"/>
        </w:rPr>
        <w:t xml:space="preserve"> collapsed through 2022-2023</w:t>
      </w:r>
      <w:r w:rsidR="008C118F" w:rsidRPr="00DE186B">
        <w:rPr>
          <w:rFonts w:ascii="Times New Roman" w:eastAsia="Times New Roman" w:hAnsi="Times New Roman" w:cs="Times New Roman"/>
          <w:noProof/>
          <w:color w:val="000000" w:themeColor="text1"/>
          <w:sz w:val="24"/>
          <w:szCs w:val="24"/>
        </w:rPr>
        <w:t>, due to</w:t>
      </w:r>
      <w:r w:rsidR="008C118F">
        <w:rPr>
          <w:rFonts w:ascii="Times New Roman" w:eastAsia="Times New Roman" w:hAnsi="Times New Roman" w:cs="Times New Roman"/>
          <w:noProof/>
          <w:color w:val="000000" w:themeColor="text1"/>
          <w:sz w:val="24"/>
          <w:szCs w:val="24"/>
        </w:rPr>
        <w:t xml:space="preserve"> higher rates discouraging borrowing </w:t>
      </w:r>
      <w:r w:rsidR="00395D4C">
        <w:rPr>
          <w:rFonts w:ascii="Times New Roman" w:eastAsia="Times New Roman" w:hAnsi="Times New Roman" w:cs="Times New Roman"/>
          <w:noProof/>
          <w:color w:val="000000" w:themeColor="text1"/>
          <w:sz w:val="24"/>
          <w:szCs w:val="24"/>
        </w:rPr>
        <w:t>for</w:t>
      </w:r>
      <w:r w:rsidR="008C118F">
        <w:rPr>
          <w:rFonts w:ascii="Times New Roman" w:eastAsia="Times New Roman" w:hAnsi="Times New Roman" w:cs="Times New Roman"/>
          <w:noProof/>
          <w:color w:val="000000" w:themeColor="text1"/>
          <w:sz w:val="24"/>
          <w:szCs w:val="24"/>
        </w:rPr>
        <w:t xml:space="preserve"> both counterparties</w:t>
      </w:r>
      <w:r w:rsidR="00F50B7A">
        <w:rPr>
          <w:rFonts w:ascii="Times New Roman" w:eastAsia="Times New Roman" w:hAnsi="Times New Roman" w:cs="Times New Roman"/>
          <w:noProof/>
          <w:color w:val="000000" w:themeColor="text1"/>
          <w:sz w:val="24"/>
          <w:szCs w:val="24"/>
        </w:rPr>
        <w:t>, while banks tightened their own credit standards.</w:t>
      </w:r>
      <w:r w:rsidR="00080D01">
        <w:rPr>
          <w:rFonts w:ascii="Times New Roman" w:eastAsia="Times New Roman" w:hAnsi="Times New Roman" w:cs="Times New Roman"/>
          <w:noProof/>
          <w:color w:val="000000" w:themeColor="text1"/>
          <w:sz w:val="24"/>
          <w:szCs w:val="24"/>
        </w:rPr>
        <w:t xml:space="preserve"> The </w:t>
      </w:r>
      <w:r w:rsidR="008E3B23">
        <w:rPr>
          <w:rFonts w:ascii="Times New Roman" w:eastAsia="Times New Roman" w:hAnsi="Times New Roman" w:cs="Times New Roman"/>
          <w:noProof/>
          <w:color w:val="000000" w:themeColor="text1"/>
          <w:sz w:val="24"/>
          <w:szCs w:val="24"/>
        </w:rPr>
        <w:t xml:space="preserve">tight monetary policy </w:t>
      </w:r>
      <w:r w:rsidR="007D0DEE">
        <w:rPr>
          <w:rFonts w:ascii="Times New Roman" w:eastAsia="Times New Roman" w:hAnsi="Times New Roman" w:cs="Times New Roman"/>
          <w:noProof/>
          <w:color w:val="000000" w:themeColor="text1"/>
          <w:sz w:val="24"/>
          <w:szCs w:val="24"/>
        </w:rPr>
        <w:t>slowed</w:t>
      </w:r>
      <w:r w:rsidR="008E3B23">
        <w:rPr>
          <w:rFonts w:ascii="Times New Roman" w:eastAsia="Times New Roman" w:hAnsi="Times New Roman" w:cs="Times New Roman"/>
          <w:noProof/>
          <w:color w:val="000000" w:themeColor="text1"/>
          <w:sz w:val="24"/>
          <w:szCs w:val="24"/>
        </w:rPr>
        <w:t xml:space="preserve"> loan demand</w:t>
      </w:r>
      <w:r w:rsidR="00712F37">
        <w:rPr>
          <w:rFonts w:ascii="Times New Roman" w:eastAsia="Times New Roman" w:hAnsi="Times New Roman" w:cs="Times New Roman"/>
          <w:noProof/>
          <w:color w:val="000000" w:themeColor="text1"/>
          <w:sz w:val="24"/>
          <w:szCs w:val="24"/>
        </w:rPr>
        <w:t xml:space="preserve"> and therefore pushed</w:t>
      </w:r>
      <w:r w:rsidR="00467FF2">
        <w:rPr>
          <w:rFonts w:ascii="Times New Roman" w:eastAsia="Times New Roman" w:hAnsi="Times New Roman" w:cs="Times New Roman"/>
          <w:noProof/>
          <w:color w:val="000000" w:themeColor="text1"/>
          <w:sz w:val="24"/>
          <w:szCs w:val="24"/>
        </w:rPr>
        <w:t xml:space="preserve"> credit below GDP </w:t>
      </w:r>
      <w:r w:rsidR="007013EE">
        <w:rPr>
          <w:rFonts w:ascii="Times New Roman" w:eastAsia="Times New Roman" w:hAnsi="Times New Roman" w:cs="Times New Roman"/>
          <w:noProof/>
          <w:color w:val="000000" w:themeColor="text1"/>
          <w:sz w:val="24"/>
          <w:szCs w:val="24"/>
        </w:rPr>
        <w:t>(</w:t>
      </w:r>
      <w:r w:rsidR="00342EF6">
        <w:rPr>
          <w:rFonts w:ascii="Times New Roman" w:eastAsia="Times New Roman" w:hAnsi="Times New Roman" w:cs="Times New Roman"/>
          <w:noProof/>
          <w:color w:val="000000" w:themeColor="text1"/>
          <w:sz w:val="24"/>
          <w:szCs w:val="24"/>
        </w:rPr>
        <w:t>right hand side panel)</w:t>
      </w:r>
      <w:r w:rsidR="00026BF3">
        <w:rPr>
          <w:rFonts w:ascii="Times New Roman" w:eastAsia="Times New Roman" w:hAnsi="Times New Roman" w:cs="Times New Roman"/>
          <w:noProof/>
          <w:color w:val="000000" w:themeColor="text1"/>
          <w:sz w:val="24"/>
          <w:szCs w:val="24"/>
        </w:rPr>
        <w:t xml:space="preserve">, which was instead </w:t>
      </w:r>
      <w:r w:rsidR="00493BFA">
        <w:rPr>
          <w:rFonts w:ascii="Times New Roman" w:eastAsia="Times New Roman" w:hAnsi="Times New Roman" w:cs="Times New Roman"/>
          <w:noProof/>
          <w:color w:val="000000" w:themeColor="text1"/>
          <w:sz w:val="24"/>
          <w:szCs w:val="24"/>
        </w:rPr>
        <w:t>recovering from the sharp COVID-19 induced downturn</w:t>
      </w:r>
      <w:r w:rsidR="00467FF2">
        <w:rPr>
          <w:rFonts w:ascii="Times New Roman" w:eastAsia="Times New Roman" w:hAnsi="Times New Roman" w:cs="Times New Roman"/>
          <w:noProof/>
          <w:color w:val="000000" w:themeColor="text1"/>
          <w:sz w:val="24"/>
          <w:szCs w:val="24"/>
        </w:rPr>
        <w:t>.</w:t>
      </w:r>
      <w:r w:rsidR="0043305C">
        <w:rPr>
          <w:rFonts w:ascii="Times New Roman" w:eastAsia="Times New Roman" w:hAnsi="Times New Roman" w:cs="Times New Roman"/>
          <w:noProof/>
          <w:color w:val="000000" w:themeColor="text1"/>
          <w:sz w:val="24"/>
          <w:szCs w:val="24"/>
        </w:rPr>
        <w:t xml:space="preserve"> </w:t>
      </w:r>
      <w:r w:rsidR="00767A06">
        <w:rPr>
          <w:rFonts w:ascii="Times New Roman" w:eastAsia="Times New Roman" w:hAnsi="Times New Roman" w:cs="Times New Roman"/>
          <w:noProof/>
          <w:color w:val="000000" w:themeColor="text1"/>
          <w:sz w:val="24"/>
          <w:szCs w:val="24"/>
        </w:rPr>
        <w:t xml:space="preserve">This gap was not </w:t>
      </w:r>
      <w:r w:rsidR="003E5B0A">
        <w:rPr>
          <w:rFonts w:ascii="Times New Roman" w:eastAsia="Times New Roman" w:hAnsi="Times New Roman" w:cs="Times New Roman"/>
          <w:noProof/>
          <w:color w:val="000000" w:themeColor="text1"/>
          <w:sz w:val="24"/>
          <w:szCs w:val="24"/>
        </w:rPr>
        <w:t xml:space="preserve">fully </w:t>
      </w:r>
      <w:r w:rsidR="00767A06">
        <w:rPr>
          <w:rFonts w:ascii="Times New Roman" w:eastAsia="Times New Roman" w:hAnsi="Times New Roman" w:cs="Times New Roman"/>
          <w:noProof/>
          <w:color w:val="000000" w:themeColor="text1"/>
          <w:sz w:val="24"/>
          <w:szCs w:val="24"/>
        </w:rPr>
        <w:t>offset by</w:t>
      </w:r>
      <w:r w:rsidR="00421E83">
        <w:rPr>
          <w:rFonts w:ascii="Times New Roman" w:eastAsia="Times New Roman" w:hAnsi="Times New Roman" w:cs="Times New Roman"/>
          <w:noProof/>
          <w:color w:val="000000" w:themeColor="text1"/>
          <w:sz w:val="24"/>
          <w:szCs w:val="24"/>
        </w:rPr>
        <w:t xml:space="preserve"> </w:t>
      </w:r>
      <w:r w:rsidR="00C14682">
        <w:rPr>
          <w:rFonts w:ascii="Times New Roman" w:eastAsia="Times New Roman" w:hAnsi="Times New Roman" w:cs="Times New Roman"/>
          <w:noProof/>
          <w:color w:val="000000" w:themeColor="text1"/>
          <w:sz w:val="24"/>
          <w:szCs w:val="24"/>
        </w:rPr>
        <w:t>n</w:t>
      </w:r>
      <w:r w:rsidRPr="0036474B">
        <w:rPr>
          <w:rFonts w:ascii="Times New Roman" w:eastAsia="Times New Roman" w:hAnsi="Times New Roman" w:cs="Times New Roman"/>
          <w:noProof/>
          <w:color w:val="000000" w:themeColor="text1"/>
          <w:sz w:val="24"/>
          <w:szCs w:val="24"/>
        </w:rPr>
        <w:t xml:space="preserve">on-bank financing, via public </w:t>
      </w:r>
      <w:r w:rsidR="002062F3">
        <w:rPr>
          <w:rFonts w:ascii="Times New Roman" w:eastAsia="Times New Roman" w:hAnsi="Times New Roman" w:cs="Times New Roman"/>
          <w:noProof/>
          <w:color w:val="000000" w:themeColor="text1"/>
          <w:sz w:val="24"/>
          <w:szCs w:val="24"/>
        </w:rPr>
        <w:t>or</w:t>
      </w:r>
      <w:r w:rsidR="002062F3" w:rsidRPr="0036474B">
        <w:rPr>
          <w:rFonts w:ascii="Times New Roman" w:eastAsia="Times New Roman" w:hAnsi="Times New Roman" w:cs="Times New Roman"/>
          <w:noProof/>
          <w:color w:val="000000" w:themeColor="text1"/>
          <w:sz w:val="24"/>
          <w:szCs w:val="24"/>
        </w:rPr>
        <w:t xml:space="preserve"> </w:t>
      </w:r>
      <w:r w:rsidRPr="0036474B">
        <w:rPr>
          <w:rFonts w:ascii="Times New Roman" w:eastAsia="Times New Roman" w:hAnsi="Times New Roman" w:cs="Times New Roman"/>
          <w:noProof/>
          <w:color w:val="000000" w:themeColor="text1"/>
          <w:sz w:val="24"/>
          <w:szCs w:val="24"/>
        </w:rPr>
        <w:t>private markets</w:t>
      </w:r>
      <w:r w:rsidR="0099188F">
        <w:rPr>
          <w:rFonts w:ascii="Times New Roman" w:eastAsia="Times New Roman" w:hAnsi="Times New Roman" w:cs="Times New Roman"/>
          <w:noProof/>
          <w:color w:val="000000" w:themeColor="text1"/>
          <w:sz w:val="24"/>
          <w:szCs w:val="24"/>
        </w:rPr>
        <w:t>, as</w:t>
      </w:r>
      <w:r>
        <w:rPr>
          <w:rFonts w:ascii="Times New Roman" w:eastAsia="Times New Roman" w:hAnsi="Times New Roman" w:cs="Times New Roman"/>
          <w:noProof/>
          <w:color w:val="000000" w:themeColor="text1"/>
          <w:sz w:val="24"/>
          <w:szCs w:val="24"/>
        </w:rPr>
        <w:t xml:space="preserve"> </w:t>
      </w:r>
      <w:r w:rsidR="0099188F">
        <w:rPr>
          <w:rFonts w:ascii="Times New Roman" w:eastAsia="Times New Roman" w:hAnsi="Times New Roman" w:cs="Times New Roman"/>
          <w:noProof/>
          <w:color w:val="000000" w:themeColor="text1"/>
          <w:sz w:val="24"/>
          <w:szCs w:val="24"/>
        </w:rPr>
        <w:t>b</w:t>
      </w:r>
      <w:r w:rsidR="00CE63CC">
        <w:rPr>
          <w:rFonts w:ascii="Times New Roman" w:eastAsia="Times New Roman" w:hAnsi="Times New Roman" w:cs="Times New Roman"/>
          <w:noProof/>
          <w:color w:val="000000" w:themeColor="text1"/>
          <w:sz w:val="24"/>
          <w:szCs w:val="24"/>
        </w:rPr>
        <w:t xml:space="preserve">anks </w:t>
      </w:r>
      <w:r w:rsidR="002062F3">
        <w:rPr>
          <w:rFonts w:ascii="Times New Roman" w:eastAsia="Times New Roman" w:hAnsi="Times New Roman" w:cs="Times New Roman"/>
          <w:noProof/>
          <w:color w:val="000000" w:themeColor="text1"/>
          <w:sz w:val="24"/>
          <w:szCs w:val="24"/>
        </w:rPr>
        <w:t>maintained</w:t>
      </w:r>
      <w:r w:rsidR="00CE63CC">
        <w:rPr>
          <w:rFonts w:ascii="Times New Roman" w:eastAsia="Times New Roman" w:hAnsi="Times New Roman" w:cs="Times New Roman"/>
          <w:noProof/>
          <w:color w:val="000000" w:themeColor="text1"/>
          <w:sz w:val="24"/>
          <w:szCs w:val="24"/>
        </w:rPr>
        <w:t xml:space="preserve"> the</w:t>
      </w:r>
      <w:r w:rsidR="002062F3">
        <w:rPr>
          <w:rFonts w:ascii="Times New Roman" w:eastAsia="Times New Roman" w:hAnsi="Times New Roman" w:cs="Times New Roman"/>
          <w:noProof/>
          <w:color w:val="000000" w:themeColor="text1"/>
          <w:sz w:val="24"/>
          <w:szCs w:val="24"/>
        </w:rPr>
        <w:t>ir</w:t>
      </w:r>
      <w:r w:rsidR="00CE63CC">
        <w:rPr>
          <w:rFonts w:ascii="Times New Roman" w:eastAsia="Times New Roman" w:hAnsi="Times New Roman" w:cs="Times New Roman"/>
          <w:noProof/>
          <w:color w:val="000000" w:themeColor="text1"/>
          <w:sz w:val="24"/>
          <w:szCs w:val="24"/>
        </w:rPr>
        <w:t xml:space="preserve"> central </w:t>
      </w:r>
      <w:r w:rsidR="002062F3">
        <w:rPr>
          <w:rFonts w:ascii="Times New Roman" w:eastAsia="Times New Roman" w:hAnsi="Times New Roman" w:cs="Times New Roman"/>
          <w:noProof/>
          <w:color w:val="000000" w:themeColor="text1"/>
          <w:sz w:val="24"/>
          <w:szCs w:val="24"/>
        </w:rPr>
        <w:t>role</w:t>
      </w:r>
      <w:r w:rsidR="00CE63CC">
        <w:rPr>
          <w:rFonts w:ascii="Times New Roman" w:eastAsia="Times New Roman" w:hAnsi="Times New Roman" w:cs="Times New Roman"/>
          <w:noProof/>
          <w:color w:val="000000" w:themeColor="text1"/>
          <w:sz w:val="24"/>
          <w:szCs w:val="24"/>
        </w:rPr>
        <w:t xml:space="preserve"> of credit intermediation in the EU</w:t>
      </w:r>
      <w:r w:rsidR="00272B13">
        <w:rPr>
          <w:rFonts w:ascii="Times New Roman" w:eastAsia="Times New Roman" w:hAnsi="Times New Roman" w:cs="Times New Roman"/>
          <w:noProof/>
          <w:color w:val="000000" w:themeColor="text1"/>
          <w:sz w:val="24"/>
          <w:szCs w:val="24"/>
        </w:rPr>
        <w:t>.</w:t>
      </w:r>
      <w:r w:rsidR="00155010">
        <w:rPr>
          <w:rFonts w:ascii="Times New Roman" w:eastAsia="Times New Roman" w:hAnsi="Times New Roman" w:cs="Times New Roman"/>
          <w:noProof/>
          <w:color w:val="000000" w:themeColor="text1"/>
          <w:sz w:val="24"/>
          <w:szCs w:val="24"/>
        </w:rPr>
        <w:t xml:space="preserve"> </w:t>
      </w:r>
      <w:r w:rsidR="006466C2">
        <w:rPr>
          <w:rFonts w:ascii="Times New Roman" w:eastAsia="Times New Roman" w:hAnsi="Times New Roman" w:cs="Times New Roman"/>
          <w:noProof/>
          <w:color w:val="000000" w:themeColor="text1"/>
          <w:sz w:val="24"/>
          <w:szCs w:val="24"/>
        </w:rPr>
        <w:t>T</w:t>
      </w:r>
      <w:r w:rsidR="00207D27">
        <w:rPr>
          <w:rFonts w:ascii="Times New Roman" w:eastAsia="Times New Roman" w:hAnsi="Times New Roman" w:cs="Times New Roman"/>
          <w:noProof/>
          <w:color w:val="000000" w:themeColor="text1"/>
          <w:sz w:val="24"/>
          <w:szCs w:val="24"/>
        </w:rPr>
        <w:t>he credit-to-GDP gap</w:t>
      </w:r>
      <w:r w:rsidR="005223CE">
        <w:rPr>
          <w:rFonts w:ascii="Times New Roman" w:eastAsia="Times New Roman" w:hAnsi="Times New Roman" w:cs="Times New Roman"/>
          <w:noProof/>
          <w:color w:val="000000" w:themeColor="text1"/>
          <w:sz w:val="24"/>
          <w:szCs w:val="24"/>
        </w:rPr>
        <w:t xml:space="preserve"> </w:t>
      </w:r>
      <w:r w:rsidR="00F213B7">
        <w:rPr>
          <w:rFonts w:ascii="Times New Roman" w:eastAsia="Times New Roman" w:hAnsi="Times New Roman" w:cs="Times New Roman"/>
          <w:noProof/>
          <w:color w:val="000000" w:themeColor="text1"/>
          <w:sz w:val="24"/>
          <w:szCs w:val="24"/>
        </w:rPr>
        <w:t xml:space="preserve">remained wide </w:t>
      </w:r>
      <w:r w:rsidR="001D13B5">
        <w:rPr>
          <w:rFonts w:ascii="Times New Roman" w:eastAsia="Times New Roman" w:hAnsi="Times New Roman" w:cs="Times New Roman"/>
          <w:noProof/>
          <w:color w:val="000000" w:themeColor="text1"/>
          <w:sz w:val="24"/>
          <w:szCs w:val="24"/>
        </w:rPr>
        <w:t>in 2024,</w:t>
      </w:r>
      <w:r w:rsidR="00CD1F12">
        <w:rPr>
          <w:rFonts w:ascii="Times New Roman" w:eastAsia="Times New Roman" w:hAnsi="Times New Roman" w:cs="Times New Roman"/>
          <w:noProof/>
          <w:color w:val="000000" w:themeColor="text1"/>
          <w:sz w:val="24"/>
          <w:szCs w:val="24"/>
        </w:rPr>
        <w:t xml:space="preserve"> and only slowly started to narrow</w:t>
      </w:r>
      <w:r w:rsidR="00F91DEF">
        <w:rPr>
          <w:rFonts w:ascii="Times New Roman" w:eastAsia="Times New Roman" w:hAnsi="Times New Roman" w:cs="Times New Roman"/>
          <w:noProof/>
          <w:color w:val="000000" w:themeColor="text1"/>
          <w:sz w:val="24"/>
          <w:szCs w:val="24"/>
        </w:rPr>
        <w:t xml:space="preserve">, as loan demand from corporates and households was recovering. </w:t>
      </w:r>
      <w:r w:rsidR="004753EB">
        <w:rPr>
          <w:rFonts w:ascii="Times New Roman" w:eastAsia="Times New Roman" w:hAnsi="Times New Roman" w:cs="Times New Roman"/>
          <w:noProof/>
          <w:color w:val="000000" w:themeColor="text1"/>
          <w:sz w:val="24"/>
          <w:szCs w:val="24"/>
        </w:rPr>
        <w:t>On one hand, this t</w:t>
      </w:r>
      <w:r w:rsidR="007E7446">
        <w:rPr>
          <w:rFonts w:ascii="Times New Roman" w:eastAsia="Times New Roman" w:hAnsi="Times New Roman" w:cs="Times New Roman"/>
          <w:noProof/>
          <w:color w:val="000000" w:themeColor="text1"/>
          <w:sz w:val="24"/>
          <w:szCs w:val="24"/>
        </w:rPr>
        <w:t xml:space="preserve">his trend </w:t>
      </w:r>
      <w:r w:rsidR="004753EB">
        <w:rPr>
          <w:rFonts w:ascii="Times New Roman" w:eastAsia="Times New Roman" w:hAnsi="Times New Roman" w:cs="Times New Roman"/>
          <w:noProof/>
          <w:color w:val="000000" w:themeColor="text1"/>
          <w:sz w:val="24"/>
          <w:szCs w:val="24"/>
        </w:rPr>
        <w:t xml:space="preserve">shows </w:t>
      </w:r>
      <w:r w:rsidR="00316FC8">
        <w:rPr>
          <w:rFonts w:ascii="Times New Roman" w:eastAsia="Times New Roman" w:hAnsi="Times New Roman" w:cs="Times New Roman"/>
          <w:noProof/>
          <w:color w:val="000000" w:themeColor="text1"/>
          <w:sz w:val="24"/>
          <w:szCs w:val="24"/>
        </w:rPr>
        <w:t xml:space="preserve">how banks are a key component of monetary policy transmission, on the other hand it </w:t>
      </w:r>
      <w:r w:rsidR="00CC5730">
        <w:rPr>
          <w:rFonts w:ascii="Times New Roman" w:eastAsia="Times New Roman" w:hAnsi="Times New Roman" w:cs="Times New Roman"/>
          <w:noProof/>
          <w:color w:val="000000" w:themeColor="text1"/>
          <w:sz w:val="24"/>
          <w:szCs w:val="24"/>
        </w:rPr>
        <w:t xml:space="preserve">highlights </w:t>
      </w:r>
      <w:r w:rsidR="002D5D52">
        <w:rPr>
          <w:rFonts w:ascii="Times New Roman" w:eastAsia="Times New Roman" w:hAnsi="Times New Roman" w:cs="Times New Roman"/>
          <w:noProof/>
          <w:color w:val="000000" w:themeColor="text1"/>
          <w:sz w:val="24"/>
          <w:szCs w:val="24"/>
        </w:rPr>
        <w:t xml:space="preserve">the need to further develop capital markets </w:t>
      </w:r>
      <w:r w:rsidR="00E818F5">
        <w:rPr>
          <w:rFonts w:ascii="Times New Roman" w:eastAsia="Times New Roman" w:hAnsi="Times New Roman" w:cs="Times New Roman"/>
          <w:noProof/>
          <w:color w:val="000000" w:themeColor="text1"/>
          <w:sz w:val="24"/>
          <w:szCs w:val="24"/>
        </w:rPr>
        <w:t xml:space="preserve">to </w:t>
      </w:r>
      <w:r w:rsidR="00682826">
        <w:rPr>
          <w:rFonts w:ascii="Times New Roman" w:eastAsia="Times New Roman" w:hAnsi="Times New Roman" w:cs="Times New Roman"/>
          <w:noProof/>
          <w:color w:val="000000" w:themeColor="text1"/>
          <w:sz w:val="24"/>
          <w:szCs w:val="24"/>
        </w:rPr>
        <w:t>serve as an addit</w:t>
      </w:r>
      <w:r w:rsidR="00226155">
        <w:rPr>
          <w:rFonts w:ascii="Times New Roman" w:eastAsia="Times New Roman" w:hAnsi="Times New Roman" w:cs="Times New Roman"/>
          <w:noProof/>
          <w:color w:val="000000" w:themeColor="text1"/>
          <w:sz w:val="24"/>
          <w:szCs w:val="24"/>
        </w:rPr>
        <w:t xml:space="preserve">ional source of financing and </w:t>
      </w:r>
      <w:r w:rsidR="00E470C1">
        <w:rPr>
          <w:rFonts w:ascii="Times New Roman" w:eastAsia="Times New Roman" w:hAnsi="Times New Roman" w:cs="Times New Roman"/>
          <w:noProof/>
          <w:color w:val="000000" w:themeColor="text1"/>
          <w:sz w:val="24"/>
          <w:szCs w:val="24"/>
        </w:rPr>
        <w:t>mitigate</w:t>
      </w:r>
      <w:r w:rsidR="00226155">
        <w:rPr>
          <w:rFonts w:ascii="Times New Roman" w:eastAsia="Times New Roman" w:hAnsi="Times New Roman" w:cs="Times New Roman"/>
          <w:noProof/>
          <w:color w:val="000000" w:themeColor="text1"/>
          <w:sz w:val="24"/>
          <w:szCs w:val="24"/>
        </w:rPr>
        <w:t xml:space="preserve"> the</w:t>
      </w:r>
      <w:r w:rsidR="00E818F5">
        <w:rPr>
          <w:rFonts w:ascii="Times New Roman" w:eastAsia="Times New Roman" w:hAnsi="Times New Roman" w:cs="Times New Roman"/>
          <w:noProof/>
          <w:color w:val="000000" w:themeColor="text1"/>
          <w:sz w:val="24"/>
          <w:szCs w:val="24"/>
        </w:rPr>
        <w:t xml:space="preserve"> credit supply difference</w:t>
      </w:r>
      <w:r w:rsidR="005A6B2D">
        <w:rPr>
          <w:rFonts w:ascii="Times New Roman" w:eastAsia="Times New Roman" w:hAnsi="Times New Roman" w:cs="Times New Roman"/>
          <w:noProof/>
          <w:color w:val="000000" w:themeColor="text1"/>
          <w:sz w:val="24"/>
          <w:szCs w:val="24"/>
        </w:rPr>
        <w:t>.</w:t>
      </w:r>
    </w:p>
    <w:p w14:paraId="6EE75099" w14:textId="4FA00ADD" w:rsidR="003E74BD" w:rsidRPr="001752EA" w:rsidRDefault="00E470C1" w:rsidP="001752EA">
      <w:pPr>
        <w:spacing w:before="80" w:after="80" w:line="276" w:lineRule="auto"/>
        <w:jc w:val="both"/>
        <w:rPr>
          <w:rFonts w:ascii="Times New Roman" w:hAnsi="Times New Roman" w:cs="Times New Roman"/>
          <w:noProof/>
          <w:sz w:val="24"/>
          <w:szCs w:val="24"/>
        </w:rPr>
      </w:pPr>
      <w:r w:rsidRPr="001752EA">
        <w:rPr>
          <w:rFonts w:ascii="Times New Roman" w:eastAsia="Times New Roman" w:hAnsi="Times New Roman" w:cs="Times New Roman"/>
          <w:b/>
          <w:noProof/>
          <w:color w:val="000000" w:themeColor="text1"/>
          <w:sz w:val="24"/>
          <w:szCs w:val="24"/>
        </w:rPr>
        <w:t xml:space="preserve">Looking closely at </w:t>
      </w:r>
      <w:r w:rsidR="00A20CF9" w:rsidRPr="001752EA">
        <w:rPr>
          <w:rFonts w:ascii="Times New Roman" w:eastAsia="Times New Roman" w:hAnsi="Times New Roman" w:cs="Times New Roman"/>
          <w:b/>
          <w:noProof/>
          <w:color w:val="000000" w:themeColor="text1"/>
          <w:sz w:val="24"/>
          <w:szCs w:val="24"/>
        </w:rPr>
        <w:t>credit demand and supply</w:t>
      </w:r>
      <w:r w:rsidR="00580203" w:rsidRPr="001752EA">
        <w:rPr>
          <w:rFonts w:ascii="Times New Roman" w:eastAsia="Times New Roman" w:hAnsi="Times New Roman" w:cs="Times New Roman"/>
          <w:b/>
          <w:noProof/>
          <w:color w:val="000000" w:themeColor="text1"/>
          <w:sz w:val="24"/>
          <w:szCs w:val="24"/>
        </w:rPr>
        <w:t>, t</w:t>
      </w:r>
      <w:r w:rsidR="00EF6D96" w:rsidRPr="001752EA">
        <w:rPr>
          <w:rFonts w:ascii="Times New Roman" w:eastAsia="Times New Roman" w:hAnsi="Times New Roman" w:cs="Times New Roman"/>
          <w:b/>
          <w:noProof/>
          <w:color w:val="000000" w:themeColor="text1"/>
          <w:sz w:val="24"/>
          <w:szCs w:val="24"/>
        </w:rPr>
        <w:t>he</w:t>
      </w:r>
      <w:r w:rsidR="008177F5" w:rsidRPr="001752EA">
        <w:rPr>
          <w:rFonts w:ascii="Times New Roman" w:eastAsia="Times New Roman" w:hAnsi="Times New Roman" w:cs="Times New Roman"/>
          <w:b/>
          <w:noProof/>
          <w:color w:val="000000" w:themeColor="text1"/>
          <w:sz w:val="24"/>
          <w:szCs w:val="24"/>
        </w:rPr>
        <w:t xml:space="preserve"> ECB’s Survey on the Access to Finance of Enterprises (SAFE)</w:t>
      </w:r>
      <w:r w:rsidR="00AB75C5">
        <w:rPr>
          <w:rStyle w:val="FootnoteReference"/>
          <w:rFonts w:ascii="Times New Roman" w:eastAsia="Times New Roman" w:hAnsi="Times New Roman" w:cs="Times New Roman"/>
          <w:b/>
          <w:noProof/>
          <w:color w:val="000000" w:themeColor="text1"/>
          <w:sz w:val="24"/>
          <w:szCs w:val="24"/>
        </w:rPr>
        <w:footnoteReference w:id="14"/>
      </w:r>
      <w:r w:rsidR="003A150B" w:rsidRPr="001752EA">
        <w:rPr>
          <w:rFonts w:ascii="Times New Roman" w:eastAsia="Times New Roman" w:hAnsi="Times New Roman" w:cs="Times New Roman"/>
          <w:b/>
          <w:noProof/>
          <w:color w:val="000000" w:themeColor="text1"/>
          <w:sz w:val="24"/>
          <w:szCs w:val="24"/>
        </w:rPr>
        <w:t xml:space="preserve"> points</w:t>
      </w:r>
      <w:r w:rsidR="00A36948" w:rsidRPr="001752EA">
        <w:rPr>
          <w:rFonts w:ascii="Times New Roman" w:eastAsia="Times New Roman" w:hAnsi="Times New Roman" w:cs="Times New Roman"/>
          <w:b/>
          <w:noProof/>
          <w:color w:val="000000" w:themeColor="text1"/>
          <w:sz w:val="24"/>
          <w:szCs w:val="24"/>
        </w:rPr>
        <w:t xml:space="preserve"> to a credit market that is normalis</w:t>
      </w:r>
      <w:r w:rsidR="004D2A79">
        <w:rPr>
          <w:rFonts w:ascii="Times New Roman" w:eastAsia="Times New Roman" w:hAnsi="Times New Roman" w:cs="Times New Roman"/>
          <w:b/>
          <w:noProof/>
          <w:color w:val="000000" w:themeColor="text1"/>
          <w:sz w:val="24"/>
          <w:szCs w:val="24"/>
        </w:rPr>
        <w:t>ation</w:t>
      </w:r>
      <w:r w:rsidR="00A36948" w:rsidRPr="001752EA">
        <w:rPr>
          <w:rFonts w:ascii="Times New Roman" w:eastAsia="Times New Roman" w:hAnsi="Times New Roman" w:cs="Times New Roman"/>
          <w:b/>
          <w:noProof/>
          <w:color w:val="000000" w:themeColor="text1"/>
          <w:sz w:val="24"/>
          <w:szCs w:val="24"/>
        </w:rPr>
        <w:t xml:space="preserve"> rather than structurally impaired</w:t>
      </w:r>
      <w:r w:rsidR="00A36948">
        <w:rPr>
          <w:rFonts w:ascii="Times New Roman" w:eastAsia="Times New Roman" w:hAnsi="Times New Roman" w:cs="Times New Roman"/>
          <w:noProof/>
          <w:color w:val="000000" w:themeColor="text1"/>
          <w:sz w:val="24"/>
          <w:szCs w:val="24"/>
        </w:rPr>
        <w:t xml:space="preserve">. </w:t>
      </w:r>
      <w:r w:rsidR="00085172">
        <w:rPr>
          <w:rFonts w:ascii="Times New Roman" w:eastAsia="Times New Roman" w:hAnsi="Times New Roman" w:cs="Times New Roman"/>
          <w:noProof/>
          <w:color w:val="000000" w:themeColor="text1"/>
          <w:sz w:val="24"/>
          <w:szCs w:val="24"/>
        </w:rPr>
        <w:t xml:space="preserve">The survey </w:t>
      </w:r>
      <w:r w:rsidR="004A67D8">
        <w:rPr>
          <w:rFonts w:ascii="Times New Roman" w:eastAsia="Times New Roman" w:hAnsi="Times New Roman" w:cs="Times New Roman"/>
          <w:noProof/>
          <w:color w:val="000000" w:themeColor="text1"/>
          <w:sz w:val="24"/>
          <w:szCs w:val="24"/>
        </w:rPr>
        <w:t xml:space="preserve">evidences </w:t>
      </w:r>
      <w:r w:rsidR="003C4B53">
        <w:rPr>
          <w:rFonts w:ascii="Times New Roman" w:eastAsia="Times New Roman" w:hAnsi="Times New Roman" w:cs="Times New Roman"/>
          <w:noProof/>
          <w:color w:val="000000" w:themeColor="text1"/>
          <w:sz w:val="24"/>
          <w:szCs w:val="24"/>
        </w:rPr>
        <w:t xml:space="preserve">an easing of the financing constraints since </w:t>
      </w:r>
      <w:r w:rsidR="008D77AD">
        <w:rPr>
          <w:rFonts w:ascii="Times New Roman" w:eastAsia="Times New Roman" w:hAnsi="Times New Roman" w:cs="Times New Roman"/>
          <w:noProof/>
          <w:color w:val="000000" w:themeColor="text1"/>
          <w:sz w:val="24"/>
          <w:szCs w:val="24"/>
        </w:rPr>
        <w:t>the post-pandemic tightening cycle</w:t>
      </w:r>
      <w:r w:rsidR="00694176">
        <w:rPr>
          <w:rFonts w:ascii="Times New Roman" w:eastAsia="Times New Roman" w:hAnsi="Times New Roman" w:cs="Times New Roman"/>
          <w:noProof/>
          <w:color w:val="000000" w:themeColor="text1"/>
          <w:sz w:val="24"/>
          <w:szCs w:val="24"/>
        </w:rPr>
        <w:t>: loans’ rejection rates, which spiked sharply across corporate</w:t>
      </w:r>
      <w:r w:rsidR="009410E8">
        <w:rPr>
          <w:rFonts w:ascii="Times New Roman" w:eastAsia="Times New Roman" w:hAnsi="Times New Roman" w:cs="Times New Roman"/>
          <w:noProof/>
          <w:color w:val="000000" w:themeColor="text1"/>
          <w:sz w:val="24"/>
          <w:szCs w:val="24"/>
        </w:rPr>
        <w:t>s</w:t>
      </w:r>
      <w:r w:rsidR="00372E6B">
        <w:rPr>
          <w:rFonts w:ascii="Times New Roman" w:eastAsia="Times New Roman" w:hAnsi="Times New Roman" w:cs="Times New Roman"/>
          <w:noProof/>
          <w:color w:val="000000" w:themeColor="text1"/>
          <w:sz w:val="24"/>
          <w:szCs w:val="24"/>
        </w:rPr>
        <w:t>, consumer</w:t>
      </w:r>
      <w:r w:rsidR="009410E8">
        <w:rPr>
          <w:rFonts w:ascii="Times New Roman" w:eastAsia="Times New Roman" w:hAnsi="Times New Roman" w:cs="Times New Roman"/>
          <w:noProof/>
          <w:color w:val="000000" w:themeColor="text1"/>
          <w:sz w:val="24"/>
          <w:szCs w:val="24"/>
        </w:rPr>
        <w:t>s,</w:t>
      </w:r>
      <w:r w:rsidR="00372E6B">
        <w:rPr>
          <w:rFonts w:ascii="Times New Roman" w:eastAsia="Times New Roman" w:hAnsi="Times New Roman" w:cs="Times New Roman"/>
          <w:noProof/>
          <w:color w:val="000000" w:themeColor="text1"/>
          <w:sz w:val="24"/>
          <w:szCs w:val="24"/>
        </w:rPr>
        <w:t xml:space="preserve"> and mortgage lending</w:t>
      </w:r>
      <w:r w:rsidR="00914479">
        <w:rPr>
          <w:rFonts w:ascii="Times New Roman" w:eastAsia="Times New Roman" w:hAnsi="Times New Roman" w:cs="Times New Roman"/>
          <w:noProof/>
          <w:color w:val="000000" w:themeColor="text1"/>
          <w:sz w:val="24"/>
          <w:szCs w:val="24"/>
        </w:rPr>
        <w:t xml:space="preserve"> in 2022-2023 as rates rose</w:t>
      </w:r>
      <w:r w:rsidR="00F90E85">
        <w:rPr>
          <w:rFonts w:ascii="Times New Roman" w:eastAsia="Times New Roman" w:hAnsi="Times New Roman" w:cs="Times New Roman"/>
          <w:noProof/>
          <w:color w:val="000000" w:themeColor="text1"/>
          <w:sz w:val="24"/>
          <w:szCs w:val="24"/>
        </w:rPr>
        <w:t>, have since drifted back toward pre-crisis level</w:t>
      </w:r>
      <w:r w:rsidR="00BD1EA1">
        <w:rPr>
          <w:rFonts w:ascii="Times New Roman" w:eastAsia="Times New Roman" w:hAnsi="Times New Roman" w:cs="Times New Roman"/>
          <w:noProof/>
          <w:color w:val="000000" w:themeColor="text1"/>
          <w:sz w:val="24"/>
          <w:szCs w:val="24"/>
        </w:rPr>
        <w:t>s, with only a slight uptick</w:t>
      </w:r>
      <w:r w:rsidR="00080F91">
        <w:rPr>
          <w:rFonts w:ascii="Times New Roman" w:eastAsia="Times New Roman" w:hAnsi="Times New Roman" w:cs="Times New Roman"/>
          <w:noProof/>
          <w:color w:val="000000" w:themeColor="text1"/>
          <w:sz w:val="24"/>
          <w:szCs w:val="24"/>
        </w:rPr>
        <w:t xml:space="preserve"> in consumer credit rejections over the past year</w:t>
      </w:r>
      <w:r w:rsidR="00D316EC">
        <w:rPr>
          <w:rFonts w:ascii="Times New Roman" w:eastAsia="Times New Roman" w:hAnsi="Times New Roman" w:cs="Times New Roman"/>
          <w:noProof/>
          <w:color w:val="000000" w:themeColor="text1"/>
          <w:sz w:val="24"/>
          <w:szCs w:val="24"/>
        </w:rPr>
        <w:t>.</w:t>
      </w:r>
      <w:r w:rsidR="00943869">
        <w:rPr>
          <w:rFonts w:ascii="Times New Roman" w:eastAsia="Times New Roman" w:hAnsi="Times New Roman" w:cs="Times New Roman"/>
          <w:noProof/>
          <w:color w:val="000000" w:themeColor="text1"/>
          <w:sz w:val="24"/>
          <w:szCs w:val="24"/>
        </w:rPr>
        <w:t xml:space="preserve"> </w:t>
      </w:r>
      <w:r w:rsidR="009410E8" w:rsidRPr="001752EA">
        <w:rPr>
          <w:rFonts w:ascii="Times New Roman" w:eastAsia="Times New Roman" w:hAnsi="Times New Roman" w:cs="Times New Roman"/>
          <w:noProof/>
          <w:color w:val="000000" w:themeColor="text1"/>
          <w:sz w:val="24"/>
          <w:szCs w:val="24"/>
        </w:rPr>
        <w:t>At corporate level</w:t>
      </w:r>
      <w:r w:rsidR="00681949" w:rsidRPr="001752EA">
        <w:rPr>
          <w:rFonts w:ascii="Times New Roman" w:eastAsia="Times New Roman" w:hAnsi="Times New Roman" w:cs="Times New Roman"/>
          <w:noProof/>
          <w:color w:val="000000" w:themeColor="text1"/>
          <w:sz w:val="24"/>
          <w:szCs w:val="24"/>
        </w:rPr>
        <w:t xml:space="preserve">, </w:t>
      </w:r>
      <w:r w:rsidR="006D3BBF" w:rsidRPr="001752EA">
        <w:rPr>
          <w:rFonts w:ascii="Times New Roman" w:eastAsia="Times New Roman" w:hAnsi="Times New Roman" w:cs="Times New Roman"/>
          <w:noProof/>
          <w:color w:val="000000" w:themeColor="text1"/>
          <w:sz w:val="24"/>
          <w:szCs w:val="24"/>
        </w:rPr>
        <w:t xml:space="preserve">actual </w:t>
      </w:r>
      <w:r w:rsidR="00F35DFD" w:rsidRPr="00002078">
        <w:rPr>
          <w:rFonts w:ascii="Times New Roman" w:eastAsia="Times New Roman" w:hAnsi="Times New Roman" w:cs="Times New Roman"/>
          <w:noProof/>
          <w:color w:val="000000" w:themeColor="text1"/>
          <w:sz w:val="24"/>
          <w:szCs w:val="24"/>
        </w:rPr>
        <w:t xml:space="preserve">loan </w:t>
      </w:r>
      <w:r w:rsidR="006D3BBF" w:rsidRPr="001752EA">
        <w:rPr>
          <w:rFonts w:ascii="Times New Roman" w:eastAsia="Times New Roman" w:hAnsi="Times New Roman" w:cs="Times New Roman"/>
          <w:noProof/>
          <w:color w:val="000000" w:themeColor="text1"/>
          <w:sz w:val="24"/>
          <w:szCs w:val="24"/>
        </w:rPr>
        <w:t>refusals remain ra</w:t>
      </w:r>
      <w:r w:rsidR="004F3F9B" w:rsidRPr="00002078">
        <w:rPr>
          <w:rFonts w:ascii="Times New Roman" w:eastAsia="Times New Roman" w:hAnsi="Times New Roman" w:cs="Times New Roman"/>
          <w:noProof/>
          <w:color w:val="000000" w:themeColor="text1"/>
          <w:sz w:val="24"/>
          <w:szCs w:val="24"/>
        </w:rPr>
        <w:t>r</w:t>
      </w:r>
      <w:r w:rsidR="006D3BBF" w:rsidRPr="001752EA">
        <w:rPr>
          <w:rFonts w:ascii="Times New Roman" w:eastAsia="Times New Roman" w:hAnsi="Times New Roman" w:cs="Times New Roman"/>
          <w:noProof/>
          <w:color w:val="000000" w:themeColor="text1"/>
          <w:sz w:val="24"/>
          <w:szCs w:val="24"/>
        </w:rPr>
        <w:t>e, with only 1% of firms having a loan request rejected in 2025 (down from 3% in 2024)</w:t>
      </w:r>
      <w:r w:rsidR="000A10B0" w:rsidRPr="001752EA">
        <w:rPr>
          <w:rFonts w:ascii="Times New Roman" w:eastAsia="Times New Roman" w:hAnsi="Times New Roman" w:cs="Times New Roman"/>
          <w:noProof/>
          <w:color w:val="000000" w:themeColor="text1"/>
          <w:sz w:val="24"/>
          <w:szCs w:val="24"/>
        </w:rPr>
        <w:t xml:space="preserve"> and overall obstacles </w:t>
      </w:r>
      <w:r w:rsidR="005D1D7C" w:rsidRPr="001752EA">
        <w:rPr>
          <w:rFonts w:ascii="Times New Roman" w:eastAsia="Times New Roman" w:hAnsi="Times New Roman" w:cs="Times New Roman"/>
          <w:noProof/>
          <w:color w:val="000000" w:themeColor="text1"/>
          <w:sz w:val="24"/>
          <w:szCs w:val="24"/>
        </w:rPr>
        <w:t>to obtaining a bank loan (incl. rejections</w:t>
      </w:r>
      <w:r w:rsidR="00EC1701" w:rsidRPr="001752EA">
        <w:rPr>
          <w:rFonts w:ascii="Times New Roman" w:eastAsia="Times New Roman" w:hAnsi="Times New Roman" w:cs="Times New Roman"/>
          <w:noProof/>
          <w:color w:val="000000" w:themeColor="text1"/>
          <w:sz w:val="24"/>
          <w:szCs w:val="24"/>
        </w:rPr>
        <w:t>, declined offers, and partial approvals) fell to 7% from 15% over the same period.</w:t>
      </w:r>
      <w:r w:rsidR="00296A9C" w:rsidRPr="00002078">
        <w:rPr>
          <w:rFonts w:ascii="Times New Roman" w:eastAsia="Times New Roman" w:hAnsi="Times New Roman" w:cs="Times New Roman"/>
          <w:noProof/>
          <w:sz w:val="24"/>
          <w:szCs w:val="24"/>
        </w:rPr>
        <w:t xml:space="preserve"> </w:t>
      </w:r>
      <w:r w:rsidR="0085614D" w:rsidRPr="00DC7270">
        <w:rPr>
          <w:rFonts w:ascii="Times New Roman" w:eastAsia="Times New Roman" w:hAnsi="Times New Roman" w:cs="Times New Roman"/>
          <w:b/>
          <w:bCs/>
          <w:noProof/>
          <w:color w:val="000000" w:themeColor="text1"/>
          <w:sz w:val="24"/>
          <w:szCs w:val="24"/>
        </w:rPr>
        <w:t xml:space="preserve">This improvement however coincides with a longer-run </w:t>
      </w:r>
      <w:r w:rsidR="00640629" w:rsidRPr="00DC7270">
        <w:rPr>
          <w:rFonts w:ascii="Times New Roman" w:eastAsia="Times New Roman" w:hAnsi="Times New Roman" w:cs="Times New Roman"/>
          <w:b/>
          <w:bCs/>
          <w:noProof/>
          <w:color w:val="000000" w:themeColor="text1"/>
          <w:sz w:val="24"/>
          <w:szCs w:val="24"/>
        </w:rPr>
        <w:t>decline in loan demand itself</w:t>
      </w:r>
      <w:r w:rsidR="00E51DFD" w:rsidRPr="001752EA">
        <w:rPr>
          <w:rFonts w:ascii="Times New Roman" w:eastAsia="Times New Roman" w:hAnsi="Times New Roman" w:cs="Times New Roman"/>
          <w:noProof/>
          <w:color w:val="000000" w:themeColor="text1"/>
          <w:sz w:val="24"/>
          <w:szCs w:val="24"/>
        </w:rPr>
        <w:t>. The share of EU corporates</w:t>
      </w:r>
      <w:r w:rsidR="004F46A2" w:rsidRPr="001752EA">
        <w:rPr>
          <w:rFonts w:ascii="Times New Roman" w:eastAsia="Times New Roman" w:hAnsi="Times New Roman" w:cs="Times New Roman"/>
          <w:noProof/>
          <w:color w:val="000000" w:themeColor="text1"/>
          <w:sz w:val="24"/>
          <w:szCs w:val="24"/>
        </w:rPr>
        <w:t xml:space="preserve"> applying from bank credit has fallen from 34% to 24% </w:t>
      </w:r>
      <w:r w:rsidR="001D7448" w:rsidRPr="001752EA">
        <w:rPr>
          <w:rFonts w:ascii="Times New Roman" w:eastAsia="Times New Roman" w:hAnsi="Times New Roman" w:cs="Times New Roman"/>
          <w:noProof/>
          <w:color w:val="000000" w:themeColor="text1"/>
          <w:sz w:val="24"/>
          <w:szCs w:val="24"/>
        </w:rPr>
        <w:t>since</w:t>
      </w:r>
      <w:r w:rsidR="004F46A2" w:rsidRPr="001752EA">
        <w:rPr>
          <w:rFonts w:ascii="Times New Roman" w:eastAsia="Times New Roman" w:hAnsi="Times New Roman" w:cs="Times New Roman"/>
          <w:noProof/>
          <w:color w:val="000000" w:themeColor="text1"/>
          <w:sz w:val="24"/>
          <w:szCs w:val="24"/>
        </w:rPr>
        <w:t xml:space="preserve"> 2014, suggesting </w:t>
      </w:r>
      <w:r w:rsidR="001D7448" w:rsidRPr="001752EA">
        <w:rPr>
          <w:rFonts w:ascii="Times New Roman" w:eastAsia="Times New Roman" w:hAnsi="Times New Roman" w:cs="Times New Roman"/>
          <w:noProof/>
          <w:color w:val="000000" w:themeColor="text1"/>
          <w:sz w:val="24"/>
          <w:szCs w:val="24"/>
        </w:rPr>
        <w:t>corporates</w:t>
      </w:r>
      <w:r w:rsidR="004F46A2" w:rsidRPr="001752EA">
        <w:rPr>
          <w:rFonts w:ascii="Times New Roman" w:eastAsia="Times New Roman" w:hAnsi="Times New Roman" w:cs="Times New Roman"/>
          <w:noProof/>
          <w:color w:val="000000" w:themeColor="text1"/>
          <w:sz w:val="24"/>
          <w:szCs w:val="24"/>
        </w:rPr>
        <w:t xml:space="preserve"> are relying less on bank finance rather than being squeezed out of it.</w:t>
      </w:r>
      <w:r w:rsidR="00633981" w:rsidRPr="001752EA">
        <w:rPr>
          <w:noProof/>
          <w:sz w:val="24"/>
          <w:szCs w:val="24"/>
        </w:rPr>
        <w:t xml:space="preserve"> </w:t>
      </w:r>
      <w:r w:rsidR="00B95375">
        <w:rPr>
          <w:rFonts w:ascii="Times New Roman" w:eastAsia="Times New Roman" w:hAnsi="Times New Roman" w:cs="Times New Roman"/>
          <w:noProof/>
          <w:color w:val="000000" w:themeColor="text1"/>
          <w:sz w:val="24"/>
          <w:szCs w:val="24"/>
        </w:rPr>
        <w:t>F</w:t>
      </w:r>
      <w:r w:rsidR="00B95375" w:rsidRPr="0036474B">
        <w:rPr>
          <w:rFonts w:ascii="Times New Roman" w:eastAsia="Times New Roman" w:hAnsi="Times New Roman" w:cs="Times New Roman"/>
          <w:noProof/>
          <w:color w:val="000000" w:themeColor="text1"/>
          <w:sz w:val="24"/>
          <w:szCs w:val="24"/>
        </w:rPr>
        <w:t>or firms that did not apply for bank loans, the most frequently cited reason was that they considered their internal funds to be sufficient to support their business plans</w:t>
      </w:r>
      <w:r w:rsidR="00B95375">
        <w:rPr>
          <w:rFonts w:ascii="Times New Roman" w:eastAsia="Times New Roman" w:hAnsi="Times New Roman" w:cs="Times New Roman"/>
          <w:noProof/>
          <w:color w:val="000000" w:themeColor="text1"/>
          <w:sz w:val="24"/>
          <w:szCs w:val="24"/>
        </w:rPr>
        <w:t xml:space="preserve">. </w:t>
      </w:r>
      <w:r w:rsidR="000B31DF" w:rsidRPr="001752EA">
        <w:rPr>
          <w:rFonts w:ascii="Times New Roman" w:hAnsi="Times New Roman" w:cs="Times New Roman"/>
          <w:noProof/>
          <w:sz w:val="24"/>
          <w:szCs w:val="24"/>
        </w:rPr>
        <w:t xml:space="preserve">Crucially, these constraints are </w:t>
      </w:r>
      <w:r w:rsidR="0087659F" w:rsidRPr="001752EA">
        <w:rPr>
          <w:rFonts w:ascii="Times New Roman" w:hAnsi="Times New Roman" w:cs="Times New Roman"/>
          <w:noProof/>
          <w:sz w:val="24"/>
          <w:szCs w:val="24"/>
        </w:rPr>
        <w:t>heterogeneous among Member States</w:t>
      </w:r>
      <w:r w:rsidR="00457778" w:rsidRPr="001752EA">
        <w:rPr>
          <w:rFonts w:ascii="Times New Roman" w:hAnsi="Times New Roman" w:cs="Times New Roman"/>
          <w:noProof/>
          <w:sz w:val="24"/>
          <w:szCs w:val="24"/>
        </w:rPr>
        <w:t xml:space="preserve"> and remain systematically higher for SMEs than for large firms</w:t>
      </w:r>
      <w:r w:rsidR="00D9220D" w:rsidRPr="001752EA">
        <w:rPr>
          <w:rFonts w:ascii="Times New Roman" w:hAnsi="Times New Roman" w:cs="Times New Roman"/>
          <w:noProof/>
          <w:sz w:val="24"/>
          <w:szCs w:val="24"/>
        </w:rPr>
        <w:t>, indicating that credit subduedness is concentrated among specific borrower segments and jurisdictions rather than reflecting a broad-based supply crun</w:t>
      </w:r>
      <w:r w:rsidR="008A6353" w:rsidRPr="001752EA">
        <w:rPr>
          <w:rFonts w:ascii="Times New Roman" w:hAnsi="Times New Roman" w:cs="Times New Roman"/>
          <w:noProof/>
          <w:sz w:val="24"/>
          <w:szCs w:val="24"/>
        </w:rPr>
        <w:t>ch</w:t>
      </w:r>
      <w:r w:rsidR="00D9220D" w:rsidRPr="001752EA">
        <w:rPr>
          <w:rFonts w:ascii="Times New Roman" w:hAnsi="Times New Roman" w:cs="Times New Roman"/>
          <w:noProof/>
          <w:sz w:val="24"/>
          <w:szCs w:val="24"/>
        </w:rPr>
        <w:t>.</w:t>
      </w:r>
    </w:p>
    <w:p w14:paraId="1BEB02F7" w14:textId="77777777" w:rsidR="00C44D44" w:rsidRDefault="00C44D44" w:rsidP="008F7955">
      <w:pPr>
        <w:keepNext/>
        <w:spacing w:before="80" w:after="80" w:line="276" w:lineRule="auto"/>
        <w:jc w:val="both"/>
        <w:rPr>
          <w:noProof/>
        </w:rPr>
      </w:pPr>
    </w:p>
    <w:p w14:paraId="7DD284D3" w14:textId="2BEE79B2" w:rsidR="00AD3C84" w:rsidRPr="001752EA" w:rsidRDefault="00AD3C84" w:rsidP="001752EA">
      <w:pPr>
        <w:pStyle w:val="Caption"/>
        <w:keepNext/>
        <w:jc w:val="both"/>
        <w:rPr>
          <w:rFonts w:ascii="Times New Roman" w:hAnsi="Times New Roman" w:cs="Times New Roman"/>
          <w:noProof/>
          <w:color w:val="auto"/>
          <w:sz w:val="24"/>
          <w:szCs w:val="24"/>
        </w:rPr>
      </w:pPr>
      <w:r w:rsidRPr="001752EA">
        <w:rPr>
          <w:rFonts w:ascii="Times New Roman" w:hAnsi="Times New Roman" w:cs="Times New Roman"/>
          <w:noProof/>
          <w:color w:val="auto"/>
          <w:sz w:val="24"/>
          <w:szCs w:val="24"/>
        </w:rPr>
        <w:t xml:space="preserve">Figure </w:t>
      </w:r>
      <w:r w:rsidR="005D02D4">
        <w:rPr>
          <w:rFonts w:ascii="Times New Roman" w:hAnsi="Times New Roman" w:cs="Times New Roman"/>
          <w:noProof/>
          <w:color w:val="auto"/>
          <w:sz w:val="24"/>
          <w:szCs w:val="24"/>
        </w:rPr>
        <w:t>6</w:t>
      </w:r>
      <w:r w:rsidRPr="001752EA">
        <w:rPr>
          <w:rFonts w:ascii="Times New Roman" w:hAnsi="Times New Roman" w:cs="Times New Roman"/>
          <w:noProof/>
          <w:color w:val="auto"/>
          <w:sz w:val="24"/>
          <w:szCs w:val="24"/>
        </w:rPr>
        <w:t xml:space="preserve"> - Bank loan applications</w:t>
      </w:r>
    </w:p>
    <w:p w14:paraId="61333FAB" w14:textId="6B5BB1EE" w:rsidR="00C44D44" w:rsidRDefault="00C44D44" w:rsidP="001752EA">
      <w:pPr>
        <w:keepNext/>
        <w:spacing w:before="80" w:after="80" w:line="276" w:lineRule="auto"/>
        <w:jc w:val="both"/>
        <w:rPr>
          <w:noProof/>
        </w:rPr>
      </w:pPr>
      <w:r>
        <w:rPr>
          <w:noProof/>
          <w:lang w:val="en-GB" w:eastAsia="en-GB"/>
        </w:rPr>
        <w:drawing>
          <wp:inline distT="0" distB="0" distL="0" distR="0" wp14:anchorId="37C5F7F7" wp14:editId="261A830F">
            <wp:extent cx="5740842" cy="3673096"/>
            <wp:effectExtent l="0" t="0" r="0" b="3810"/>
            <wp:docPr id="1804008016"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008016" name="Picture 1" descr="A screenshot of a graph&#10;&#10;AI-generated content may be incorrect."/>
                    <pic:cNvPicPr>
                      <a:picLocks noChangeAspect="1"/>
                    </pic:cNvPicPr>
                  </pic:nvPicPr>
                  <pic:blipFill>
                    <a:blip r:embed="rId21"/>
                    <a:stretch>
                      <a:fillRect/>
                    </a:stretch>
                  </pic:blipFill>
                  <pic:spPr>
                    <a:xfrm>
                      <a:off x="0" y="0"/>
                      <a:ext cx="5758490" cy="3684388"/>
                    </a:xfrm>
                    <a:prstGeom prst="rect">
                      <a:avLst/>
                    </a:prstGeom>
                  </pic:spPr>
                </pic:pic>
              </a:graphicData>
            </a:graphic>
          </wp:inline>
        </w:drawing>
      </w:r>
    </w:p>
    <w:p w14:paraId="3C0CE778" w14:textId="184FFEF9" w:rsidR="008F7955" w:rsidRPr="001752EA" w:rsidRDefault="008F7955" w:rsidP="001752EA">
      <w:pPr>
        <w:rPr>
          <w:rFonts w:ascii="Times New Roman" w:hAnsi="Times New Roman" w:cs="Times New Roman"/>
          <w:i/>
          <w:iCs/>
          <w:noProof/>
          <w:sz w:val="24"/>
          <w:szCs w:val="24"/>
        </w:rPr>
      </w:pPr>
      <w:r w:rsidRPr="001752EA">
        <w:rPr>
          <w:rFonts w:ascii="Times New Roman" w:hAnsi="Times New Roman" w:cs="Times New Roman"/>
          <w:i/>
          <w:iCs/>
          <w:noProof/>
          <w:sz w:val="24"/>
          <w:szCs w:val="24"/>
        </w:rPr>
        <w:t>Source: EBA</w:t>
      </w:r>
      <w:r w:rsidR="00715278" w:rsidRPr="001752EA">
        <w:rPr>
          <w:rFonts w:ascii="Times New Roman" w:hAnsi="Times New Roman" w:cs="Times New Roman"/>
          <w:i/>
          <w:iCs/>
          <w:noProof/>
          <w:sz w:val="24"/>
          <w:szCs w:val="24"/>
        </w:rPr>
        <w:t>/ECB</w:t>
      </w:r>
      <w:r w:rsidRPr="001752EA">
        <w:rPr>
          <w:rFonts w:ascii="Times New Roman" w:hAnsi="Times New Roman" w:cs="Times New Roman"/>
          <w:i/>
          <w:iCs/>
          <w:noProof/>
          <w:sz w:val="24"/>
          <w:szCs w:val="24"/>
        </w:rPr>
        <w:t xml:space="preserve"> data.</w:t>
      </w:r>
    </w:p>
    <w:p w14:paraId="20E600D0" w14:textId="22CD5CED" w:rsidR="2F5C8381" w:rsidRPr="008F7955" w:rsidRDefault="2F5C8381" w:rsidP="1F722A72">
      <w:pPr>
        <w:spacing w:before="80" w:after="80" w:line="276" w:lineRule="auto"/>
        <w:jc w:val="both"/>
        <w:rPr>
          <w:rFonts w:ascii="Times New Roman" w:eastAsia="Times New Roman" w:hAnsi="Times New Roman" w:cs="Times New Roman"/>
          <w:noProof/>
          <w:color w:val="000000" w:themeColor="text1"/>
          <w:sz w:val="24"/>
          <w:szCs w:val="24"/>
          <w:lang w:val="en-GB"/>
        </w:rPr>
      </w:pPr>
    </w:p>
    <w:p w14:paraId="45F4DA07" w14:textId="2B6F05D6" w:rsidR="00840460" w:rsidRPr="001752EA" w:rsidRDefault="28ED7D8F" w:rsidP="00B00C18">
      <w:pPr>
        <w:pStyle w:val="ListParagraph"/>
        <w:numPr>
          <w:ilvl w:val="2"/>
          <w:numId w:val="11"/>
        </w:numPr>
        <w:ind w:left="1077"/>
        <w:outlineLvl w:val="2"/>
        <w:rPr>
          <w:rFonts w:ascii="Times New Roman" w:hAnsi="Times New Roman" w:cs="Times New Roman"/>
          <w:b/>
          <w:noProof/>
          <w:sz w:val="24"/>
          <w:szCs w:val="24"/>
          <w:lang w:val="en-GB"/>
        </w:rPr>
      </w:pPr>
      <w:bookmarkStart w:id="14" w:name="_Toc1337289299"/>
      <w:bookmarkStart w:id="15" w:name="_Toc234341724"/>
      <w:r w:rsidRPr="001752EA">
        <w:rPr>
          <w:rFonts w:ascii="Times New Roman" w:hAnsi="Times New Roman" w:cs="Times New Roman"/>
          <w:b/>
          <w:noProof/>
          <w:sz w:val="24"/>
          <w:szCs w:val="24"/>
          <w:lang w:val="en-GB"/>
        </w:rPr>
        <w:t>Productivity and bank lending</w:t>
      </w:r>
      <w:bookmarkEnd w:id="14"/>
      <w:bookmarkEnd w:id="15"/>
    </w:p>
    <w:p w14:paraId="5454EE91" w14:textId="4DB42A7A" w:rsidR="4A2FFC03" w:rsidRPr="00064CC0" w:rsidRDefault="28ED7D8F" w:rsidP="001943FD">
      <w:pPr>
        <w:jc w:val="both"/>
        <w:rPr>
          <w:rFonts w:ascii="Times New Roman" w:eastAsia="Times New Roman" w:hAnsi="Times New Roman" w:cs="Times New Roman"/>
          <w:noProof/>
          <w:color w:val="000000" w:themeColor="text1"/>
          <w:sz w:val="24"/>
          <w:szCs w:val="24"/>
          <w:vertAlign w:val="superscript"/>
        </w:rPr>
      </w:pPr>
      <w:bookmarkStart w:id="16" w:name="_Toc1450175486"/>
      <w:r w:rsidRPr="4EB84919">
        <w:rPr>
          <w:rFonts w:ascii="Times New Roman" w:eastAsia="Times New Roman" w:hAnsi="Times New Roman" w:cs="Times New Roman"/>
          <w:b/>
          <w:bCs/>
          <w:noProof/>
          <w:color w:val="000000" w:themeColor="text1"/>
          <w:sz w:val="24"/>
          <w:szCs w:val="24"/>
        </w:rPr>
        <w:t>Total factor productivity (TFP) growth</w:t>
      </w:r>
      <w:r w:rsidR="00DD27AA" w:rsidRPr="4EB84919">
        <w:rPr>
          <w:rFonts w:ascii="Times New Roman" w:eastAsia="Times New Roman" w:hAnsi="Times New Roman" w:cs="Times New Roman"/>
          <w:b/>
          <w:bCs/>
          <w:noProof/>
          <w:color w:val="000000" w:themeColor="text1"/>
          <w:sz w:val="24"/>
          <w:szCs w:val="24"/>
        </w:rPr>
        <w:t xml:space="preserve"> in the European Union</w:t>
      </w:r>
      <w:r w:rsidR="007819F9" w:rsidRPr="0036474B">
        <w:rPr>
          <w:rFonts w:ascii="Times New Roman" w:eastAsia="Times New Roman" w:hAnsi="Times New Roman" w:cs="Times New Roman"/>
          <w:b/>
          <w:bCs/>
          <w:noProof/>
          <w:color w:val="000000" w:themeColor="text1"/>
          <w:sz w:val="24"/>
          <w:szCs w:val="24"/>
        </w:rPr>
        <w:t xml:space="preserve">, a key variable related </w:t>
      </w:r>
      <w:r w:rsidR="00BE1E17" w:rsidRPr="0036474B">
        <w:rPr>
          <w:rFonts w:ascii="Times New Roman" w:eastAsia="Times New Roman" w:hAnsi="Times New Roman" w:cs="Times New Roman"/>
          <w:b/>
          <w:bCs/>
          <w:noProof/>
          <w:color w:val="000000" w:themeColor="text1"/>
          <w:sz w:val="24"/>
          <w:szCs w:val="24"/>
        </w:rPr>
        <w:t xml:space="preserve">to </w:t>
      </w:r>
      <w:r w:rsidR="007819F9" w:rsidRPr="0036474B">
        <w:rPr>
          <w:rFonts w:ascii="Times New Roman" w:eastAsia="Times New Roman" w:hAnsi="Times New Roman" w:cs="Times New Roman"/>
          <w:b/>
          <w:bCs/>
          <w:noProof/>
          <w:color w:val="000000" w:themeColor="text1"/>
          <w:sz w:val="24"/>
          <w:szCs w:val="24"/>
        </w:rPr>
        <w:t xml:space="preserve">long term economic growth and </w:t>
      </w:r>
      <w:r w:rsidR="006E17BF" w:rsidRPr="4EB84919">
        <w:rPr>
          <w:rFonts w:ascii="Times New Roman" w:eastAsia="Times New Roman" w:hAnsi="Times New Roman" w:cs="Times New Roman"/>
          <w:b/>
          <w:bCs/>
          <w:noProof/>
          <w:color w:val="000000" w:themeColor="text1"/>
          <w:sz w:val="24"/>
          <w:szCs w:val="24"/>
        </w:rPr>
        <w:t>development, has</w:t>
      </w:r>
      <w:r w:rsidRPr="4EB84919">
        <w:rPr>
          <w:rFonts w:ascii="Times New Roman" w:eastAsia="Times New Roman" w:hAnsi="Times New Roman" w:cs="Times New Roman"/>
          <w:b/>
          <w:bCs/>
          <w:noProof/>
          <w:color w:val="000000" w:themeColor="text1"/>
          <w:sz w:val="24"/>
          <w:szCs w:val="24"/>
        </w:rPr>
        <w:t xml:space="preserve"> </w:t>
      </w:r>
      <w:r w:rsidR="0065345B" w:rsidRPr="4EB84919">
        <w:rPr>
          <w:rFonts w:ascii="Times New Roman" w:eastAsia="Times New Roman" w:hAnsi="Times New Roman" w:cs="Times New Roman"/>
          <w:b/>
          <w:bCs/>
          <w:noProof/>
          <w:color w:val="000000" w:themeColor="text1"/>
          <w:sz w:val="24"/>
          <w:szCs w:val="24"/>
        </w:rPr>
        <w:t xml:space="preserve">slowed down </w:t>
      </w:r>
      <w:r w:rsidR="00A423AD" w:rsidRPr="4EB84919">
        <w:rPr>
          <w:rFonts w:ascii="Times New Roman" w:eastAsia="Times New Roman" w:hAnsi="Times New Roman" w:cs="Times New Roman"/>
          <w:b/>
          <w:bCs/>
          <w:noProof/>
          <w:color w:val="000000" w:themeColor="text1"/>
          <w:sz w:val="24"/>
          <w:szCs w:val="24"/>
        </w:rPr>
        <w:t>since 2000</w:t>
      </w:r>
      <w:r w:rsidR="00A423AD">
        <w:rPr>
          <w:rStyle w:val="FootnoteReference"/>
          <w:rFonts w:ascii="Times New Roman" w:eastAsia="Times New Roman" w:hAnsi="Times New Roman" w:cs="Times New Roman"/>
          <w:b/>
          <w:noProof/>
          <w:color w:val="000000" w:themeColor="text1"/>
          <w:sz w:val="24"/>
          <w:szCs w:val="24"/>
        </w:rPr>
        <w:footnoteReference w:id="15"/>
      </w:r>
      <w:r w:rsidR="00A423AD" w:rsidRPr="4EB84919">
        <w:rPr>
          <w:rFonts w:ascii="Times New Roman" w:eastAsia="Times New Roman" w:hAnsi="Times New Roman" w:cs="Times New Roman"/>
          <w:b/>
          <w:bCs/>
          <w:noProof/>
          <w:color w:val="000000" w:themeColor="text1"/>
          <w:sz w:val="24"/>
          <w:szCs w:val="24"/>
        </w:rPr>
        <w:t xml:space="preserve"> and has </w:t>
      </w:r>
      <w:r w:rsidRPr="4EB84919">
        <w:rPr>
          <w:rFonts w:ascii="Times New Roman" w:eastAsia="Times New Roman" w:hAnsi="Times New Roman" w:cs="Times New Roman"/>
          <w:b/>
          <w:bCs/>
          <w:noProof/>
          <w:color w:val="000000" w:themeColor="text1"/>
          <w:sz w:val="24"/>
          <w:szCs w:val="24"/>
        </w:rPr>
        <w:t>lagged significantly behind that of the United States over recent decades</w:t>
      </w:r>
      <w:r w:rsidRPr="0036474B">
        <w:rPr>
          <w:rFonts w:ascii="Times New Roman" w:eastAsia="Times New Roman" w:hAnsi="Times New Roman" w:cs="Times New Roman"/>
          <w:noProof/>
          <w:color w:val="000000" w:themeColor="text1"/>
          <w:sz w:val="24"/>
          <w:szCs w:val="24"/>
        </w:rPr>
        <w:t xml:space="preserve">. This productivity gap, which compounds over time into a substantial competitiveness disadvantage, has multiple drivers, but the role of finance and capital allocation is recognised as a </w:t>
      </w:r>
      <w:r w:rsidR="00343E85">
        <w:rPr>
          <w:rFonts w:ascii="Times New Roman" w:eastAsia="Times New Roman" w:hAnsi="Times New Roman" w:cs="Times New Roman"/>
          <w:noProof/>
          <w:color w:val="000000" w:themeColor="text1"/>
          <w:sz w:val="24"/>
          <w:szCs w:val="24"/>
        </w:rPr>
        <w:t>contributing</w:t>
      </w:r>
      <w:r w:rsidR="00343E85" w:rsidRPr="0036474B">
        <w:rPr>
          <w:rFonts w:ascii="Times New Roman" w:eastAsia="Times New Roman" w:hAnsi="Times New Roman" w:cs="Times New Roman"/>
          <w:noProof/>
          <w:color w:val="000000" w:themeColor="text1"/>
          <w:sz w:val="24"/>
          <w:szCs w:val="24"/>
        </w:rPr>
        <w:t xml:space="preserve"> </w:t>
      </w:r>
      <w:r w:rsidRPr="0036474B">
        <w:rPr>
          <w:rFonts w:ascii="Times New Roman" w:eastAsia="Times New Roman" w:hAnsi="Times New Roman" w:cs="Times New Roman"/>
          <w:noProof/>
          <w:color w:val="000000" w:themeColor="text1"/>
          <w:sz w:val="24"/>
          <w:szCs w:val="24"/>
        </w:rPr>
        <w:t>factor. Evidence cited in the ECB</w:t>
      </w:r>
      <w:r w:rsidR="0011485F" w:rsidRPr="4EB84919">
        <w:rPr>
          <w:rFonts w:ascii="Times New Roman" w:eastAsia="Times New Roman" w:hAnsi="Times New Roman" w:cs="Times New Roman"/>
          <w:noProof/>
          <w:color w:val="000000" w:themeColor="text1"/>
          <w:sz w:val="24"/>
          <w:szCs w:val="24"/>
        </w:rPr>
        <w:t>’</w:t>
      </w:r>
      <w:r w:rsidRPr="0036474B">
        <w:rPr>
          <w:rFonts w:ascii="Times New Roman" w:eastAsia="Times New Roman" w:hAnsi="Times New Roman" w:cs="Times New Roman"/>
          <w:noProof/>
          <w:color w:val="000000" w:themeColor="text1"/>
          <w:sz w:val="24"/>
          <w:szCs w:val="24"/>
        </w:rPr>
        <w:t xml:space="preserve">s Financial Stability Review special feature on firm productivity underscores the </w:t>
      </w:r>
      <w:r w:rsidR="00691ABE" w:rsidRPr="4EB84919">
        <w:rPr>
          <w:rFonts w:ascii="Times New Roman" w:eastAsia="Times New Roman" w:hAnsi="Times New Roman" w:cs="Times New Roman"/>
          <w:noProof/>
          <w:color w:val="000000" w:themeColor="text1"/>
          <w:sz w:val="24"/>
          <w:szCs w:val="24"/>
        </w:rPr>
        <w:t xml:space="preserve">non-linear </w:t>
      </w:r>
      <w:r w:rsidRPr="0036474B">
        <w:rPr>
          <w:rFonts w:ascii="Times New Roman" w:eastAsia="Times New Roman" w:hAnsi="Times New Roman" w:cs="Times New Roman"/>
          <w:noProof/>
          <w:color w:val="000000" w:themeColor="text1"/>
          <w:sz w:val="24"/>
          <w:szCs w:val="24"/>
        </w:rPr>
        <w:t>relationship between bank lending and aggregate TFP</w:t>
      </w:r>
      <w:r w:rsidR="4A2FFC03" w:rsidRPr="00064CC0">
        <w:rPr>
          <w:rFonts w:ascii="Times New Roman" w:eastAsia="Times New Roman" w:hAnsi="Times New Roman" w:cs="Times New Roman"/>
          <w:noProof/>
          <w:color w:val="000000" w:themeColor="text1"/>
          <w:sz w:val="24"/>
          <w:szCs w:val="24"/>
          <w:vertAlign w:val="superscript"/>
        </w:rPr>
        <w:footnoteReference w:id="16"/>
      </w:r>
      <w:bookmarkEnd w:id="16"/>
      <w:r w:rsidR="00691ABE" w:rsidRPr="4EB84919">
        <w:rPr>
          <w:rFonts w:ascii="Times New Roman" w:eastAsia="Times New Roman" w:hAnsi="Times New Roman" w:cs="Times New Roman"/>
          <w:noProof/>
          <w:color w:val="000000" w:themeColor="text1"/>
          <w:sz w:val="24"/>
          <w:szCs w:val="24"/>
        </w:rPr>
        <w:t xml:space="preserve">: </w:t>
      </w:r>
      <w:r w:rsidR="00A8289E" w:rsidRPr="4EB84919">
        <w:rPr>
          <w:rFonts w:ascii="Times New Roman" w:eastAsia="Times New Roman" w:hAnsi="Times New Roman" w:cs="Times New Roman"/>
          <w:noProof/>
          <w:color w:val="000000" w:themeColor="text1"/>
          <w:sz w:val="24"/>
          <w:szCs w:val="24"/>
        </w:rPr>
        <w:t>while efficient capital allocation can boost productivity, distortions in lending practices</w:t>
      </w:r>
      <w:r w:rsidR="00494F3E" w:rsidRPr="4EB84919">
        <w:rPr>
          <w:rFonts w:ascii="Times New Roman" w:eastAsia="Times New Roman" w:hAnsi="Times New Roman" w:cs="Times New Roman"/>
          <w:noProof/>
          <w:color w:val="000000" w:themeColor="text1"/>
          <w:sz w:val="24"/>
          <w:szCs w:val="24"/>
        </w:rPr>
        <w:t>, such as support for low-productivity inc</w:t>
      </w:r>
      <w:r w:rsidR="00C9312E" w:rsidRPr="4EB84919">
        <w:rPr>
          <w:rFonts w:ascii="Times New Roman" w:eastAsia="Times New Roman" w:hAnsi="Times New Roman" w:cs="Times New Roman"/>
          <w:noProof/>
          <w:color w:val="000000" w:themeColor="text1"/>
          <w:sz w:val="24"/>
          <w:szCs w:val="24"/>
        </w:rPr>
        <w:t>umbents or sectorial biases,</w:t>
      </w:r>
      <w:r w:rsidR="00A8289E" w:rsidRPr="4EB84919">
        <w:rPr>
          <w:rFonts w:ascii="Times New Roman" w:eastAsia="Times New Roman" w:hAnsi="Times New Roman" w:cs="Times New Roman"/>
          <w:noProof/>
          <w:color w:val="000000" w:themeColor="text1"/>
          <w:sz w:val="24"/>
          <w:szCs w:val="24"/>
        </w:rPr>
        <w:t xml:space="preserve"> </w:t>
      </w:r>
      <w:r w:rsidR="006525BB" w:rsidRPr="4EB84919">
        <w:rPr>
          <w:rFonts w:ascii="Times New Roman" w:eastAsia="Times New Roman" w:hAnsi="Times New Roman" w:cs="Times New Roman"/>
          <w:noProof/>
          <w:color w:val="000000" w:themeColor="text1"/>
          <w:sz w:val="24"/>
          <w:szCs w:val="24"/>
        </w:rPr>
        <w:t xml:space="preserve">may instead hinder it. </w:t>
      </w:r>
    </w:p>
    <w:p w14:paraId="3E4C0BE1" w14:textId="6B7AA06D" w:rsidR="00DD4FC0" w:rsidRPr="001752EA" w:rsidRDefault="00DD4FC0" w:rsidP="001752EA">
      <w:pPr>
        <w:pStyle w:val="Caption"/>
        <w:keepNext/>
        <w:jc w:val="both"/>
        <w:rPr>
          <w:rFonts w:ascii="Times New Roman" w:hAnsi="Times New Roman" w:cs="Times New Roman"/>
          <w:noProof/>
          <w:color w:val="auto"/>
          <w:sz w:val="24"/>
          <w:szCs w:val="24"/>
        </w:rPr>
      </w:pPr>
      <w:r w:rsidRPr="001752EA">
        <w:rPr>
          <w:rFonts w:ascii="Times New Roman" w:hAnsi="Times New Roman" w:cs="Times New Roman"/>
          <w:noProof/>
          <w:color w:val="auto"/>
          <w:sz w:val="24"/>
          <w:szCs w:val="24"/>
        </w:rPr>
        <w:t xml:space="preserve">Figure </w:t>
      </w:r>
      <w:r w:rsidR="00F0664D">
        <w:rPr>
          <w:rFonts w:ascii="Times New Roman" w:hAnsi="Times New Roman" w:cs="Times New Roman"/>
          <w:noProof/>
          <w:color w:val="auto"/>
          <w:sz w:val="24"/>
          <w:szCs w:val="24"/>
        </w:rPr>
        <w:t>7</w:t>
      </w:r>
      <w:r w:rsidRPr="001752EA">
        <w:rPr>
          <w:rFonts w:ascii="Times New Roman" w:hAnsi="Times New Roman" w:cs="Times New Roman"/>
          <w:noProof/>
          <w:color w:val="auto"/>
          <w:sz w:val="24"/>
          <w:szCs w:val="24"/>
        </w:rPr>
        <w:t xml:space="preserve"> - Cumulative TFP growth: Euro Area vs. US</w:t>
      </w:r>
    </w:p>
    <w:p w14:paraId="115615CD" w14:textId="586BFE0E" w:rsidR="48A522D4" w:rsidRPr="0036474B" w:rsidRDefault="48A522D4" w:rsidP="64DFEA62">
      <w:pPr>
        <w:spacing w:before="80" w:after="80" w:line="276" w:lineRule="auto"/>
        <w:jc w:val="both"/>
        <w:rPr>
          <w:rFonts w:ascii="Times New Roman" w:hAnsi="Times New Roman" w:cs="Times New Roman"/>
          <w:noProof/>
          <w:sz w:val="24"/>
          <w:szCs w:val="24"/>
        </w:rPr>
      </w:pPr>
      <w:r w:rsidRPr="0036474B">
        <w:rPr>
          <w:rFonts w:ascii="Times New Roman" w:hAnsi="Times New Roman" w:cs="Times New Roman"/>
          <w:noProof/>
          <w:sz w:val="24"/>
          <w:szCs w:val="24"/>
          <w:lang w:val="en-GB" w:eastAsia="en-GB"/>
        </w:rPr>
        <w:drawing>
          <wp:inline distT="0" distB="0" distL="0" distR="0" wp14:anchorId="6ACD56F4" wp14:editId="7CEFD2BE">
            <wp:extent cx="2254667" cy="3229000"/>
            <wp:effectExtent l="0" t="0" r="0" b="1905"/>
            <wp:docPr id="11721804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180440" name="Picture 1172180440"/>
                    <pic:cNvPicPr/>
                  </pic:nvPicPr>
                  <pic:blipFill>
                    <a:blip r:embed="rId22">
                      <a:extLst>
                        <a:ext uri="{28A0092B-C50C-407E-A947-70E740481C1C}">
                          <a14:useLocalDpi xmlns:a14="http://schemas.microsoft.com/office/drawing/2010/main"/>
                        </a:ext>
                      </a:extLst>
                    </a:blip>
                    <a:srcRect t="29227"/>
                    <a:stretch>
                      <a:fillRect/>
                    </a:stretch>
                  </pic:blipFill>
                  <pic:spPr>
                    <a:xfrm>
                      <a:off x="0" y="0"/>
                      <a:ext cx="2254667" cy="3229000"/>
                    </a:xfrm>
                    <a:prstGeom prst="rect">
                      <a:avLst/>
                    </a:prstGeom>
                  </pic:spPr>
                </pic:pic>
              </a:graphicData>
            </a:graphic>
          </wp:inline>
        </w:drawing>
      </w:r>
    </w:p>
    <w:p w14:paraId="0AACA8FF" w14:textId="144D7CB5" w:rsidR="03BA749E" w:rsidRPr="001752EA" w:rsidRDefault="03BA749E" w:rsidP="67F139CE">
      <w:pPr>
        <w:spacing w:after="80"/>
        <w:rPr>
          <w:rFonts w:ascii="Times New Roman" w:eastAsia="Times New Roman" w:hAnsi="Times New Roman" w:cs="Times New Roman"/>
          <w:i/>
          <w:iCs/>
          <w:noProof/>
          <w:color w:val="000000" w:themeColor="text1"/>
          <w:sz w:val="24"/>
          <w:szCs w:val="24"/>
        </w:rPr>
      </w:pPr>
      <w:r w:rsidRPr="001752EA">
        <w:rPr>
          <w:rFonts w:ascii="Times New Roman" w:eastAsia="Times New Roman" w:hAnsi="Times New Roman" w:cs="Times New Roman"/>
          <w:i/>
          <w:iCs/>
          <w:noProof/>
          <w:color w:val="000000" w:themeColor="text1"/>
          <w:sz w:val="24"/>
          <w:szCs w:val="24"/>
        </w:rPr>
        <w:t xml:space="preserve">Source: </w:t>
      </w:r>
      <w:hyperlink r:id="rId23">
        <w:r w:rsidRPr="001752EA">
          <w:rPr>
            <w:rFonts w:ascii="Times New Roman" w:eastAsia="Times New Roman" w:hAnsi="Times New Roman" w:cs="Times New Roman"/>
            <w:i/>
            <w:iCs/>
            <w:noProof/>
            <w:color w:val="000000" w:themeColor="text1"/>
            <w:sz w:val="24"/>
            <w:szCs w:val="24"/>
          </w:rPr>
          <w:t>ECB Financial Stability Review</w:t>
        </w:r>
      </w:hyperlink>
      <w:r w:rsidRPr="001752EA">
        <w:rPr>
          <w:rFonts w:ascii="Times New Roman" w:eastAsia="Times New Roman" w:hAnsi="Times New Roman" w:cs="Times New Roman"/>
          <w:i/>
          <w:iCs/>
          <w:noProof/>
          <w:color w:val="000000" w:themeColor="text1"/>
          <w:sz w:val="24"/>
          <w:szCs w:val="24"/>
        </w:rPr>
        <w:t>, November 2024</w:t>
      </w:r>
    </w:p>
    <w:p w14:paraId="26303594" w14:textId="62E4E60F" w:rsidR="4A2FFC03" w:rsidRPr="0036474B" w:rsidRDefault="28ED7D8F" w:rsidP="29ED777C">
      <w:pPr>
        <w:spacing w:before="80" w:after="80" w:line="276" w:lineRule="auto"/>
        <w:jc w:val="both"/>
        <w:rPr>
          <w:rFonts w:ascii="Times New Roman" w:eastAsia="Times New Roman" w:hAnsi="Times New Roman" w:cs="Times New Roman"/>
          <w:noProof/>
          <w:color w:val="000000" w:themeColor="text1"/>
          <w:sz w:val="24"/>
          <w:szCs w:val="24"/>
        </w:rPr>
      </w:pPr>
      <w:r w:rsidRPr="4EB84919">
        <w:rPr>
          <w:rFonts w:ascii="Times New Roman" w:eastAsia="Times New Roman" w:hAnsi="Times New Roman" w:cs="Times New Roman"/>
          <w:b/>
          <w:bCs/>
          <w:noProof/>
          <w:color w:val="000000" w:themeColor="text1"/>
          <w:sz w:val="24"/>
          <w:szCs w:val="24"/>
        </w:rPr>
        <w:t xml:space="preserve">The terms and composition of bank lending </w:t>
      </w:r>
      <w:r w:rsidR="00DD4091" w:rsidRPr="4EB84919">
        <w:rPr>
          <w:rFonts w:ascii="Times New Roman" w:eastAsia="Times New Roman" w:hAnsi="Times New Roman" w:cs="Times New Roman"/>
          <w:b/>
          <w:bCs/>
          <w:noProof/>
          <w:color w:val="000000" w:themeColor="text1"/>
          <w:sz w:val="24"/>
          <w:szCs w:val="24"/>
        </w:rPr>
        <w:t xml:space="preserve">contribute to </w:t>
      </w:r>
      <w:r w:rsidRPr="4EB84919">
        <w:rPr>
          <w:rFonts w:ascii="Times New Roman" w:eastAsia="Times New Roman" w:hAnsi="Times New Roman" w:cs="Times New Roman"/>
          <w:b/>
          <w:bCs/>
          <w:noProof/>
          <w:color w:val="000000" w:themeColor="text1"/>
          <w:sz w:val="24"/>
          <w:szCs w:val="24"/>
        </w:rPr>
        <w:t>shap</w:t>
      </w:r>
      <w:r w:rsidR="00DD4091" w:rsidRPr="4EB84919">
        <w:rPr>
          <w:rFonts w:ascii="Times New Roman" w:eastAsia="Times New Roman" w:hAnsi="Times New Roman" w:cs="Times New Roman"/>
          <w:b/>
          <w:bCs/>
          <w:noProof/>
          <w:color w:val="000000" w:themeColor="text1"/>
          <w:sz w:val="24"/>
          <w:szCs w:val="24"/>
        </w:rPr>
        <w:t>ing</w:t>
      </w:r>
      <w:r w:rsidRPr="4EB84919">
        <w:rPr>
          <w:rFonts w:ascii="Times New Roman" w:eastAsia="Times New Roman" w:hAnsi="Times New Roman" w:cs="Times New Roman"/>
          <w:b/>
          <w:bCs/>
          <w:noProof/>
          <w:color w:val="000000" w:themeColor="text1"/>
          <w:sz w:val="24"/>
          <w:szCs w:val="24"/>
        </w:rPr>
        <w:t xml:space="preserve"> the productive capacity of the economy</w:t>
      </w:r>
      <w:r w:rsidRPr="0036474B">
        <w:rPr>
          <w:rFonts w:ascii="Times New Roman" w:eastAsia="Times New Roman" w:hAnsi="Times New Roman" w:cs="Times New Roman"/>
          <w:noProof/>
          <w:color w:val="000000" w:themeColor="text1"/>
          <w:sz w:val="24"/>
          <w:szCs w:val="24"/>
        </w:rPr>
        <w:t>. A key insight from the ECB</w:t>
      </w:r>
      <w:r w:rsidR="0067249F" w:rsidRPr="4EB84919">
        <w:rPr>
          <w:rFonts w:ascii="Times New Roman" w:eastAsia="Times New Roman" w:hAnsi="Times New Roman" w:cs="Times New Roman"/>
          <w:noProof/>
          <w:color w:val="000000" w:themeColor="text1"/>
          <w:sz w:val="24"/>
          <w:szCs w:val="24"/>
        </w:rPr>
        <w:t>’</w:t>
      </w:r>
      <w:r w:rsidRPr="0036474B">
        <w:rPr>
          <w:rFonts w:ascii="Times New Roman" w:eastAsia="Times New Roman" w:hAnsi="Times New Roman" w:cs="Times New Roman"/>
          <w:noProof/>
          <w:color w:val="000000" w:themeColor="text1"/>
          <w:sz w:val="24"/>
          <w:szCs w:val="24"/>
        </w:rPr>
        <w:t>s working paper is that high-performing banks are not only more resilient but also more effective intermediators.</w:t>
      </w:r>
      <w:r w:rsidR="4A2FFC03" w:rsidRPr="0036474B">
        <w:rPr>
          <w:rFonts w:ascii="Times New Roman" w:eastAsia="Times New Roman" w:hAnsi="Times New Roman" w:cs="Times New Roman"/>
          <w:noProof/>
          <w:color w:val="000000" w:themeColor="text1"/>
          <w:sz w:val="24"/>
          <w:szCs w:val="24"/>
          <w:vertAlign w:val="superscript"/>
        </w:rPr>
        <w:footnoteReference w:id="17"/>
      </w:r>
      <w:r w:rsidRPr="0036474B">
        <w:rPr>
          <w:rFonts w:ascii="Times New Roman" w:eastAsia="Times New Roman" w:hAnsi="Times New Roman" w:cs="Times New Roman"/>
          <w:noProof/>
          <w:color w:val="000000" w:themeColor="text1"/>
          <w:sz w:val="24"/>
          <w:szCs w:val="24"/>
        </w:rPr>
        <w:t xml:space="preserve"> The paper shows, using granular data from the euro area credit register and the pandemic shock, that banks with higher "edge" (</w:t>
      </w:r>
      <w:r w:rsidR="005F4F5F">
        <w:rPr>
          <w:rFonts w:ascii="Times New Roman" w:eastAsia="Times New Roman" w:hAnsi="Times New Roman" w:cs="Times New Roman"/>
          <w:noProof/>
          <w:color w:val="000000" w:themeColor="text1"/>
          <w:sz w:val="24"/>
          <w:szCs w:val="24"/>
        </w:rPr>
        <w:t>that is,</w:t>
      </w:r>
      <w:r w:rsidRPr="0036474B">
        <w:rPr>
          <w:rFonts w:ascii="Times New Roman" w:eastAsia="Times New Roman" w:hAnsi="Times New Roman" w:cs="Times New Roman"/>
          <w:noProof/>
          <w:color w:val="000000" w:themeColor="text1"/>
          <w:sz w:val="24"/>
          <w:szCs w:val="24"/>
        </w:rPr>
        <w:t xml:space="preserve"> performance relative to a market-based benchmark) originate more credit, direct it towards more productive firms, and support </w:t>
      </w:r>
      <w:r w:rsidR="004C1981">
        <w:rPr>
          <w:rFonts w:ascii="Times New Roman" w:eastAsia="Times New Roman" w:hAnsi="Times New Roman" w:cs="Times New Roman"/>
          <w:noProof/>
          <w:color w:val="000000" w:themeColor="text1"/>
          <w:sz w:val="24"/>
          <w:szCs w:val="24"/>
        </w:rPr>
        <w:t>to a greater extent</w:t>
      </w:r>
      <w:r w:rsidR="004C1981" w:rsidRPr="0036474B">
        <w:rPr>
          <w:rFonts w:ascii="Times New Roman" w:eastAsia="Times New Roman" w:hAnsi="Times New Roman" w:cs="Times New Roman"/>
          <w:noProof/>
          <w:color w:val="000000" w:themeColor="text1"/>
          <w:sz w:val="24"/>
          <w:szCs w:val="24"/>
        </w:rPr>
        <w:t xml:space="preserve"> </w:t>
      </w:r>
      <w:r w:rsidRPr="0036474B">
        <w:rPr>
          <w:rFonts w:ascii="Times New Roman" w:eastAsia="Times New Roman" w:hAnsi="Times New Roman" w:cs="Times New Roman"/>
          <w:noProof/>
          <w:color w:val="000000" w:themeColor="text1"/>
          <w:sz w:val="24"/>
          <w:szCs w:val="24"/>
        </w:rPr>
        <w:t>firm</w:t>
      </w:r>
      <w:r w:rsidR="41E26C17" w:rsidRPr="0036474B">
        <w:rPr>
          <w:rFonts w:ascii="Times New Roman" w:eastAsia="Times New Roman" w:hAnsi="Times New Roman" w:cs="Times New Roman"/>
          <w:noProof/>
          <w:color w:val="000000" w:themeColor="text1"/>
          <w:sz w:val="24"/>
          <w:szCs w:val="24"/>
        </w:rPr>
        <w:t>s’</w:t>
      </w:r>
      <w:r w:rsidRPr="0036474B">
        <w:rPr>
          <w:rFonts w:ascii="Times New Roman" w:eastAsia="Times New Roman" w:hAnsi="Times New Roman" w:cs="Times New Roman"/>
          <w:noProof/>
          <w:color w:val="000000" w:themeColor="text1"/>
          <w:sz w:val="24"/>
          <w:szCs w:val="24"/>
        </w:rPr>
        <w:t xml:space="preserve"> investment.</w:t>
      </w:r>
    </w:p>
    <w:p w14:paraId="5CA4E2F9" w14:textId="34FD8431" w:rsidR="4A2FFC03" w:rsidRDefault="4A2FFC03" w:rsidP="29ED777C">
      <w:pPr>
        <w:spacing w:before="80" w:after="80" w:line="276" w:lineRule="auto"/>
        <w:jc w:val="both"/>
        <w:rPr>
          <w:rFonts w:ascii="Times New Roman" w:eastAsia="Times New Roman" w:hAnsi="Times New Roman" w:cs="Times New Roman"/>
          <w:noProof/>
          <w:color w:val="000000" w:themeColor="text1"/>
          <w:sz w:val="24"/>
          <w:szCs w:val="24"/>
        </w:rPr>
      </w:pPr>
      <w:r w:rsidRPr="0036474B">
        <w:rPr>
          <w:rFonts w:ascii="Times New Roman" w:eastAsia="Times New Roman" w:hAnsi="Times New Roman" w:cs="Times New Roman"/>
          <w:b/>
          <w:noProof/>
          <w:color w:val="000000" w:themeColor="text1"/>
          <w:sz w:val="24"/>
          <w:szCs w:val="24"/>
        </w:rPr>
        <w:t xml:space="preserve">Conversely, the literature on credit misallocation points to a significant risk: banks, </w:t>
      </w:r>
      <w:r w:rsidR="001202CF">
        <w:rPr>
          <w:rFonts w:ascii="Times New Roman" w:eastAsia="Times New Roman" w:hAnsi="Times New Roman" w:cs="Times New Roman"/>
          <w:b/>
          <w:noProof/>
          <w:color w:val="000000" w:themeColor="text1"/>
          <w:sz w:val="24"/>
          <w:szCs w:val="24"/>
        </w:rPr>
        <w:t>especially during</w:t>
      </w:r>
      <w:r w:rsidRPr="0036474B">
        <w:rPr>
          <w:rFonts w:ascii="Times New Roman" w:eastAsia="Times New Roman" w:hAnsi="Times New Roman" w:cs="Times New Roman"/>
          <w:b/>
          <w:noProof/>
          <w:color w:val="000000" w:themeColor="text1"/>
          <w:sz w:val="24"/>
          <w:szCs w:val="24"/>
        </w:rPr>
        <w:t xml:space="preserve"> stress</w:t>
      </w:r>
      <w:r w:rsidR="001202CF">
        <w:rPr>
          <w:rFonts w:ascii="Times New Roman" w:eastAsia="Times New Roman" w:hAnsi="Times New Roman" w:cs="Times New Roman"/>
          <w:b/>
          <w:noProof/>
          <w:color w:val="000000" w:themeColor="text1"/>
          <w:sz w:val="24"/>
          <w:szCs w:val="24"/>
        </w:rPr>
        <w:t xml:space="preserve"> periods</w:t>
      </w:r>
      <w:r w:rsidRPr="0036474B">
        <w:rPr>
          <w:rFonts w:ascii="Times New Roman" w:eastAsia="Times New Roman" w:hAnsi="Times New Roman" w:cs="Times New Roman"/>
          <w:b/>
          <w:noProof/>
          <w:color w:val="000000" w:themeColor="text1"/>
          <w:sz w:val="24"/>
          <w:szCs w:val="24"/>
        </w:rPr>
        <w:t xml:space="preserve">, </w:t>
      </w:r>
      <w:r w:rsidR="00C045F5">
        <w:rPr>
          <w:rFonts w:ascii="Times New Roman" w:eastAsia="Times New Roman" w:hAnsi="Times New Roman" w:cs="Times New Roman"/>
          <w:b/>
          <w:noProof/>
          <w:color w:val="000000" w:themeColor="text1"/>
          <w:sz w:val="24"/>
          <w:szCs w:val="24"/>
        </w:rPr>
        <w:t xml:space="preserve">often </w:t>
      </w:r>
      <w:r w:rsidRPr="0036474B">
        <w:rPr>
          <w:rFonts w:ascii="Times New Roman" w:eastAsia="Times New Roman" w:hAnsi="Times New Roman" w:cs="Times New Roman"/>
          <w:b/>
          <w:noProof/>
          <w:color w:val="000000" w:themeColor="text1"/>
          <w:sz w:val="24"/>
          <w:szCs w:val="24"/>
        </w:rPr>
        <w:t xml:space="preserve">support non-viable firms </w:t>
      </w:r>
      <w:r w:rsidR="00C045F5">
        <w:rPr>
          <w:rFonts w:ascii="Times New Roman" w:eastAsia="Times New Roman" w:hAnsi="Times New Roman" w:cs="Times New Roman"/>
          <w:b/>
          <w:noProof/>
          <w:color w:val="000000" w:themeColor="text1"/>
          <w:sz w:val="24"/>
          <w:szCs w:val="24"/>
        </w:rPr>
        <w:t xml:space="preserve">instead of </w:t>
      </w:r>
      <w:r w:rsidRPr="0036474B">
        <w:rPr>
          <w:rFonts w:ascii="Times New Roman" w:eastAsia="Times New Roman" w:hAnsi="Times New Roman" w:cs="Times New Roman"/>
          <w:b/>
          <w:noProof/>
          <w:color w:val="000000" w:themeColor="text1"/>
          <w:sz w:val="24"/>
          <w:szCs w:val="24"/>
        </w:rPr>
        <w:t>allowing resources to be reallocated</w:t>
      </w:r>
      <w:r w:rsidRPr="0036474B">
        <w:rPr>
          <w:rFonts w:ascii="Times New Roman" w:eastAsia="Times New Roman" w:hAnsi="Times New Roman" w:cs="Times New Roman"/>
          <w:noProof/>
          <w:color w:val="000000" w:themeColor="text1"/>
          <w:sz w:val="24"/>
          <w:szCs w:val="24"/>
        </w:rPr>
        <w:t>.</w:t>
      </w:r>
      <w:r w:rsidR="00AC2B0B">
        <w:rPr>
          <w:rFonts w:ascii="Times New Roman" w:eastAsia="Times New Roman" w:hAnsi="Times New Roman" w:cs="Times New Roman"/>
          <w:noProof/>
          <w:color w:val="000000" w:themeColor="text1"/>
          <w:sz w:val="24"/>
          <w:szCs w:val="24"/>
        </w:rPr>
        <w:t xml:space="preserve"> </w:t>
      </w:r>
      <w:r w:rsidR="00C045F5" w:rsidRPr="001202CF">
        <w:rPr>
          <w:rFonts w:ascii="Times New Roman" w:eastAsia="Times New Roman" w:hAnsi="Times New Roman" w:cs="Times New Roman"/>
          <w:noProof/>
          <w:color w:val="000000" w:themeColor="text1"/>
          <w:sz w:val="24"/>
          <w:szCs w:val="24"/>
        </w:rPr>
        <w:t xml:space="preserve">For instance, while </w:t>
      </w:r>
      <w:r w:rsidR="00C045F5">
        <w:rPr>
          <w:rFonts w:ascii="Times New Roman" w:eastAsia="Times New Roman" w:hAnsi="Times New Roman" w:cs="Times New Roman"/>
          <w:noProof/>
          <w:color w:val="000000" w:themeColor="text1"/>
          <w:sz w:val="24"/>
          <w:szCs w:val="24"/>
        </w:rPr>
        <w:t>public</w:t>
      </w:r>
      <w:r w:rsidR="00C045F5" w:rsidRPr="001202CF">
        <w:rPr>
          <w:rFonts w:ascii="Times New Roman" w:eastAsia="Times New Roman" w:hAnsi="Times New Roman" w:cs="Times New Roman"/>
          <w:noProof/>
          <w:color w:val="000000" w:themeColor="text1"/>
          <w:sz w:val="24"/>
          <w:szCs w:val="24"/>
        </w:rPr>
        <w:t xml:space="preserve"> guarantees during the COVID-19 pandemic were vital for sustaining viable firms through temporary liquidity shocks, they inadvertently supported less productive businesses, depressing aggregate TFP. More broadly, the </w:t>
      </w:r>
      <w:r w:rsidR="00C045F5">
        <w:rPr>
          <w:rFonts w:ascii="Times New Roman" w:eastAsia="Times New Roman" w:hAnsi="Times New Roman" w:cs="Times New Roman"/>
          <w:noProof/>
          <w:color w:val="000000" w:themeColor="text1"/>
          <w:sz w:val="24"/>
          <w:szCs w:val="24"/>
        </w:rPr>
        <w:t>“</w:t>
      </w:r>
      <w:r w:rsidR="00C045F5" w:rsidRPr="001202CF">
        <w:rPr>
          <w:rFonts w:ascii="Times New Roman" w:eastAsia="Times New Roman" w:hAnsi="Times New Roman" w:cs="Times New Roman"/>
          <w:noProof/>
          <w:color w:val="000000" w:themeColor="text1"/>
          <w:sz w:val="24"/>
          <w:szCs w:val="24"/>
        </w:rPr>
        <w:t>zombie lending</w:t>
      </w:r>
      <w:r w:rsidR="00C045F5">
        <w:rPr>
          <w:rFonts w:ascii="Times New Roman" w:eastAsia="Times New Roman" w:hAnsi="Times New Roman" w:cs="Times New Roman"/>
          <w:noProof/>
          <w:color w:val="000000" w:themeColor="text1"/>
          <w:sz w:val="24"/>
          <w:szCs w:val="24"/>
        </w:rPr>
        <w:t>”</w:t>
      </w:r>
      <w:r w:rsidR="00C045F5" w:rsidRPr="001202CF">
        <w:rPr>
          <w:rFonts w:ascii="Times New Roman" w:eastAsia="Times New Roman" w:hAnsi="Times New Roman" w:cs="Times New Roman"/>
          <w:noProof/>
          <w:color w:val="000000" w:themeColor="text1"/>
          <w:sz w:val="24"/>
          <w:szCs w:val="24"/>
        </w:rPr>
        <w:t xml:space="preserve"> witnessed in Japan and Europe after</w:t>
      </w:r>
      <w:r w:rsidR="00413951">
        <w:rPr>
          <w:rFonts w:ascii="Times New Roman" w:eastAsia="Times New Roman" w:hAnsi="Times New Roman" w:cs="Times New Roman"/>
          <w:noProof/>
          <w:color w:val="000000" w:themeColor="text1"/>
          <w:sz w:val="24"/>
          <w:szCs w:val="24"/>
        </w:rPr>
        <w:t xml:space="preserve"> crises periods like</w:t>
      </w:r>
      <w:r w:rsidR="00C045F5" w:rsidRPr="001202CF">
        <w:rPr>
          <w:rFonts w:ascii="Times New Roman" w:eastAsia="Times New Roman" w:hAnsi="Times New Roman" w:cs="Times New Roman"/>
          <w:noProof/>
          <w:color w:val="000000" w:themeColor="text1"/>
          <w:sz w:val="24"/>
          <w:szCs w:val="24"/>
        </w:rPr>
        <w:t xml:space="preserve"> the Global Financial Crisis underscores how misallocation can severely drag down long-term competitiveness.</w:t>
      </w:r>
    </w:p>
    <w:p w14:paraId="62564485" w14:textId="1932B90D" w:rsidR="4A2FFC03" w:rsidRPr="0036474B" w:rsidRDefault="00C045F5" w:rsidP="703D6398">
      <w:pPr>
        <w:spacing w:before="80" w:after="80" w:line="276"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b/>
          <w:noProof/>
          <w:color w:val="000000" w:themeColor="text1"/>
          <w:sz w:val="24"/>
          <w:szCs w:val="24"/>
        </w:rPr>
        <w:t>T</w:t>
      </w:r>
      <w:r w:rsidRPr="0036474B">
        <w:rPr>
          <w:rFonts w:ascii="Times New Roman" w:eastAsia="Times New Roman" w:hAnsi="Times New Roman" w:cs="Times New Roman"/>
          <w:b/>
          <w:noProof/>
          <w:color w:val="000000" w:themeColor="text1"/>
          <w:sz w:val="24"/>
          <w:szCs w:val="24"/>
        </w:rPr>
        <w:t xml:space="preserve">he capacity of </w:t>
      </w:r>
      <w:r w:rsidR="00CF016B">
        <w:rPr>
          <w:rFonts w:ascii="Times New Roman" w:eastAsia="Times New Roman" w:hAnsi="Times New Roman" w:cs="Times New Roman"/>
          <w:b/>
          <w:noProof/>
          <w:color w:val="000000" w:themeColor="text1"/>
          <w:sz w:val="24"/>
          <w:szCs w:val="24"/>
        </w:rPr>
        <w:t>a financial sector</w:t>
      </w:r>
      <w:r w:rsidRPr="0036474B">
        <w:rPr>
          <w:rFonts w:ascii="Times New Roman" w:eastAsia="Times New Roman" w:hAnsi="Times New Roman" w:cs="Times New Roman"/>
          <w:b/>
          <w:noProof/>
          <w:color w:val="000000" w:themeColor="text1"/>
          <w:sz w:val="24"/>
          <w:szCs w:val="24"/>
        </w:rPr>
        <w:t xml:space="preserve"> to </w:t>
      </w:r>
      <w:r w:rsidR="00CF016B">
        <w:rPr>
          <w:rFonts w:ascii="Times New Roman" w:eastAsia="Times New Roman" w:hAnsi="Times New Roman" w:cs="Times New Roman"/>
          <w:b/>
          <w:noProof/>
          <w:color w:val="000000" w:themeColor="text1"/>
          <w:sz w:val="24"/>
          <w:szCs w:val="24"/>
        </w:rPr>
        <w:t>support</w:t>
      </w:r>
      <w:r w:rsidRPr="0036474B">
        <w:rPr>
          <w:rFonts w:ascii="Times New Roman" w:eastAsia="Times New Roman" w:hAnsi="Times New Roman" w:cs="Times New Roman"/>
          <w:b/>
          <w:noProof/>
          <w:color w:val="000000" w:themeColor="text1"/>
          <w:sz w:val="24"/>
          <w:szCs w:val="24"/>
        </w:rPr>
        <w:t xml:space="preserve"> innovation </w:t>
      </w:r>
      <w:r>
        <w:rPr>
          <w:rFonts w:ascii="Times New Roman" w:eastAsia="Times New Roman" w:hAnsi="Times New Roman" w:cs="Times New Roman"/>
          <w:b/>
          <w:noProof/>
          <w:color w:val="000000" w:themeColor="text1"/>
          <w:sz w:val="24"/>
          <w:szCs w:val="24"/>
        </w:rPr>
        <w:t xml:space="preserve">is </w:t>
      </w:r>
      <w:r w:rsidR="00E6588F">
        <w:rPr>
          <w:rFonts w:ascii="Times New Roman" w:eastAsia="Times New Roman" w:hAnsi="Times New Roman" w:cs="Times New Roman"/>
          <w:b/>
          <w:noProof/>
          <w:color w:val="000000" w:themeColor="text1"/>
          <w:sz w:val="24"/>
          <w:szCs w:val="24"/>
        </w:rPr>
        <w:t>another</w:t>
      </w:r>
      <w:r w:rsidR="4A2FFC03" w:rsidRPr="0036474B">
        <w:rPr>
          <w:rFonts w:ascii="Times New Roman" w:eastAsia="Times New Roman" w:hAnsi="Times New Roman" w:cs="Times New Roman"/>
          <w:b/>
          <w:noProof/>
          <w:color w:val="000000" w:themeColor="text1"/>
          <w:sz w:val="24"/>
          <w:szCs w:val="24"/>
        </w:rPr>
        <w:t xml:space="preserve"> </w:t>
      </w:r>
      <w:r w:rsidR="00E6588F">
        <w:rPr>
          <w:rFonts w:ascii="Times New Roman" w:eastAsia="Times New Roman" w:hAnsi="Times New Roman" w:cs="Times New Roman"/>
          <w:b/>
          <w:noProof/>
          <w:color w:val="000000" w:themeColor="text1"/>
          <w:sz w:val="24"/>
          <w:szCs w:val="24"/>
        </w:rPr>
        <w:t xml:space="preserve">critical </w:t>
      </w:r>
      <w:r w:rsidR="4A2FFC03" w:rsidRPr="0036474B">
        <w:rPr>
          <w:rFonts w:ascii="Times New Roman" w:eastAsia="Times New Roman" w:hAnsi="Times New Roman" w:cs="Times New Roman"/>
          <w:b/>
          <w:noProof/>
          <w:color w:val="000000" w:themeColor="text1"/>
          <w:sz w:val="24"/>
          <w:szCs w:val="24"/>
        </w:rPr>
        <w:t>dimension of the productivity-finance nexu</w:t>
      </w:r>
      <w:r w:rsidR="4A2FFC03" w:rsidRPr="006179FA">
        <w:rPr>
          <w:rFonts w:ascii="Times New Roman" w:eastAsia="Times New Roman" w:hAnsi="Times New Roman" w:cs="Times New Roman"/>
          <w:b/>
          <w:noProof/>
          <w:color w:val="000000" w:themeColor="text1"/>
          <w:sz w:val="24"/>
          <w:szCs w:val="24"/>
        </w:rPr>
        <w:t>s</w:t>
      </w:r>
      <w:r w:rsidR="00DA741C" w:rsidRPr="006179FA">
        <w:rPr>
          <w:rFonts w:ascii="Times New Roman" w:eastAsia="Times New Roman" w:hAnsi="Times New Roman" w:cs="Times New Roman"/>
          <w:b/>
          <w:noProof/>
          <w:color w:val="000000" w:themeColor="text1"/>
          <w:sz w:val="24"/>
          <w:szCs w:val="24"/>
        </w:rPr>
        <w:t xml:space="preserve">, </w:t>
      </w:r>
      <w:r w:rsidR="006179FA" w:rsidRPr="001752EA">
        <w:rPr>
          <w:rFonts w:ascii="Times New Roman" w:eastAsia="Times New Roman" w:hAnsi="Times New Roman" w:cs="Times New Roman"/>
          <w:b/>
          <w:noProof/>
          <w:color w:val="000000" w:themeColor="text1"/>
          <w:sz w:val="24"/>
          <w:szCs w:val="24"/>
        </w:rPr>
        <w:t>and b</w:t>
      </w:r>
      <w:r w:rsidR="4A2FFC03" w:rsidRPr="001752EA">
        <w:rPr>
          <w:rFonts w:ascii="Times New Roman" w:eastAsia="Times New Roman" w:hAnsi="Times New Roman" w:cs="Times New Roman"/>
          <w:b/>
          <w:noProof/>
          <w:color w:val="000000" w:themeColor="text1"/>
          <w:sz w:val="24"/>
          <w:szCs w:val="24"/>
        </w:rPr>
        <w:t>anks are</w:t>
      </w:r>
      <w:r w:rsidR="00032E97" w:rsidRPr="001752EA">
        <w:rPr>
          <w:rFonts w:ascii="Times New Roman" w:eastAsia="Times New Roman" w:hAnsi="Times New Roman" w:cs="Times New Roman"/>
          <w:b/>
          <w:noProof/>
          <w:color w:val="000000" w:themeColor="text1"/>
          <w:sz w:val="24"/>
          <w:szCs w:val="24"/>
        </w:rPr>
        <w:t>, by nature,</w:t>
      </w:r>
      <w:r w:rsidR="4A2FFC03" w:rsidRPr="001752EA">
        <w:rPr>
          <w:rFonts w:ascii="Times New Roman" w:eastAsia="Times New Roman" w:hAnsi="Times New Roman" w:cs="Times New Roman"/>
          <w:b/>
          <w:noProof/>
          <w:color w:val="000000" w:themeColor="text1"/>
          <w:sz w:val="24"/>
          <w:szCs w:val="24"/>
        </w:rPr>
        <w:t xml:space="preserve"> not best placed to finance early-stage or innovation-intensive firms whose assets are predominantly intangible and whose cash flows are uncertain</w:t>
      </w:r>
      <w:r w:rsidR="4A2FFC03" w:rsidRPr="0036474B">
        <w:rPr>
          <w:rFonts w:ascii="Times New Roman" w:eastAsia="Times New Roman" w:hAnsi="Times New Roman" w:cs="Times New Roman"/>
          <w:noProof/>
          <w:color w:val="000000" w:themeColor="text1"/>
          <w:sz w:val="24"/>
          <w:szCs w:val="24"/>
        </w:rPr>
        <w:t xml:space="preserve">. This is because banks, and creditors more generally, </w:t>
      </w:r>
      <w:r w:rsidR="004438D2" w:rsidRPr="0036474B">
        <w:rPr>
          <w:rFonts w:ascii="Times New Roman" w:eastAsia="Times New Roman" w:hAnsi="Times New Roman" w:cs="Times New Roman"/>
          <w:noProof/>
          <w:color w:val="000000" w:themeColor="text1"/>
          <w:sz w:val="24"/>
          <w:szCs w:val="24"/>
        </w:rPr>
        <w:t>are only interested in their cred</w:t>
      </w:r>
      <w:r w:rsidR="00BB21B3" w:rsidRPr="0036474B">
        <w:rPr>
          <w:rFonts w:ascii="Times New Roman" w:eastAsia="Times New Roman" w:hAnsi="Times New Roman" w:cs="Times New Roman"/>
          <w:noProof/>
          <w:color w:val="000000" w:themeColor="text1"/>
          <w:sz w:val="24"/>
          <w:szCs w:val="24"/>
        </w:rPr>
        <w:t>i</w:t>
      </w:r>
      <w:r w:rsidR="004438D2" w:rsidRPr="0036474B">
        <w:rPr>
          <w:rFonts w:ascii="Times New Roman" w:eastAsia="Times New Roman" w:hAnsi="Times New Roman" w:cs="Times New Roman"/>
          <w:noProof/>
          <w:color w:val="000000" w:themeColor="text1"/>
          <w:sz w:val="24"/>
          <w:szCs w:val="24"/>
        </w:rPr>
        <w:t xml:space="preserve">t being repaid and do not participate to the </w:t>
      </w:r>
      <w:r w:rsidR="00E21831" w:rsidRPr="0036474B">
        <w:rPr>
          <w:rFonts w:ascii="Times New Roman" w:eastAsia="Times New Roman" w:hAnsi="Times New Roman" w:cs="Times New Roman"/>
          <w:noProof/>
          <w:color w:val="000000" w:themeColor="text1"/>
          <w:sz w:val="24"/>
          <w:szCs w:val="24"/>
        </w:rPr>
        <w:t xml:space="preserve">profits of a </w:t>
      </w:r>
      <w:r w:rsidR="00086D98" w:rsidRPr="0036474B">
        <w:rPr>
          <w:rFonts w:ascii="Times New Roman" w:eastAsia="Times New Roman" w:hAnsi="Times New Roman" w:cs="Times New Roman"/>
          <w:noProof/>
          <w:color w:val="000000" w:themeColor="text1"/>
          <w:sz w:val="24"/>
          <w:szCs w:val="24"/>
        </w:rPr>
        <w:t>company and</w:t>
      </w:r>
      <w:r w:rsidR="4A2FFC03" w:rsidRPr="0036474B">
        <w:rPr>
          <w:rFonts w:ascii="Times New Roman" w:eastAsia="Times New Roman" w:hAnsi="Times New Roman" w:cs="Times New Roman"/>
          <w:noProof/>
          <w:color w:val="000000" w:themeColor="text1"/>
          <w:sz w:val="24"/>
          <w:szCs w:val="24"/>
        </w:rPr>
        <w:t xml:space="preserve"> therefore may lack incentives and skills to screen for particularly innovative and productive venture</w:t>
      </w:r>
      <w:r w:rsidR="4A2FFC03" w:rsidRPr="0036474B">
        <w:rPr>
          <w:rFonts w:ascii="Times New Roman" w:eastAsiaTheme="minorEastAsia" w:hAnsi="Times New Roman" w:cs="Times New Roman"/>
          <w:noProof/>
          <w:color w:val="000000" w:themeColor="text1"/>
          <w:sz w:val="24"/>
          <w:szCs w:val="24"/>
        </w:rPr>
        <w:t xml:space="preserve">s. </w:t>
      </w:r>
      <w:r w:rsidR="3064EA1C" w:rsidRPr="0036474B">
        <w:rPr>
          <w:rFonts w:ascii="Times New Roman" w:eastAsia="Times New Roman" w:hAnsi="Times New Roman" w:cs="Times New Roman"/>
          <w:noProof/>
          <w:color w:val="000000" w:themeColor="text1"/>
          <w:sz w:val="24"/>
          <w:szCs w:val="24"/>
        </w:rPr>
        <w:t>The incentives to screen for innovative and productive firms and invest in those are greater for equity investors</w:t>
      </w:r>
      <w:r w:rsidR="00380317" w:rsidRPr="0036474B">
        <w:rPr>
          <w:rFonts w:ascii="Times New Roman" w:eastAsia="Times New Roman" w:hAnsi="Times New Roman" w:cs="Times New Roman"/>
          <w:noProof/>
          <w:color w:val="000000" w:themeColor="text1"/>
          <w:sz w:val="24"/>
          <w:szCs w:val="24"/>
        </w:rPr>
        <w:t xml:space="preserve">, which </w:t>
      </w:r>
      <w:r w:rsidR="00E6743D" w:rsidRPr="0036474B">
        <w:rPr>
          <w:rFonts w:ascii="Times New Roman" w:eastAsia="Times New Roman" w:hAnsi="Times New Roman" w:cs="Times New Roman"/>
          <w:noProof/>
          <w:color w:val="000000" w:themeColor="text1"/>
          <w:sz w:val="24"/>
          <w:szCs w:val="24"/>
        </w:rPr>
        <w:t>take part</w:t>
      </w:r>
      <w:r w:rsidR="00380317" w:rsidRPr="0036474B">
        <w:rPr>
          <w:rFonts w:ascii="Times New Roman" w:eastAsia="Times New Roman" w:hAnsi="Times New Roman" w:cs="Times New Roman"/>
          <w:noProof/>
          <w:color w:val="000000" w:themeColor="text1"/>
          <w:sz w:val="24"/>
          <w:szCs w:val="24"/>
        </w:rPr>
        <w:t xml:space="preserve"> to the ownership of a company and to the </w:t>
      </w:r>
      <w:r w:rsidR="00D47510" w:rsidRPr="0036474B">
        <w:rPr>
          <w:rFonts w:ascii="Times New Roman" w:eastAsia="Times New Roman" w:hAnsi="Times New Roman" w:cs="Times New Roman"/>
          <w:noProof/>
          <w:color w:val="000000" w:themeColor="text1"/>
          <w:sz w:val="24"/>
          <w:szCs w:val="24"/>
        </w:rPr>
        <w:t xml:space="preserve">profits </w:t>
      </w:r>
      <w:r w:rsidR="000C6C5D" w:rsidRPr="0036474B">
        <w:rPr>
          <w:rFonts w:ascii="Times New Roman" w:eastAsia="Times New Roman" w:hAnsi="Times New Roman" w:cs="Times New Roman"/>
          <w:noProof/>
          <w:color w:val="000000" w:themeColor="text1"/>
          <w:sz w:val="24"/>
          <w:szCs w:val="24"/>
        </w:rPr>
        <w:t>it may</w:t>
      </w:r>
      <w:r w:rsidR="00D47510" w:rsidRPr="0036474B">
        <w:rPr>
          <w:rFonts w:ascii="Times New Roman" w:eastAsia="Times New Roman" w:hAnsi="Times New Roman" w:cs="Times New Roman"/>
          <w:noProof/>
          <w:color w:val="000000" w:themeColor="text1"/>
          <w:sz w:val="24"/>
          <w:szCs w:val="24"/>
        </w:rPr>
        <w:t xml:space="preserve"> generate</w:t>
      </w:r>
      <w:r w:rsidR="00E6743D">
        <w:rPr>
          <w:rFonts w:ascii="Times New Roman" w:eastAsia="Times New Roman" w:hAnsi="Times New Roman" w:cs="Times New Roman"/>
          <w:noProof/>
          <w:color w:val="000000" w:themeColor="text1"/>
          <w:sz w:val="24"/>
          <w:szCs w:val="24"/>
        </w:rPr>
        <w:t>.</w:t>
      </w:r>
      <w:r w:rsidR="0049254C">
        <w:rPr>
          <w:rFonts w:ascii="Times New Roman" w:eastAsia="Times New Roman" w:hAnsi="Times New Roman" w:cs="Times New Roman"/>
          <w:noProof/>
          <w:color w:val="000000" w:themeColor="text1"/>
          <w:sz w:val="24"/>
          <w:szCs w:val="24"/>
        </w:rPr>
        <w:t xml:space="preserve"> </w:t>
      </w:r>
      <w:r w:rsidR="00E6743D">
        <w:rPr>
          <w:rFonts w:ascii="Times New Roman" w:eastAsia="Times New Roman" w:hAnsi="Times New Roman" w:cs="Times New Roman"/>
          <w:noProof/>
          <w:color w:val="000000" w:themeColor="text1"/>
          <w:sz w:val="24"/>
          <w:szCs w:val="24"/>
        </w:rPr>
        <w:t>I</w:t>
      </w:r>
      <w:r w:rsidR="000C6C5D" w:rsidRPr="0036474B">
        <w:rPr>
          <w:rFonts w:ascii="Times New Roman" w:eastAsia="Times New Roman" w:hAnsi="Times New Roman" w:cs="Times New Roman"/>
          <w:noProof/>
          <w:color w:val="000000" w:themeColor="text1"/>
          <w:sz w:val="24"/>
          <w:szCs w:val="24"/>
        </w:rPr>
        <w:t xml:space="preserve">n other words, </w:t>
      </w:r>
      <w:r w:rsidR="00866B10" w:rsidRPr="0036474B">
        <w:rPr>
          <w:rFonts w:ascii="Times New Roman" w:eastAsia="Times New Roman" w:hAnsi="Times New Roman" w:cs="Times New Roman"/>
          <w:noProof/>
          <w:color w:val="000000" w:themeColor="text1"/>
          <w:sz w:val="24"/>
          <w:szCs w:val="24"/>
        </w:rPr>
        <w:t xml:space="preserve">equity investors, </w:t>
      </w:r>
      <w:r w:rsidR="00A96789" w:rsidRPr="0036474B">
        <w:rPr>
          <w:rFonts w:ascii="Times New Roman" w:eastAsia="Times New Roman" w:hAnsi="Times New Roman" w:cs="Times New Roman"/>
          <w:noProof/>
          <w:color w:val="000000" w:themeColor="text1"/>
          <w:sz w:val="24"/>
          <w:szCs w:val="24"/>
        </w:rPr>
        <w:t xml:space="preserve">differently from bank investors, </w:t>
      </w:r>
      <w:r w:rsidR="006019E2" w:rsidRPr="0036474B">
        <w:rPr>
          <w:rFonts w:ascii="Times New Roman" w:eastAsia="Times New Roman" w:hAnsi="Times New Roman" w:cs="Times New Roman"/>
          <w:noProof/>
          <w:color w:val="000000" w:themeColor="text1"/>
          <w:sz w:val="24"/>
          <w:szCs w:val="24"/>
        </w:rPr>
        <w:t xml:space="preserve">participate to the upside risk of a company and have a different risk/reward profile </w:t>
      </w:r>
      <w:r w:rsidR="009432E4" w:rsidRPr="0036474B">
        <w:rPr>
          <w:rFonts w:ascii="Times New Roman" w:eastAsia="Times New Roman" w:hAnsi="Times New Roman" w:cs="Times New Roman"/>
          <w:noProof/>
          <w:color w:val="000000" w:themeColor="text1"/>
          <w:sz w:val="24"/>
          <w:szCs w:val="24"/>
        </w:rPr>
        <w:t>than banks</w:t>
      </w:r>
      <w:r w:rsidR="3064EA1C" w:rsidRPr="0036474B">
        <w:rPr>
          <w:rFonts w:ascii="Times New Roman" w:eastAsia="Times New Roman" w:hAnsi="Times New Roman" w:cs="Times New Roman"/>
          <w:noProof/>
          <w:color w:val="000000" w:themeColor="text1"/>
          <w:sz w:val="24"/>
          <w:szCs w:val="24"/>
        </w:rPr>
        <w:t xml:space="preserve">. </w:t>
      </w:r>
      <w:r w:rsidR="00DE6EB7" w:rsidRPr="0036474B">
        <w:rPr>
          <w:rFonts w:ascii="Times New Roman" w:eastAsia="Times New Roman" w:hAnsi="Times New Roman" w:cs="Times New Roman"/>
          <w:noProof/>
          <w:color w:val="000000" w:themeColor="text1"/>
          <w:sz w:val="24"/>
          <w:szCs w:val="24"/>
        </w:rPr>
        <w:t xml:space="preserve">Banks also </w:t>
      </w:r>
      <w:r w:rsidR="00DE6EB7">
        <w:rPr>
          <w:rFonts w:ascii="Times New Roman" w:eastAsia="Times New Roman" w:hAnsi="Times New Roman" w:cs="Times New Roman"/>
          <w:noProof/>
          <w:color w:val="000000" w:themeColor="text1"/>
          <w:sz w:val="24"/>
          <w:szCs w:val="24"/>
        </w:rPr>
        <w:t>normally opt for</w:t>
      </w:r>
      <w:r w:rsidR="00DE6EB7" w:rsidRPr="0036474B">
        <w:rPr>
          <w:rFonts w:ascii="Times New Roman" w:eastAsia="Times New Roman" w:hAnsi="Times New Roman" w:cs="Times New Roman"/>
          <w:noProof/>
          <w:color w:val="000000" w:themeColor="text1"/>
          <w:sz w:val="24"/>
          <w:szCs w:val="24"/>
        </w:rPr>
        <w:t xml:space="preserve"> investments into tangible assets, which can be collateralised to help mitigate credit risk. Given innovative firms’ uncertain and often intangible </w:t>
      </w:r>
      <w:r w:rsidR="00D145C6">
        <w:rPr>
          <w:rFonts w:ascii="Times New Roman" w:eastAsia="Times New Roman" w:hAnsi="Times New Roman" w:cs="Times New Roman"/>
          <w:noProof/>
          <w:color w:val="000000" w:themeColor="text1"/>
          <w:sz w:val="24"/>
          <w:szCs w:val="24"/>
        </w:rPr>
        <w:t xml:space="preserve">and uncertain </w:t>
      </w:r>
      <w:r w:rsidR="00DE6EB7">
        <w:rPr>
          <w:rFonts w:ascii="Times New Roman" w:eastAsia="Times New Roman" w:hAnsi="Times New Roman" w:cs="Times New Roman"/>
          <w:noProof/>
          <w:color w:val="000000" w:themeColor="text1"/>
          <w:sz w:val="24"/>
          <w:szCs w:val="24"/>
        </w:rPr>
        <w:t xml:space="preserve">valuation </w:t>
      </w:r>
      <w:r w:rsidR="00DE6EB7" w:rsidRPr="0036474B">
        <w:rPr>
          <w:rFonts w:ascii="Times New Roman" w:eastAsia="Times New Roman" w:hAnsi="Times New Roman" w:cs="Times New Roman"/>
          <w:noProof/>
          <w:color w:val="000000" w:themeColor="text1"/>
          <w:sz w:val="24"/>
          <w:szCs w:val="24"/>
        </w:rPr>
        <w:t>aspect,</w:t>
      </w:r>
      <w:r w:rsidR="00DC4DBC">
        <w:rPr>
          <w:rFonts w:ascii="Times New Roman" w:eastAsia="Times New Roman" w:hAnsi="Times New Roman" w:cs="Times New Roman"/>
          <w:noProof/>
          <w:color w:val="000000" w:themeColor="text1"/>
          <w:sz w:val="24"/>
          <w:szCs w:val="24"/>
        </w:rPr>
        <w:t xml:space="preserve"> for instance linked to </w:t>
      </w:r>
      <w:r w:rsidR="0077436E">
        <w:rPr>
          <w:rFonts w:ascii="Times New Roman" w:eastAsia="Times New Roman" w:hAnsi="Times New Roman" w:cs="Times New Roman"/>
          <w:noProof/>
          <w:color w:val="000000" w:themeColor="text1"/>
          <w:sz w:val="24"/>
          <w:szCs w:val="24"/>
        </w:rPr>
        <w:t>intellectual property rights,</w:t>
      </w:r>
      <w:r w:rsidR="00DE6EB7" w:rsidRPr="0036474B">
        <w:rPr>
          <w:rFonts w:ascii="Times New Roman" w:eastAsia="Times New Roman" w:hAnsi="Times New Roman" w:cs="Times New Roman"/>
          <w:noProof/>
          <w:color w:val="000000" w:themeColor="text1"/>
          <w:sz w:val="24"/>
          <w:szCs w:val="24"/>
        </w:rPr>
        <w:t xml:space="preserve"> these loans cannot be collateralised </w:t>
      </w:r>
      <w:r w:rsidR="00DE6EB7">
        <w:rPr>
          <w:rFonts w:ascii="Times New Roman" w:eastAsia="Times New Roman" w:hAnsi="Times New Roman" w:cs="Times New Roman"/>
          <w:noProof/>
          <w:color w:val="000000" w:themeColor="text1"/>
          <w:sz w:val="24"/>
          <w:szCs w:val="24"/>
        </w:rPr>
        <w:t xml:space="preserve">in a way that grants a more favourable capital treatment, </w:t>
      </w:r>
      <w:r w:rsidR="00DE6EB7" w:rsidRPr="0036474B">
        <w:rPr>
          <w:rFonts w:ascii="Times New Roman" w:eastAsia="Times New Roman" w:hAnsi="Times New Roman" w:cs="Times New Roman"/>
          <w:noProof/>
          <w:color w:val="000000" w:themeColor="text1"/>
          <w:sz w:val="24"/>
          <w:szCs w:val="24"/>
        </w:rPr>
        <w:t>and are hence less interesting for banks</w:t>
      </w:r>
      <w:r w:rsidR="00110572">
        <w:rPr>
          <w:rFonts w:ascii="Times New Roman" w:eastAsia="Times New Roman" w:hAnsi="Times New Roman" w:cs="Times New Roman"/>
          <w:noProof/>
          <w:color w:val="000000" w:themeColor="text1"/>
          <w:sz w:val="24"/>
          <w:szCs w:val="24"/>
        </w:rPr>
        <w:t>.</w:t>
      </w:r>
      <w:r w:rsidR="14217F2B" w:rsidRPr="0036474B">
        <w:rPr>
          <w:rFonts w:ascii="Times New Roman" w:eastAsia="Times New Roman" w:hAnsi="Times New Roman" w:cs="Times New Roman"/>
          <w:noProof/>
          <w:color w:val="000000" w:themeColor="text1"/>
          <w:sz w:val="24"/>
          <w:szCs w:val="24"/>
        </w:rPr>
        <w:t xml:space="preserve"> </w:t>
      </w:r>
      <w:r w:rsidR="74065B61" w:rsidRPr="0036474B">
        <w:rPr>
          <w:rFonts w:ascii="Times New Roman" w:eastAsia="Times New Roman" w:hAnsi="Times New Roman" w:cs="Times New Roman"/>
          <w:noProof/>
          <w:color w:val="000000" w:themeColor="text1"/>
          <w:sz w:val="24"/>
          <w:szCs w:val="24"/>
        </w:rPr>
        <w:t>Spotting opportunities with early-stage firms</w:t>
      </w:r>
      <w:r w:rsidR="753917A8" w:rsidRPr="0036474B">
        <w:rPr>
          <w:rFonts w:ascii="Times New Roman" w:eastAsia="Times New Roman" w:hAnsi="Times New Roman" w:cs="Times New Roman"/>
          <w:noProof/>
          <w:color w:val="000000" w:themeColor="text1"/>
          <w:sz w:val="24"/>
          <w:szCs w:val="24"/>
        </w:rPr>
        <w:t xml:space="preserve"> requires specific skills that are less present in banks and more in equity investors </w:t>
      </w:r>
      <w:r w:rsidR="74065B61" w:rsidRPr="0036474B">
        <w:rPr>
          <w:rFonts w:ascii="Times New Roman" w:eastAsia="Times New Roman" w:hAnsi="Times New Roman" w:cs="Times New Roman"/>
          <w:noProof/>
          <w:color w:val="000000" w:themeColor="text1"/>
          <w:sz w:val="24"/>
          <w:szCs w:val="24"/>
        </w:rPr>
        <w:t>(</w:t>
      </w:r>
      <w:r w:rsidR="001C64A4" w:rsidRPr="0036474B">
        <w:rPr>
          <w:rFonts w:ascii="Times New Roman" w:eastAsia="Times New Roman" w:hAnsi="Times New Roman" w:cs="Times New Roman"/>
          <w:noProof/>
          <w:color w:val="000000" w:themeColor="text1"/>
          <w:sz w:val="24"/>
          <w:szCs w:val="24"/>
        </w:rPr>
        <w:t xml:space="preserve">e.g. </w:t>
      </w:r>
      <w:r w:rsidR="74065B61" w:rsidRPr="0036474B">
        <w:rPr>
          <w:rFonts w:ascii="Times New Roman" w:eastAsia="Times New Roman" w:hAnsi="Times New Roman" w:cs="Times New Roman"/>
          <w:noProof/>
          <w:color w:val="000000" w:themeColor="text1"/>
          <w:sz w:val="24"/>
          <w:szCs w:val="24"/>
        </w:rPr>
        <w:t>venture capital firms)</w:t>
      </w:r>
      <w:r w:rsidR="56AA0FD5" w:rsidRPr="0036474B">
        <w:rPr>
          <w:rFonts w:ascii="Times New Roman" w:eastAsia="Times New Roman" w:hAnsi="Times New Roman" w:cs="Times New Roman"/>
          <w:noProof/>
          <w:color w:val="000000" w:themeColor="text1"/>
          <w:sz w:val="24"/>
          <w:szCs w:val="24"/>
        </w:rPr>
        <w:t xml:space="preserve">. </w:t>
      </w:r>
      <w:r w:rsidR="4A2FFC03" w:rsidRPr="0036474B">
        <w:rPr>
          <w:rFonts w:ascii="Times New Roman" w:eastAsia="Times New Roman" w:hAnsi="Times New Roman" w:cs="Times New Roman"/>
          <w:noProof/>
          <w:color w:val="000000" w:themeColor="text1"/>
          <w:sz w:val="24"/>
          <w:szCs w:val="24"/>
        </w:rPr>
        <w:t>Th</w:t>
      </w:r>
      <w:r w:rsidR="0D32279A" w:rsidRPr="0036474B">
        <w:rPr>
          <w:rFonts w:ascii="Times New Roman" w:eastAsia="Times New Roman" w:hAnsi="Times New Roman" w:cs="Times New Roman"/>
          <w:noProof/>
          <w:color w:val="000000" w:themeColor="text1"/>
          <w:sz w:val="24"/>
          <w:szCs w:val="24"/>
        </w:rPr>
        <w:t>ese</w:t>
      </w:r>
      <w:r w:rsidR="4A2FFC03" w:rsidRPr="0036474B">
        <w:rPr>
          <w:rFonts w:ascii="Times New Roman" w:eastAsia="Times New Roman" w:hAnsi="Times New Roman" w:cs="Times New Roman"/>
          <w:noProof/>
          <w:color w:val="000000" w:themeColor="text1"/>
          <w:sz w:val="24"/>
          <w:szCs w:val="24"/>
        </w:rPr>
        <w:t xml:space="preserve"> structural limitation</w:t>
      </w:r>
      <w:r w:rsidR="611DA3AF" w:rsidRPr="0036474B">
        <w:rPr>
          <w:rFonts w:ascii="Times New Roman" w:eastAsia="Times New Roman" w:hAnsi="Times New Roman" w:cs="Times New Roman"/>
          <w:noProof/>
          <w:color w:val="000000" w:themeColor="text1"/>
          <w:sz w:val="24"/>
          <w:szCs w:val="24"/>
        </w:rPr>
        <w:t>s</w:t>
      </w:r>
      <w:r w:rsidR="4A2FFC03" w:rsidRPr="0036474B">
        <w:rPr>
          <w:rFonts w:ascii="Times New Roman" w:eastAsia="Times New Roman" w:hAnsi="Times New Roman" w:cs="Times New Roman"/>
          <w:noProof/>
          <w:color w:val="000000" w:themeColor="text1"/>
          <w:sz w:val="24"/>
          <w:szCs w:val="24"/>
        </w:rPr>
        <w:t xml:space="preserve"> of bank-based intermediation argue for a more diversified financial ecosystem, with a greater share of equity and venture capital investors, a conclusion that points directly to the rationale of the Savings and Investments Union</w:t>
      </w:r>
      <w:r w:rsidR="001758ED">
        <w:rPr>
          <w:rFonts w:ascii="Times New Roman" w:eastAsia="Times New Roman" w:hAnsi="Times New Roman" w:cs="Times New Roman"/>
          <w:noProof/>
          <w:color w:val="000000" w:themeColor="text1"/>
          <w:sz w:val="24"/>
          <w:szCs w:val="24"/>
        </w:rPr>
        <w:t xml:space="preserve"> strategy</w:t>
      </w:r>
      <w:r w:rsidR="4A2FFC03" w:rsidRPr="0036474B">
        <w:rPr>
          <w:rFonts w:ascii="Times New Roman" w:eastAsia="Times New Roman" w:hAnsi="Times New Roman" w:cs="Times New Roman"/>
          <w:noProof/>
          <w:color w:val="000000" w:themeColor="text1"/>
          <w:sz w:val="24"/>
          <w:szCs w:val="24"/>
        </w:rPr>
        <w:t>.</w:t>
      </w:r>
      <w:r w:rsidR="2CB321EA" w:rsidRPr="0036474B">
        <w:rPr>
          <w:rFonts w:ascii="Times New Roman" w:eastAsia="Times New Roman" w:hAnsi="Times New Roman" w:cs="Times New Roman"/>
          <w:noProof/>
          <w:color w:val="000000" w:themeColor="text1"/>
          <w:sz w:val="24"/>
          <w:szCs w:val="24"/>
        </w:rPr>
        <w:t xml:space="preserve"> </w:t>
      </w:r>
    </w:p>
    <w:p w14:paraId="1A01DDD7" w14:textId="4014E4B7" w:rsidR="4A2FFC03" w:rsidRPr="0036474B" w:rsidRDefault="00934C3C" w:rsidP="00B4078C">
      <w:pPr>
        <w:spacing w:before="80" w:after="80" w:line="276" w:lineRule="auto"/>
        <w:jc w:val="both"/>
        <w:rPr>
          <w:rFonts w:ascii="Times New Roman" w:eastAsia="Times New Roman" w:hAnsi="Times New Roman" w:cs="Times New Roman"/>
          <w:noProof/>
          <w:color w:val="000000" w:themeColor="text1"/>
          <w:sz w:val="24"/>
          <w:szCs w:val="24"/>
          <w:vertAlign w:val="superscript"/>
        </w:rPr>
      </w:pPr>
      <w:r w:rsidRPr="001752EA">
        <w:rPr>
          <w:rFonts w:ascii="Times New Roman" w:eastAsia="Times New Roman" w:hAnsi="Times New Roman" w:cs="Times New Roman"/>
          <w:b/>
          <w:bCs/>
          <w:noProof/>
          <w:color w:val="000000" w:themeColor="text1"/>
          <w:sz w:val="24"/>
          <w:szCs w:val="24"/>
        </w:rPr>
        <w:t>While b</w:t>
      </w:r>
      <w:r w:rsidR="2CB321EA" w:rsidRPr="001752EA">
        <w:rPr>
          <w:rFonts w:ascii="Times New Roman" w:eastAsia="Times New Roman" w:hAnsi="Times New Roman" w:cs="Times New Roman"/>
          <w:b/>
          <w:bCs/>
          <w:noProof/>
          <w:color w:val="000000" w:themeColor="text1"/>
          <w:sz w:val="24"/>
          <w:szCs w:val="24"/>
        </w:rPr>
        <w:t>anks are the primary source of external financing for the majority of European firms, and particularly for SMEs</w:t>
      </w:r>
      <w:r w:rsidRPr="00825399">
        <w:rPr>
          <w:rFonts w:ascii="Times New Roman" w:eastAsia="Times New Roman" w:hAnsi="Times New Roman" w:cs="Times New Roman"/>
          <w:b/>
          <w:bCs/>
          <w:noProof/>
          <w:color w:val="000000" w:themeColor="text1"/>
          <w:sz w:val="24"/>
          <w:szCs w:val="24"/>
        </w:rPr>
        <w:t>,</w:t>
      </w:r>
      <w:r w:rsidR="4A2FFC03" w:rsidRPr="00825399">
        <w:rPr>
          <w:rFonts w:ascii="Times New Roman" w:eastAsia="Times New Roman" w:hAnsi="Times New Roman" w:cs="Times New Roman"/>
          <w:b/>
          <w:bCs/>
          <w:noProof/>
          <w:color w:val="000000" w:themeColor="text1"/>
          <w:sz w:val="24"/>
          <w:szCs w:val="24"/>
        </w:rPr>
        <w:t xml:space="preserve"> the efficiency of capital allocation (i.e. the degree to which credit flows to firms with the highest marginal productivity of capital) may not be the (main) objective of bank lending</w:t>
      </w:r>
      <w:r w:rsidR="4A2FFC03" w:rsidRPr="0036474B">
        <w:rPr>
          <w:rFonts w:ascii="Times New Roman" w:eastAsia="Times New Roman" w:hAnsi="Times New Roman" w:cs="Times New Roman"/>
          <w:noProof/>
          <w:color w:val="000000" w:themeColor="text1"/>
          <w:sz w:val="24"/>
          <w:szCs w:val="24"/>
        </w:rPr>
        <w:t xml:space="preserve">. </w:t>
      </w:r>
      <w:r w:rsidR="4A2FFC03" w:rsidRPr="001752EA">
        <w:rPr>
          <w:rFonts w:ascii="Times New Roman" w:eastAsia="Times New Roman" w:hAnsi="Times New Roman" w:cs="Times New Roman"/>
          <w:noProof/>
          <w:color w:val="000000" w:themeColor="text1"/>
          <w:sz w:val="24"/>
          <w:szCs w:val="24"/>
        </w:rPr>
        <w:t>At the sectoral level, the composition of bank lending portfolios across the euro area reveals significant concentration in real estate</w:t>
      </w:r>
      <w:r w:rsidR="4A2FFC03" w:rsidRPr="00825399">
        <w:rPr>
          <w:rFonts w:ascii="Times New Roman" w:eastAsia="Times New Roman" w:hAnsi="Times New Roman" w:cs="Times New Roman"/>
          <w:noProof/>
          <w:color w:val="000000" w:themeColor="text1"/>
          <w:sz w:val="24"/>
          <w:szCs w:val="24"/>
        </w:rPr>
        <w:t>.</w:t>
      </w:r>
      <w:r w:rsidR="4A2FFC03" w:rsidRPr="0036474B">
        <w:rPr>
          <w:rFonts w:ascii="Times New Roman" w:eastAsia="Times New Roman" w:hAnsi="Times New Roman" w:cs="Times New Roman"/>
          <w:noProof/>
          <w:color w:val="000000" w:themeColor="text1"/>
          <w:sz w:val="24"/>
          <w:szCs w:val="24"/>
        </w:rPr>
        <w:t xml:space="preserve"> A substantial share of bank credit in most European countries is directed to the real estate sector, both residential mortgage lending and commercial property financing. While such lending is economically important, </w:t>
      </w:r>
      <w:r w:rsidR="00F42353">
        <w:rPr>
          <w:rFonts w:ascii="Times New Roman" w:eastAsia="Times New Roman" w:hAnsi="Times New Roman" w:cs="Times New Roman"/>
          <w:noProof/>
          <w:color w:val="000000" w:themeColor="text1"/>
          <w:sz w:val="24"/>
          <w:szCs w:val="24"/>
        </w:rPr>
        <w:t>it is equally important that</w:t>
      </w:r>
      <w:r w:rsidR="4A2FFC03" w:rsidRPr="0036474B">
        <w:rPr>
          <w:rFonts w:ascii="Times New Roman" w:eastAsia="Times New Roman" w:hAnsi="Times New Roman" w:cs="Times New Roman"/>
          <w:noProof/>
          <w:color w:val="000000" w:themeColor="text1"/>
          <w:sz w:val="24"/>
          <w:szCs w:val="24"/>
        </w:rPr>
        <w:t xml:space="preserve"> bank credit in collateral-backed real estate</w:t>
      </w:r>
      <w:r w:rsidR="00D16602">
        <w:rPr>
          <w:rFonts w:ascii="Times New Roman" w:eastAsia="Times New Roman" w:hAnsi="Times New Roman" w:cs="Times New Roman"/>
          <w:noProof/>
          <w:color w:val="000000" w:themeColor="text1"/>
          <w:sz w:val="24"/>
          <w:szCs w:val="24"/>
        </w:rPr>
        <w:t xml:space="preserve"> is complemented </w:t>
      </w:r>
      <w:r w:rsidR="003043FB">
        <w:rPr>
          <w:rFonts w:ascii="Times New Roman" w:eastAsia="Times New Roman" w:hAnsi="Times New Roman" w:cs="Times New Roman"/>
          <w:noProof/>
          <w:color w:val="000000" w:themeColor="text1"/>
          <w:sz w:val="24"/>
          <w:szCs w:val="24"/>
        </w:rPr>
        <w:t xml:space="preserve">by </w:t>
      </w:r>
      <w:r w:rsidR="00AE402F">
        <w:rPr>
          <w:rFonts w:ascii="Times New Roman" w:eastAsia="Times New Roman" w:hAnsi="Times New Roman" w:cs="Times New Roman"/>
          <w:noProof/>
          <w:color w:val="000000" w:themeColor="text1"/>
          <w:sz w:val="24"/>
          <w:szCs w:val="24"/>
        </w:rPr>
        <w:t xml:space="preserve">the </w:t>
      </w:r>
      <w:r w:rsidR="00ED37FC" w:rsidRPr="00ED37FC">
        <w:rPr>
          <w:rFonts w:ascii="Times New Roman" w:eastAsia="Times New Roman" w:hAnsi="Times New Roman" w:cs="Times New Roman"/>
          <w:noProof/>
          <w:color w:val="000000" w:themeColor="text1"/>
          <w:sz w:val="24"/>
          <w:szCs w:val="24"/>
        </w:rPr>
        <w:t xml:space="preserve">financing </w:t>
      </w:r>
      <w:r w:rsidR="00AE402F">
        <w:rPr>
          <w:rFonts w:ascii="Times New Roman" w:eastAsia="Times New Roman" w:hAnsi="Times New Roman" w:cs="Times New Roman"/>
          <w:noProof/>
          <w:color w:val="000000" w:themeColor="text1"/>
          <w:sz w:val="24"/>
          <w:szCs w:val="24"/>
        </w:rPr>
        <w:t xml:space="preserve">of </w:t>
      </w:r>
      <w:r w:rsidR="00ED37FC" w:rsidRPr="0036474B">
        <w:rPr>
          <w:rFonts w:ascii="Times New Roman" w:eastAsia="Times New Roman" w:hAnsi="Times New Roman" w:cs="Times New Roman"/>
          <w:noProof/>
          <w:color w:val="000000" w:themeColor="text1"/>
          <w:sz w:val="24"/>
          <w:szCs w:val="24"/>
        </w:rPr>
        <w:t>innovative, fast-growing firms</w:t>
      </w:r>
      <w:r w:rsidR="00D43DDB">
        <w:rPr>
          <w:rFonts w:ascii="Times New Roman" w:eastAsia="Times New Roman" w:hAnsi="Times New Roman" w:cs="Times New Roman"/>
          <w:noProof/>
          <w:color w:val="000000" w:themeColor="text1"/>
          <w:sz w:val="24"/>
          <w:szCs w:val="24"/>
        </w:rPr>
        <w:t xml:space="preserve">, which should also rely on </w:t>
      </w:r>
      <w:r w:rsidR="00011C01">
        <w:rPr>
          <w:rFonts w:ascii="Times New Roman" w:eastAsia="Times New Roman" w:hAnsi="Times New Roman" w:cs="Times New Roman"/>
          <w:noProof/>
          <w:color w:val="000000" w:themeColor="text1"/>
          <w:sz w:val="24"/>
          <w:szCs w:val="24"/>
        </w:rPr>
        <w:t xml:space="preserve">other sources like </w:t>
      </w:r>
      <w:r w:rsidR="00D43DDB" w:rsidRPr="0036474B">
        <w:rPr>
          <w:rFonts w:ascii="Times New Roman" w:eastAsia="Times New Roman" w:hAnsi="Times New Roman" w:cs="Times New Roman"/>
          <w:noProof/>
          <w:color w:val="000000" w:themeColor="text1"/>
          <w:sz w:val="24"/>
          <w:szCs w:val="24"/>
        </w:rPr>
        <w:t xml:space="preserve">equity </w:t>
      </w:r>
      <w:r w:rsidR="00D43DDB">
        <w:rPr>
          <w:rFonts w:ascii="Times New Roman" w:eastAsia="Times New Roman" w:hAnsi="Times New Roman" w:cs="Times New Roman"/>
          <w:noProof/>
          <w:color w:val="000000" w:themeColor="text1"/>
          <w:sz w:val="24"/>
          <w:szCs w:val="24"/>
        </w:rPr>
        <w:t>investors</w:t>
      </w:r>
      <w:r w:rsidR="00351DEE">
        <w:rPr>
          <w:rFonts w:ascii="Times New Roman" w:eastAsia="Times New Roman" w:hAnsi="Times New Roman" w:cs="Times New Roman"/>
          <w:noProof/>
          <w:color w:val="000000" w:themeColor="text1"/>
          <w:sz w:val="24"/>
          <w:szCs w:val="24"/>
        </w:rPr>
        <w:t>.</w:t>
      </w:r>
      <w:r w:rsidR="00185499">
        <w:rPr>
          <w:rFonts w:ascii="Times New Roman" w:eastAsia="Times New Roman" w:hAnsi="Times New Roman" w:cs="Times New Roman"/>
          <w:noProof/>
          <w:color w:val="000000" w:themeColor="text1"/>
          <w:sz w:val="24"/>
          <w:szCs w:val="24"/>
        </w:rPr>
        <w:t xml:space="preserve"> Furthermore, </w:t>
      </w:r>
      <w:r w:rsidR="0061426E">
        <w:rPr>
          <w:rFonts w:ascii="Times New Roman" w:eastAsia="Times New Roman" w:hAnsi="Times New Roman" w:cs="Times New Roman"/>
          <w:noProof/>
          <w:color w:val="000000" w:themeColor="text1"/>
          <w:sz w:val="24"/>
          <w:szCs w:val="24"/>
        </w:rPr>
        <w:t xml:space="preserve">a large real estate banking portfolio may impact housing availability. </w:t>
      </w:r>
    </w:p>
    <w:p w14:paraId="5E96D01B" w14:textId="06D305DA" w:rsidR="2F5C8381" w:rsidRPr="0036474B" w:rsidRDefault="2F5C8381" w:rsidP="2F5C8381">
      <w:pPr>
        <w:rPr>
          <w:rFonts w:ascii="Times New Roman" w:hAnsi="Times New Roman" w:cs="Times New Roman"/>
          <w:noProof/>
          <w:sz w:val="24"/>
          <w:szCs w:val="24"/>
        </w:rPr>
      </w:pPr>
    </w:p>
    <w:p w14:paraId="5D8501B8" w14:textId="5E580EFF" w:rsidR="00A6368C" w:rsidRPr="001752EA" w:rsidRDefault="001968DB" w:rsidP="00B00C18">
      <w:pPr>
        <w:pStyle w:val="ListParagraph"/>
        <w:numPr>
          <w:ilvl w:val="2"/>
          <w:numId w:val="11"/>
        </w:numPr>
        <w:ind w:left="1077"/>
        <w:outlineLvl w:val="2"/>
        <w:rPr>
          <w:rFonts w:ascii="Times New Roman" w:hAnsi="Times New Roman" w:cs="Times New Roman"/>
          <w:b/>
          <w:noProof/>
          <w:sz w:val="24"/>
          <w:szCs w:val="24"/>
          <w:lang w:val="en-GB"/>
        </w:rPr>
      </w:pPr>
      <w:bookmarkStart w:id="17" w:name="_Toc234341725"/>
      <w:r w:rsidRPr="001752EA">
        <w:rPr>
          <w:rFonts w:ascii="Times New Roman" w:hAnsi="Times New Roman" w:cs="Times New Roman"/>
          <w:b/>
          <w:noProof/>
          <w:sz w:val="24"/>
          <w:szCs w:val="24"/>
          <w:lang w:val="en-GB"/>
        </w:rPr>
        <w:t>Banks as market intermediaries</w:t>
      </w:r>
      <w:bookmarkEnd w:id="17"/>
    </w:p>
    <w:p w14:paraId="105C4645" w14:textId="2885EAE4" w:rsidR="486B821F" w:rsidRPr="0036474B" w:rsidRDefault="6904CE12" w:rsidP="004E4C61">
      <w:pPr>
        <w:jc w:val="both"/>
        <w:rPr>
          <w:rFonts w:ascii="Times New Roman" w:eastAsia="Times New Roman" w:hAnsi="Times New Roman" w:cs="Times New Roman"/>
          <w:noProof/>
          <w:color w:val="000000" w:themeColor="text1"/>
          <w:sz w:val="24"/>
          <w:szCs w:val="24"/>
        </w:rPr>
      </w:pPr>
      <w:r w:rsidRPr="0036474B">
        <w:rPr>
          <w:rFonts w:ascii="Times New Roman" w:hAnsi="Times New Roman" w:cs="Times New Roman"/>
          <w:b/>
          <w:noProof/>
          <w:sz w:val="24"/>
          <w:szCs w:val="24"/>
          <w:lang w:val="en-GB"/>
        </w:rPr>
        <w:t xml:space="preserve">Beyond their traditional role as deposit-taker and lenders, </w:t>
      </w:r>
      <w:r w:rsidR="11F6F30D" w:rsidRPr="0036474B">
        <w:rPr>
          <w:rFonts w:ascii="Times New Roman" w:hAnsi="Times New Roman" w:cs="Times New Roman"/>
          <w:b/>
          <w:noProof/>
          <w:sz w:val="24"/>
          <w:szCs w:val="24"/>
          <w:lang w:val="en-GB"/>
        </w:rPr>
        <w:t xml:space="preserve">some </w:t>
      </w:r>
      <w:r w:rsidRPr="0036474B">
        <w:rPr>
          <w:rFonts w:ascii="Times New Roman" w:hAnsi="Times New Roman" w:cs="Times New Roman"/>
          <w:b/>
          <w:noProof/>
          <w:sz w:val="24"/>
          <w:szCs w:val="24"/>
          <w:lang w:val="en-GB"/>
        </w:rPr>
        <w:t>b</w:t>
      </w:r>
      <w:r w:rsidR="025ABDCF" w:rsidRPr="0036474B">
        <w:rPr>
          <w:rFonts w:ascii="Times New Roman" w:hAnsi="Times New Roman" w:cs="Times New Roman"/>
          <w:b/>
          <w:noProof/>
          <w:sz w:val="24"/>
          <w:szCs w:val="24"/>
          <w:lang w:val="en-GB"/>
        </w:rPr>
        <w:t xml:space="preserve">anks </w:t>
      </w:r>
      <w:r w:rsidR="6CF1780C" w:rsidRPr="0036474B">
        <w:rPr>
          <w:rFonts w:ascii="Times New Roman" w:hAnsi="Times New Roman" w:cs="Times New Roman"/>
          <w:b/>
          <w:noProof/>
          <w:sz w:val="24"/>
          <w:szCs w:val="24"/>
          <w:lang w:val="en-GB"/>
        </w:rPr>
        <w:t xml:space="preserve">serve </w:t>
      </w:r>
      <w:r w:rsidR="2D24130F" w:rsidRPr="0036474B">
        <w:rPr>
          <w:rFonts w:ascii="Times New Roman" w:hAnsi="Times New Roman" w:cs="Times New Roman"/>
          <w:b/>
          <w:noProof/>
          <w:sz w:val="24"/>
          <w:szCs w:val="24"/>
          <w:lang w:val="en-GB"/>
        </w:rPr>
        <w:t xml:space="preserve">as intermediaries in </w:t>
      </w:r>
      <w:r w:rsidR="204D679F" w:rsidRPr="0036474B">
        <w:rPr>
          <w:rFonts w:ascii="Times New Roman" w:hAnsi="Times New Roman" w:cs="Times New Roman"/>
          <w:b/>
          <w:noProof/>
          <w:sz w:val="24"/>
          <w:szCs w:val="24"/>
          <w:lang w:val="en-GB"/>
        </w:rPr>
        <w:t>financial</w:t>
      </w:r>
      <w:r w:rsidR="2D24130F" w:rsidRPr="0036474B">
        <w:rPr>
          <w:rFonts w:ascii="Times New Roman" w:hAnsi="Times New Roman" w:cs="Times New Roman"/>
          <w:b/>
          <w:noProof/>
          <w:sz w:val="24"/>
          <w:szCs w:val="24"/>
          <w:lang w:val="en-GB"/>
        </w:rPr>
        <w:t xml:space="preserve"> markets</w:t>
      </w:r>
      <w:r w:rsidR="1FAD1B97" w:rsidRPr="0036474B">
        <w:rPr>
          <w:rFonts w:ascii="Times New Roman" w:hAnsi="Times New Roman" w:cs="Times New Roman"/>
          <w:noProof/>
          <w:sz w:val="24"/>
          <w:szCs w:val="24"/>
          <w:lang w:val="en-GB"/>
        </w:rPr>
        <w:t xml:space="preserve">. In this capacity, </w:t>
      </w:r>
      <w:r w:rsidR="11F6F30D" w:rsidRPr="0036474B">
        <w:rPr>
          <w:rFonts w:ascii="Times New Roman" w:hAnsi="Times New Roman" w:cs="Times New Roman"/>
          <w:noProof/>
          <w:sz w:val="24"/>
          <w:szCs w:val="24"/>
          <w:lang w:val="en-GB"/>
        </w:rPr>
        <w:t xml:space="preserve">they </w:t>
      </w:r>
      <w:r w:rsidR="1FAD1B97" w:rsidRPr="0036474B">
        <w:rPr>
          <w:rFonts w:ascii="Times New Roman" w:hAnsi="Times New Roman" w:cs="Times New Roman"/>
          <w:noProof/>
          <w:sz w:val="24"/>
          <w:szCs w:val="24"/>
          <w:lang w:val="en-GB"/>
        </w:rPr>
        <w:t>operate as underwriters, arrangers, dealers</w:t>
      </w:r>
      <w:r w:rsidR="4A8FE99B" w:rsidRPr="0036474B">
        <w:rPr>
          <w:rFonts w:ascii="Times New Roman" w:hAnsi="Times New Roman" w:cs="Times New Roman"/>
          <w:noProof/>
          <w:sz w:val="24"/>
          <w:szCs w:val="24"/>
          <w:lang w:val="en-GB"/>
        </w:rPr>
        <w:t>, custodians and risk managers</w:t>
      </w:r>
      <w:r w:rsidR="56DDE7C8" w:rsidRPr="0036474B">
        <w:rPr>
          <w:rFonts w:ascii="Times New Roman" w:hAnsi="Times New Roman" w:cs="Times New Roman"/>
          <w:noProof/>
          <w:sz w:val="24"/>
          <w:szCs w:val="24"/>
          <w:lang w:val="en-GB"/>
        </w:rPr>
        <w:t xml:space="preserve">, </w:t>
      </w:r>
      <w:r w:rsidR="0EF7DD4C" w:rsidRPr="0036474B">
        <w:rPr>
          <w:rFonts w:ascii="Times New Roman" w:hAnsi="Times New Roman" w:cs="Times New Roman"/>
          <w:noProof/>
          <w:sz w:val="24"/>
          <w:szCs w:val="24"/>
          <w:lang w:val="en-GB"/>
        </w:rPr>
        <w:t>thereby enabling</w:t>
      </w:r>
      <w:r w:rsidR="56DDE7C8" w:rsidRPr="0036474B">
        <w:rPr>
          <w:rFonts w:ascii="Times New Roman" w:hAnsi="Times New Roman" w:cs="Times New Roman"/>
          <w:noProof/>
          <w:sz w:val="24"/>
          <w:szCs w:val="24"/>
          <w:lang w:val="en-GB"/>
        </w:rPr>
        <w:t xml:space="preserve"> investment </w:t>
      </w:r>
      <w:r w:rsidR="0EF7DD4C" w:rsidRPr="0036474B">
        <w:rPr>
          <w:rFonts w:ascii="Times New Roman" w:hAnsi="Times New Roman" w:cs="Times New Roman"/>
          <w:noProof/>
          <w:sz w:val="24"/>
          <w:szCs w:val="24"/>
          <w:lang w:val="en-GB"/>
        </w:rPr>
        <w:t>flows</w:t>
      </w:r>
      <w:r w:rsidR="56DDE7C8" w:rsidRPr="0036474B">
        <w:rPr>
          <w:rFonts w:ascii="Times New Roman" w:hAnsi="Times New Roman" w:cs="Times New Roman"/>
          <w:noProof/>
          <w:sz w:val="24"/>
          <w:szCs w:val="24"/>
          <w:lang w:val="en-GB"/>
        </w:rPr>
        <w:t xml:space="preserve"> </w:t>
      </w:r>
      <w:r w:rsidR="0EF7DD4C" w:rsidRPr="0036474B">
        <w:rPr>
          <w:rFonts w:ascii="Times New Roman" w:hAnsi="Times New Roman" w:cs="Times New Roman"/>
          <w:noProof/>
          <w:sz w:val="24"/>
          <w:szCs w:val="24"/>
          <w:lang w:val="en-GB"/>
        </w:rPr>
        <w:t>across</w:t>
      </w:r>
      <w:r w:rsidR="56DDE7C8" w:rsidRPr="0036474B">
        <w:rPr>
          <w:rFonts w:ascii="Times New Roman" w:hAnsi="Times New Roman" w:cs="Times New Roman"/>
          <w:noProof/>
          <w:sz w:val="24"/>
          <w:szCs w:val="24"/>
          <w:lang w:val="en-GB"/>
        </w:rPr>
        <w:t xml:space="preserve"> the </w:t>
      </w:r>
      <w:r w:rsidR="0EF7DD4C" w:rsidRPr="0036474B">
        <w:rPr>
          <w:rFonts w:ascii="Times New Roman" w:hAnsi="Times New Roman" w:cs="Times New Roman"/>
          <w:noProof/>
          <w:sz w:val="24"/>
          <w:szCs w:val="24"/>
          <w:lang w:val="en-GB"/>
        </w:rPr>
        <w:t xml:space="preserve">EU </w:t>
      </w:r>
      <w:r w:rsidR="56DDE7C8" w:rsidRPr="0036474B">
        <w:rPr>
          <w:rFonts w:ascii="Times New Roman" w:hAnsi="Times New Roman" w:cs="Times New Roman"/>
          <w:noProof/>
          <w:sz w:val="24"/>
          <w:szCs w:val="24"/>
          <w:lang w:val="en-GB"/>
        </w:rPr>
        <w:t>economy.</w:t>
      </w:r>
      <w:r w:rsidR="34AE04F0" w:rsidRPr="0036474B">
        <w:rPr>
          <w:rFonts w:ascii="Times New Roman" w:hAnsi="Times New Roman" w:cs="Times New Roman"/>
          <w:noProof/>
          <w:sz w:val="24"/>
          <w:szCs w:val="24"/>
          <w:lang w:val="en-GB"/>
        </w:rPr>
        <w:t xml:space="preserve"> </w:t>
      </w:r>
      <w:r w:rsidR="130900BF" w:rsidRPr="0036474B">
        <w:rPr>
          <w:rFonts w:ascii="Times New Roman" w:eastAsia="Times New Roman" w:hAnsi="Times New Roman" w:cs="Times New Roman"/>
          <w:noProof/>
          <w:color w:val="000000" w:themeColor="text1"/>
          <w:sz w:val="24"/>
          <w:szCs w:val="24"/>
        </w:rPr>
        <w:t>This</w:t>
      </w:r>
      <w:r w:rsidR="11F6F30D" w:rsidRPr="0036474B">
        <w:rPr>
          <w:rFonts w:ascii="Times New Roman" w:eastAsia="Times New Roman" w:hAnsi="Times New Roman" w:cs="Times New Roman"/>
          <w:noProof/>
          <w:color w:val="000000" w:themeColor="text1"/>
          <w:sz w:val="24"/>
          <w:szCs w:val="24"/>
        </w:rPr>
        <w:t xml:space="preserve"> intermediary</w:t>
      </w:r>
      <w:r w:rsidR="130900BF" w:rsidRPr="0036474B">
        <w:rPr>
          <w:rFonts w:ascii="Times New Roman" w:eastAsia="Times New Roman" w:hAnsi="Times New Roman" w:cs="Times New Roman"/>
          <w:noProof/>
          <w:color w:val="000000" w:themeColor="text1"/>
          <w:sz w:val="24"/>
          <w:szCs w:val="24"/>
        </w:rPr>
        <w:t xml:space="preserve"> role is heavily concentrated around </w:t>
      </w:r>
      <w:r w:rsidR="004C631A">
        <w:rPr>
          <w:rFonts w:ascii="Times New Roman" w:eastAsia="Times New Roman" w:hAnsi="Times New Roman" w:cs="Times New Roman"/>
          <w:noProof/>
          <w:color w:val="000000" w:themeColor="text1"/>
          <w:sz w:val="24"/>
          <w:szCs w:val="24"/>
        </w:rPr>
        <w:t xml:space="preserve">the </w:t>
      </w:r>
      <w:r w:rsidR="130900BF" w:rsidRPr="0036474B">
        <w:rPr>
          <w:rFonts w:ascii="Times New Roman" w:eastAsia="Times New Roman" w:hAnsi="Times New Roman" w:cs="Times New Roman"/>
          <w:noProof/>
          <w:color w:val="000000" w:themeColor="text1"/>
          <w:sz w:val="24"/>
          <w:szCs w:val="24"/>
        </w:rPr>
        <w:t>seven euro</w:t>
      </w:r>
      <w:r w:rsidR="72B27C06" w:rsidRPr="0036474B">
        <w:rPr>
          <w:rFonts w:ascii="Times New Roman" w:eastAsia="Times New Roman" w:hAnsi="Times New Roman" w:cs="Times New Roman"/>
          <w:noProof/>
          <w:color w:val="000000" w:themeColor="text1"/>
          <w:sz w:val="24"/>
          <w:szCs w:val="24"/>
        </w:rPr>
        <w:t>-</w:t>
      </w:r>
      <w:r w:rsidR="130900BF" w:rsidRPr="0036474B">
        <w:rPr>
          <w:rFonts w:ascii="Times New Roman" w:eastAsia="Times New Roman" w:hAnsi="Times New Roman" w:cs="Times New Roman"/>
          <w:noProof/>
          <w:color w:val="000000" w:themeColor="text1"/>
          <w:sz w:val="24"/>
          <w:szCs w:val="24"/>
        </w:rPr>
        <w:t>area global systemically important banks (G-SIBs)</w:t>
      </w:r>
      <w:r w:rsidR="004C631A">
        <w:rPr>
          <w:rFonts w:ascii="Times New Roman" w:eastAsia="Times New Roman" w:hAnsi="Times New Roman" w:cs="Times New Roman"/>
          <w:noProof/>
          <w:color w:val="000000" w:themeColor="text1"/>
          <w:sz w:val="24"/>
          <w:szCs w:val="24"/>
        </w:rPr>
        <w:t xml:space="preserve"> and other large EU banks</w:t>
      </w:r>
      <w:r w:rsidR="1FACC9CE" w:rsidRPr="0036474B">
        <w:rPr>
          <w:rFonts w:ascii="Times New Roman" w:eastAsia="Times New Roman" w:hAnsi="Times New Roman" w:cs="Times New Roman"/>
          <w:noProof/>
          <w:color w:val="000000" w:themeColor="text1"/>
          <w:sz w:val="24"/>
          <w:szCs w:val="24"/>
        </w:rPr>
        <w:t>.</w:t>
      </w:r>
      <w:r w:rsidR="130900BF" w:rsidRPr="0036474B">
        <w:rPr>
          <w:rFonts w:ascii="Times New Roman" w:eastAsia="Times New Roman" w:hAnsi="Times New Roman" w:cs="Times New Roman"/>
          <w:noProof/>
          <w:color w:val="000000" w:themeColor="text1"/>
          <w:sz w:val="24"/>
          <w:szCs w:val="24"/>
        </w:rPr>
        <w:t xml:space="preserve"> </w:t>
      </w:r>
    </w:p>
    <w:p w14:paraId="399B2706" w14:textId="341EA287" w:rsidR="009B4636" w:rsidRPr="0036474B" w:rsidRDefault="342FA8E2" w:rsidP="44097E9D">
      <w:pPr>
        <w:jc w:val="both"/>
        <w:rPr>
          <w:rFonts w:ascii="Times New Roman" w:eastAsia="Times New Roman" w:hAnsi="Times New Roman" w:cs="Times New Roman"/>
          <w:noProof/>
          <w:color w:val="000000" w:themeColor="text1"/>
          <w:sz w:val="24"/>
          <w:szCs w:val="24"/>
          <w:lang w:val="en-GB"/>
        </w:rPr>
      </w:pPr>
      <w:r w:rsidRPr="4EB84919">
        <w:rPr>
          <w:rFonts w:ascii="Times New Roman" w:eastAsia="Times New Roman" w:hAnsi="Times New Roman" w:cs="Times New Roman"/>
          <w:b/>
          <w:bCs/>
          <w:noProof/>
          <w:color w:val="000000" w:themeColor="text1"/>
          <w:sz w:val="24"/>
          <w:szCs w:val="24"/>
        </w:rPr>
        <w:t>Repo markets</w:t>
      </w:r>
      <w:r w:rsidRPr="4EB84919">
        <w:rPr>
          <w:rFonts w:ascii="Times New Roman" w:eastAsiaTheme="minorEastAsia" w:hAnsi="Times New Roman" w:cs="Times New Roman"/>
          <w:noProof/>
          <w:color w:val="000000" w:themeColor="text1"/>
          <w:sz w:val="24"/>
          <w:szCs w:val="24"/>
          <w:vertAlign w:val="superscript"/>
        </w:rPr>
        <w:footnoteReference w:id="18"/>
      </w:r>
      <w:r w:rsidRPr="4EB84919">
        <w:rPr>
          <w:rFonts w:ascii="Times New Roman" w:eastAsia="Times New Roman" w:hAnsi="Times New Roman" w:cs="Times New Roman"/>
          <w:b/>
          <w:bCs/>
          <w:noProof/>
          <w:color w:val="000000" w:themeColor="text1"/>
          <w:sz w:val="24"/>
          <w:szCs w:val="24"/>
        </w:rPr>
        <w:t xml:space="preserve"> are one of the key channels</w:t>
      </w:r>
      <w:r w:rsidR="7B567E1F" w:rsidRPr="4EB84919">
        <w:rPr>
          <w:rFonts w:ascii="Times New Roman" w:eastAsia="Times New Roman" w:hAnsi="Times New Roman" w:cs="Times New Roman"/>
          <w:b/>
          <w:bCs/>
          <w:noProof/>
          <w:color w:val="000000" w:themeColor="text1"/>
          <w:sz w:val="24"/>
          <w:szCs w:val="24"/>
        </w:rPr>
        <w:t xml:space="preserve"> through which</w:t>
      </w:r>
      <w:r w:rsidR="0AD910FC" w:rsidRPr="4EB84919">
        <w:rPr>
          <w:rFonts w:ascii="Times New Roman" w:eastAsia="Times New Roman" w:hAnsi="Times New Roman" w:cs="Times New Roman"/>
          <w:b/>
          <w:bCs/>
          <w:noProof/>
          <w:color w:val="000000" w:themeColor="text1"/>
          <w:sz w:val="24"/>
          <w:szCs w:val="24"/>
        </w:rPr>
        <w:t xml:space="preserve"> banks’ intermediation operates</w:t>
      </w:r>
      <w:r w:rsidR="3C1F9C31" w:rsidRPr="4EB84919">
        <w:rPr>
          <w:rFonts w:ascii="Times New Roman" w:eastAsia="Times New Roman" w:hAnsi="Times New Roman" w:cs="Times New Roman"/>
          <w:b/>
          <w:bCs/>
          <w:noProof/>
          <w:color w:val="000000" w:themeColor="text1"/>
          <w:sz w:val="24"/>
          <w:szCs w:val="24"/>
        </w:rPr>
        <w:t>, given the scale of these markets</w:t>
      </w:r>
      <w:r w:rsidR="5BE08F2F" w:rsidRPr="0036474B">
        <w:rPr>
          <w:rFonts w:ascii="Times New Roman" w:eastAsia="Times New Roman" w:hAnsi="Times New Roman" w:cs="Times New Roman"/>
          <w:noProof/>
          <w:color w:val="000000" w:themeColor="text1"/>
          <w:sz w:val="24"/>
          <w:szCs w:val="24"/>
        </w:rPr>
        <w:t>.</w:t>
      </w:r>
      <w:r w:rsidR="1F57C598" w:rsidRPr="0036474B">
        <w:rPr>
          <w:rFonts w:ascii="Times New Roman" w:eastAsia="Times New Roman" w:hAnsi="Times New Roman" w:cs="Times New Roman"/>
          <w:noProof/>
          <w:color w:val="000000" w:themeColor="text1"/>
          <w:sz w:val="24"/>
          <w:szCs w:val="24"/>
        </w:rPr>
        <w:t xml:space="preserve"> </w:t>
      </w:r>
      <w:r w:rsidR="747A68E8" w:rsidRPr="0036474B">
        <w:rPr>
          <w:rFonts w:ascii="Times New Roman" w:eastAsia="Times New Roman" w:hAnsi="Times New Roman" w:cs="Times New Roman"/>
          <w:noProof/>
          <w:color w:val="000000" w:themeColor="text1"/>
          <w:sz w:val="24"/>
          <w:szCs w:val="24"/>
        </w:rPr>
        <w:t xml:space="preserve">Repo intermediation activity has more than doubled since 2021, driven by increased </w:t>
      </w:r>
      <w:r w:rsidR="1F57C598" w:rsidRPr="0036474B">
        <w:rPr>
          <w:rFonts w:ascii="Times New Roman" w:eastAsia="Times New Roman" w:hAnsi="Times New Roman" w:cs="Times New Roman"/>
          <w:noProof/>
          <w:color w:val="000000" w:themeColor="text1"/>
          <w:sz w:val="24"/>
          <w:szCs w:val="24"/>
        </w:rPr>
        <w:t>demand from</w:t>
      </w:r>
      <w:r w:rsidR="747A68E8" w:rsidRPr="0036474B">
        <w:rPr>
          <w:rFonts w:ascii="Times New Roman" w:eastAsia="Times New Roman" w:hAnsi="Times New Roman" w:cs="Times New Roman"/>
          <w:noProof/>
          <w:color w:val="000000" w:themeColor="text1"/>
          <w:sz w:val="24"/>
          <w:szCs w:val="24"/>
        </w:rPr>
        <w:t xml:space="preserve"> non-euro area </w:t>
      </w:r>
      <w:r w:rsidR="271D8C10" w:rsidRPr="0036474B">
        <w:rPr>
          <w:rFonts w:ascii="Times New Roman" w:eastAsia="Times New Roman" w:hAnsi="Times New Roman" w:cs="Times New Roman"/>
          <w:noProof/>
          <w:color w:val="000000" w:themeColor="text1"/>
          <w:sz w:val="24"/>
          <w:szCs w:val="24"/>
        </w:rPr>
        <w:t>non-bank financial entities</w:t>
      </w:r>
      <w:r w:rsidR="747A68E8" w:rsidRPr="0036474B">
        <w:rPr>
          <w:rFonts w:ascii="Times New Roman" w:eastAsia="Times New Roman" w:hAnsi="Times New Roman" w:cs="Times New Roman"/>
          <w:noProof/>
          <w:color w:val="000000" w:themeColor="text1"/>
          <w:sz w:val="24"/>
          <w:szCs w:val="24"/>
        </w:rPr>
        <w:t xml:space="preserve"> </w:t>
      </w:r>
      <w:r w:rsidR="3E9A34D1" w:rsidRPr="0036474B">
        <w:rPr>
          <w:rFonts w:ascii="Times New Roman" w:eastAsia="Times New Roman" w:hAnsi="Times New Roman" w:cs="Times New Roman"/>
          <w:noProof/>
          <w:color w:val="000000" w:themeColor="text1"/>
          <w:sz w:val="24"/>
          <w:szCs w:val="24"/>
        </w:rPr>
        <w:t>(NBFI).</w:t>
      </w:r>
      <w:r w:rsidR="747A68E8" w:rsidRPr="0036474B">
        <w:rPr>
          <w:rFonts w:ascii="Times New Roman" w:eastAsia="Times New Roman" w:hAnsi="Times New Roman" w:cs="Times New Roman"/>
          <w:noProof/>
          <w:color w:val="000000" w:themeColor="text1"/>
          <w:sz w:val="24"/>
          <w:szCs w:val="24"/>
        </w:rPr>
        <w:t xml:space="preserve"> </w:t>
      </w:r>
      <w:r w:rsidR="67907E15" w:rsidRPr="0036474B">
        <w:rPr>
          <w:rFonts w:ascii="Times New Roman" w:eastAsia="Times New Roman" w:hAnsi="Times New Roman" w:cs="Times New Roman"/>
          <w:noProof/>
          <w:color w:val="000000" w:themeColor="text1"/>
          <w:sz w:val="24"/>
          <w:szCs w:val="24"/>
        </w:rPr>
        <w:t xml:space="preserve">Repo intermediation in US dollar </w:t>
      </w:r>
      <w:r w:rsidR="7D682B05" w:rsidRPr="0036474B">
        <w:rPr>
          <w:rFonts w:ascii="Times New Roman" w:eastAsia="Times New Roman" w:hAnsi="Times New Roman" w:cs="Times New Roman"/>
          <w:noProof/>
          <w:color w:val="000000" w:themeColor="text1"/>
          <w:sz w:val="24"/>
          <w:szCs w:val="24"/>
        </w:rPr>
        <w:t xml:space="preserve">warrants particular attention in this context, considering </w:t>
      </w:r>
      <w:r w:rsidR="55139B67" w:rsidRPr="0036474B">
        <w:rPr>
          <w:rFonts w:ascii="Times New Roman" w:eastAsia="Times New Roman" w:hAnsi="Times New Roman" w:cs="Times New Roman"/>
          <w:noProof/>
          <w:color w:val="000000" w:themeColor="text1"/>
          <w:sz w:val="24"/>
          <w:szCs w:val="24"/>
        </w:rPr>
        <w:t xml:space="preserve">the </w:t>
      </w:r>
      <w:r w:rsidR="1C2B0AE7" w:rsidRPr="0036474B">
        <w:rPr>
          <w:rFonts w:ascii="Times New Roman" w:eastAsia="Times New Roman" w:hAnsi="Times New Roman" w:cs="Times New Roman"/>
          <w:noProof/>
          <w:color w:val="000000" w:themeColor="text1"/>
          <w:sz w:val="24"/>
          <w:szCs w:val="24"/>
        </w:rPr>
        <w:t>demand from non-euro area</w:t>
      </w:r>
      <w:r w:rsidR="747A68E8" w:rsidRPr="0036474B">
        <w:rPr>
          <w:rFonts w:ascii="Times New Roman" w:eastAsia="Times New Roman" w:hAnsi="Times New Roman" w:cs="Times New Roman"/>
          <w:noProof/>
          <w:color w:val="000000" w:themeColor="text1"/>
          <w:sz w:val="24"/>
          <w:szCs w:val="24"/>
        </w:rPr>
        <w:t xml:space="preserve"> investment funds </w:t>
      </w:r>
      <w:r w:rsidR="1C2B0AE7" w:rsidRPr="0036474B">
        <w:rPr>
          <w:rFonts w:ascii="Times New Roman" w:eastAsia="Times New Roman" w:hAnsi="Times New Roman" w:cs="Times New Roman"/>
          <w:noProof/>
          <w:color w:val="000000" w:themeColor="text1"/>
          <w:sz w:val="24"/>
          <w:szCs w:val="24"/>
        </w:rPr>
        <w:t>(</w:t>
      </w:r>
      <w:r w:rsidR="747A68E8" w:rsidRPr="0036474B">
        <w:rPr>
          <w:rFonts w:ascii="Times New Roman" w:eastAsia="Times New Roman" w:hAnsi="Times New Roman" w:cs="Times New Roman"/>
          <w:noProof/>
          <w:color w:val="000000" w:themeColor="text1"/>
          <w:sz w:val="24"/>
          <w:szCs w:val="24"/>
        </w:rPr>
        <w:t>mainly hedge funds</w:t>
      </w:r>
      <w:r w:rsidR="1C2B0AE7" w:rsidRPr="0036474B">
        <w:rPr>
          <w:rFonts w:ascii="Times New Roman" w:eastAsia="Times New Roman" w:hAnsi="Times New Roman" w:cs="Times New Roman"/>
          <w:noProof/>
          <w:color w:val="000000" w:themeColor="text1"/>
          <w:sz w:val="24"/>
          <w:szCs w:val="24"/>
        </w:rPr>
        <w:t>)</w:t>
      </w:r>
      <w:r w:rsidR="747A68E8" w:rsidRPr="0036474B">
        <w:rPr>
          <w:rFonts w:ascii="Times New Roman" w:eastAsia="Times New Roman" w:hAnsi="Times New Roman" w:cs="Times New Roman"/>
          <w:noProof/>
          <w:color w:val="000000" w:themeColor="text1"/>
          <w:sz w:val="24"/>
          <w:szCs w:val="24"/>
        </w:rPr>
        <w:t xml:space="preserve"> </w:t>
      </w:r>
      <w:r w:rsidR="74A6BF32" w:rsidRPr="0036474B">
        <w:rPr>
          <w:rFonts w:ascii="Times New Roman" w:eastAsia="Times New Roman" w:hAnsi="Times New Roman" w:cs="Times New Roman"/>
          <w:noProof/>
          <w:color w:val="000000" w:themeColor="text1"/>
          <w:sz w:val="24"/>
          <w:szCs w:val="24"/>
        </w:rPr>
        <w:t>for short-term liquidity denominated in USD</w:t>
      </w:r>
      <w:r w:rsidR="21277D65" w:rsidRPr="0036474B">
        <w:rPr>
          <w:rFonts w:ascii="Times New Roman" w:eastAsia="Times New Roman" w:hAnsi="Times New Roman" w:cs="Times New Roman"/>
          <w:noProof/>
          <w:color w:val="000000" w:themeColor="text1"/>
          <w:sz w:val="24"/>
          <w:szCs w:val="24"/>
        </w:rPr>
        <w:t>.</w:t>
      </w:r>
      <w:r w:rsidR="747A68E8" w:rsidRPr="0036474B">
        <w:rPr>
          <w:rFonts w:ascii="Times New Roman" w:eastAsia="Times New Roman" w:hAnsi="Times New Roman" w:cs="Times New Roman"/>
          <w:noProof/>
          <w:color w:val="000000" w:themeColor="text1"/>
          <w:sz w:val="24"/>
          <w:szCs w:val="24"/>
        </w:rPr>
        <w:t xml:space="preserve"> </w:t>
      </w:r>
      <w:r w:rsidR="42D53063" w:rsidRPr="0036474B">
        <w:rPr>
          <w:rFonts w:ascii="Times New Roman" w:eastAsia="Times New Roman" w:hAnsi="Times New Roman" w:cs="Times New Roman"/>
          <w:noProof/>
          <w:color w:val="000000" w:themeColor="text1"/>
          <w:sz w:val="24"/>
          <w:szCs w:val="24"/>
        </w:rPr>
        <w:t>This activity is highly concentrated with</w:t>
      </w:r>
      <w:r w:rsidR="76D55EEA" w:rsidRPr="0036474B">
        <w:rPr>
          <w:rFonts w:ascii="Times New Roman" w:eastAsia="Times New Roman" w:hAnsi="Times New Roman" w:cs="Times New Roman"/>
          <w:noProof/>
          <w:color w:val="000000" w:themeColor="text1"/>
          <w:sz w:val="24"/>
          <w:szCs w:val="24"/>
        </w:rPr>
        <w:t>in</w:t>
      </w:r>
      <w:r w:rsidR="3CA1D883" w:rsidRPr="0036474B">
        <w:rPr>
          <w:rFonts w:ascii="Times New Roman" w:eastAsia="Times New Roman" w:hAnsi="Times New Roman" w:cs="Times New Roman"/>
          <w:noProof/>
          <w:color w:val="000000" w:themeColor="text1"/>
          <w:sz w:val="24"/>
          <w:szCs w:val="24"/>
        </w:rPr>
        <w:t xml:space="preserve"> </w:t>
      </w:r>
      <w:r w:rsidR="10B3E02A" w:rsidRPr="0036474B">
        <w:rPr>
          <w:rFonts w:ascii="Times New Roman" w:eastAsia="Times New Roman" w:hAnsi="Times New Roman" w:cs="Times New Roman"/>
          <w:noProof/>
          <w:color w:val="000000" w:themeColor="text1"/>
          <w:sz w:val="24"/>
          <w:szCs w:val="24"/>
        </w:rPr>
        <w:t>f</w:t>
      </w:r>
      <w:r w:rsidR="747A68E8" w:rsidRPr="0036474B">
        <w:rPr>
          <w:rFonts w:ascii="Times New Roman" w:eastAsia="Times New Roman" w:hAnsi="Times New Roman" w:cs="Times New Roman"/>
          <w:noProof/>
          <w:color w:val="000000" w:themeColor="text1"/>
          <w:sz w:val="24"/>
          <w:szCs w:val="24"/>
        </w:rPr>
        <w:t xml:space="preserve">ive </w:t>
      </w:r>
      <w:r w:rsidR="704B89CF" w:rsidRPr="0036474B">
        <w:rPr>
          <w:rFonts w:ascii="Times New Roman" w:eastAsia="Times New Roman" w:hAnsi="Times New Roman" w:cs="Times New Roman"/>
          <w:noProof/>
          <w:color w:val="000000" w:themeColor="text1"/>
          <w:sz w:val="24"/>
          <w:szCs w:val="24"/>
        </w:rPr>
        <w:t>euro area G</w:t>
      </w:r>
      <w:r w:rsidR="023DEE3A" w:rsidRPr="0036474B">
        <w:rPr>
          <w:rFonts w:ascii="Times New Roman" w:eastAsia="Times New Roman" w:hAnsi="Times New Roman" w:cs="Times New Roman"/>
          <w:noProof/>
          <w:color w:val="000000" w:themeColor="text1"/>
          <w:sz w:val="24"/>
          <w:szCs w:val="24"/>
        </w:rPr>
        <w:t>-</w:t>
      </w:r>
      <w:r w:rsidR="704B89CF" w:rsidRPr="0036474B">
        <w:rPr>
          <w:rFonts w:ascii="Times New Roman" w:eastAsia="Times New Roman" w:hAnsi="Times New Roman" w:cs="Times New Roman"/>
          <w:noProof/>
          <w:color w:val="000000" w:themeColor="text1"/>
          <w:sz w:val="24"/>
          <w:szCs w:val="24"/>
        </w:rPr>
        <w:t>SIBs</w:t>
      </w:r>
      <w:r w:rsidR="747A68E8" w:rsidRPr="0036474B">
        <w:rPr>
          <w:rFonts w:ascii="Times New Roman" w:eastAsia="Times New Roman" w:hAnsi="Times New Roman" w:cs="Times New Roman"/>
          <w:noProof/>
          <w:color w:val="000000" w:themeColor="text1"/>
          <w:sz w:val="24"/>
          <w:szCs w:val="24"/>
        </w:rPr>
        <w:t xml:space="preserve"> account</w:t>
      </w:r>
      <w:r w:rsidR="1433FACC" w:rsidRPr="0036474B">
        <w:rPr>
          <w:rFonts w:ascii="Times New Roman" w:eastAsia="Times New Roman" w:hAnsi="Times New Roman" w:cs="Times New Roman"/>
          <w:noProof/>
          <w:color w:val="000000" w:themeColor="text1"/>
          <w:sz w:val="24"/>
          <w:szCs w:val="24"/>
        </w:rPr>
        <w:t>ing</w:t>
      </w:r>
      <w:r w:rsidR="747A68E8" w:rsidRPr="0036474B">
        <w:rPr>
          <w:rFonts w:ascii="Times New Roman" w:eastAsia="Times New Roman" w:hAnsi="Times New Roman" w:cs="Times New Roman"/>
          <w:noProof/>
          <w:color w:val="000000" w:themeColor="text1"/>
          <w:sz w:val="24"/>
          <w:szCs w:val="24"/>
        </w:rPr>
        <w:t xml:space="preserve"> for </w:t>
      </w:r>
      <w:r w:rsidR="044FFE78" w:rsidRPr="0036474B">
        <w:rPr>
          <w:rFonts w:ascii="Times New Roman" w:eastAsia="Times New Roman" w:hAnsi="Times New Roman" w:cs="Times New Roman"/>
          <w:noProof/>
          <w:color w:val="000000" w:themeColor="text1"/>
          <w:sz w:val="24"/>
          <w:szCs w:val="24"/>
        </w:rPr>
        <w:t>circa</w:t>
      </w:r>
      <w:r w:rsidR="747A68E8" w:rsidRPr="0036474B">
        <w:rPr>
          <w:rFonts w:ascii="Times New Roman" w:eastAsia="Times New Roman" w:hAnsi="Times New Roman" w:cs="Times New Roman"/>
          <w:noProof/>
          <w:color w:val="000000" w:themeColor="text1"/>
          <w:sz w:val="24"/>
          <w:szCs w:val="24"/>
        </w:rPr>
        <w:t xml:space="preserve"> 80% of banks' total reverse repo claims on NBFI entities</w:t>
      </w:r>
      <w:r w:rsidR="56D24583" w:rsidRPr="4EB84919">
        <w:rPr>
          <w:rFonts w:ascii="Times New Roman" w:eastAsiaTheme="minorEastAsia" w:hAnsi="Times New Roman" w:cs="Times New Roman"/>
          <w:noProof/>
          <w:color w:val="000000" w:themeColor="text1"/>
          <w:sz w:val="24"/>
          <w:szCs w:val="24"/>
          <w:vertAlign w:val="superscript"/>
        </w:rPr>
        <w:footnoteReference w:id="19"/>
      </w:r>
      <w:r w:rsidR="000D5E5C" w:rsidRPr="0036474B">
        <w:rPr>
          <w:rFonts w:ascii="Times New Roman" w:eastAsia="Times New Roman" w:hAnsi="Times New Roman" w:cs="Times New Roman"/>
          <w:noProof/>
          <w:color w:val="000000" w:themeColor="text1"/>
          <w:sz w:val="24"/>
          <w:szCs w:val="24"/>
        </w:rPr>
        <w:t>.</w:t>
      </w:r>
      <w:r w:rsidR="747A68E8" w:rsidRPr="0036474B">
        <w:rPr>
          <w:rFonts w:ascii="Times New Roman" w:eastAsia="Times New Roman" w:hAnsi="Times New Roman" w:cs="Times New Roman"/>
          <w:noProof/>
          <w:color w:val="000000" w:themeColor="text1"/>
          <w:sz w:val="24"/>
          <w:szCs w:val="24"/>
        </w:rPr>
        <w:t xml:space="preserve"> </w:t>
      </w:r>
      <w:r w:rsidR="7F456D44" w:rsidRPr="0036474B">
        <w:rPr>
          <w:rFonts w:ascii="Times New Roman" w:eastAsia="Times New Roman" w:hAnsi="Times New Roman" w:cs="Times New Roman"/>
          <w:noProof/>
          <w:color w:val="000000" w:themeColor="text1"/>
          <w:sz w:val="24"/>
          <w:szCs w:val="24"/>
        </w:rPr>
        <w:t>Furthermore,</w:t>
      </w:r>
      <w:r w:rsidR="465014E2" w:rsidRPr="0036474B">
        <w:rPr>
          <w:rFonts w:ascii="Times New Roman" w:eastAsia="Times New Roman" w:hAnsi="Times New Roman" w:cs="Times New Roman"/>
          <w:noProof/>
          <w:color w:val="000000" w:themeColor="text1"/>
          <w:sz w:val="24"/>
          <w:szCs w:val="24"/>
        </w:rPr>
        <w:t xml:space="preserve"> </w:t>
      </w:r>
      <w:r w:rsidR="1D707AAA" w:rsidRPr="0036474B">
        <w:rPr>
          <w:rFonts w:ascii="Times New Roman" w:eastAsia="Times New Roman" w:hAnsi="Times New Roman" w:cs="Times New Roman"/>
          <w:noProof/>
          <w:color w:val="000000" w:themeColor="text1"/>
          <w:sz w:val="24"/>
          <w:szCs w:val="24"/>
        </w:rPr>
        <w:t>these G</w:t>
      </w:r>
      <w:r w:rsidR="023DEE3A" w:rsidRPr="0036474B">
        <w:rPr>
          <w:rFonts w:ascii="Times New Roman" w:eastAsia="Times New Roman" w:hAnsi="Times New Roman" w:cs="Times New Roman"/>
          <w:noProof/>
          <w:color w:val="000000" w:themeColor="text1"/>
          <w:sz w:val="24"/>
          <w:szCs w:val="24"/>
        </w:rPr>
        <w:t>-</w:t>
      </w:r>
      <w:r w:rsidR="1D707AAA" w:rsidRPr="0036474B">
        <w:rPr>
          <w:rFonts w:ascii="Times New Roman" w:eastAsia="Times New Roman" w:hAnsi="Times New Roman" w:cs="Times New Roman"/>
          <w:noProof/>
          <w:color w:val="000000" w:themeColor="text1"/>
          <w:sz w:val="24"/>
          <w:szCs w:val="24"/>
        </w:rPr>
        <w:t>SIB</w:t>
      </w:r>
      <w:r w:rsidR="551B8C12" w:rsidRPr="0036474B">
        <w:rPr>
          <w:rFonts w:ascii="Times New Roman" w:eastAsia="Times New Roman" w:hAnsi="Times New Roman" w:cs="Times New Roman"/>
          <w:noProof/>
          <w:color w:val="000000" w:themeColor="text1"/>
          <w:sz w:val="24"/>
          <w:szCs w:val="24"/>
        </w:rPr>
        <w:t>s</w:t>
      </w:r>
      <w:r w:rsidR="4DD53EC6" w:rsidRPr="0036474B">
        <w:rPr>
          <w:rFonts w:ascii="Times New Roman" w:eastAsia="Times New Roman" w:hAnsi="Times New Roman" w:cs="Times New Roman"/>
          <w:noProof/>
          <w:color w:val="000000" w:themeColor="text1"/>
          <w:sz w:val="24"/>
          <w:szCs w:val="24"/>
        </w:rPr>
        <w:t xml:space="preserve"> are </w:t>
      </w:r>
      <w:r w:rsidR="295AD7A2" w:rsidRPr="0036474B">
        <w:rPr>
          <w:rFonts w:ascii="Times New Roman" w:eastAsia="Times New Roman" w:hAnsi="Times New Roman" w:cs="Times New Roman"/>
          <w:noProof/>
          <w:color w:val="000000" w:themeColor="text1"/>
          <w:sz w:val="24"/>
          <w:szCs w:val="24"/>
        </w:rPr>
        <w:t>also the principal</w:t>
      </w:r>
      <w:r w:rsidR="3F7BA988" w:rsidRPr="0036474B">
        <w:rPr>
          <w:rFonts w:ascii="Times New Roman" w:eastAsia="Times New Roman" w:hAnsi="Times New Roman" w:cs="Times New Roman"/>
          <w:noProof/>
          <w:color w:val="000000" w:themeColor="text1"/>
          <w:sz w:val="24"/>
          <w:szCs w:val="24"/>
        </w:rPr>
        <w:t xml:space="preserve"> repo counterparties for those NBFI</w:t>
      </w:r>
      <w:r w:rsidR="616C20B3" w:rsidRPr="0036474B">
        <w:rPr>
          <w:rFonts w:ascii="Times New Roman" w:eastAsia="Times New Roman" w:hAnsi="Times New Roman" w:cs="Times New Roman"/>
          <w:noProof/>
          <w:color w:val="000000" w:themeColor="text1"/>
          <w:sz w:val="24"/>
          <w:szCs w:val="24"/>
        </w:rPr>
        <w:t xml:space="preserve"> entities </w:t>
      </w:r>
      <w:r w:rsidR="330B6BD1" w:rsidRPr="0036474B">
        <w:rPr>
          <w:rFonts w:ascii="Times New Roman" w:eastAsia="Times New Roman" w:hAnsi="Times New Roman" w:cs="Times New Roman"/>
          <w:noProof/>
          <w:color w:val="000000" w:themeColor="text1"/>
          <w:sz w:val="24"/>
          <w:szCs w:val="24"/>
        </w:rPr>
        <w:t>on the liability side, making them simultaneously the largest lenders to, and borrowers from</w:t>
      </w:r>
      <w:r w:rsidR="3ABA6242" w:rsidRPr="0036474B">
        <w:rPr>
          <w:rFonts w:ascii="Times New Roman" w:eastAsia="Times New Roman" w:hAnsi="Times New Roman" w:cs="Times New Roman"/>
          <w:noProof/>
          <w:color w:val="000000" w:themeColor="text1"/>
          <w:sz w:val="24"/>
          <w:szCs w:val="24"/>
        </w:rPr>
        <w:t>, the NBFI sector.</w:t>
      </w:r>
      <w:r w:rsidR="747A68E8" w:rsidRPr="0036474B">
        <w:rPr>
          <w:rFonts w:ascii="Times New Roman" w:eastAsia="Times New Roman" w:hAnsi="Times New Roman" w:cs="Times New Roman"/>
          <w:noProof/>
          <w:color w:val="000000" w:themeColor="text1"/>
          <w:sz w:val="24"/>
          <w:szCs w:val="24"/>
          <w:lang w:val="en-GB"/>
        </w:rPr>
        <w:t xml:space="preserve"> </w:t>
      </w:r>
      <w:r w:rsidR="42754991" w:rsidRPr="0036474B">
        <w:rPr>
          <w:rFonts w:ascii="Times New Roman" w:eastAsia="Times New Roman" w:hAnsi="Times New Roman" w:cs="Times New Roman"/>
          <w:noProof/>
          <w:color w:val="000000" w:themeColor="text1"/>
          <w:sz w:val="24"/>
          <w:szCs w:val="24"/>
          <w:lang w:val="en-GB"/>
        </w:rPr>
        <w:t>This two-way exposure</w:t>
      </w:r>
      <w:r w:rsidR="60968809" w:rsidRPr="0036474B">
        <w:rPr>
          <w:rFonts w:ascii="Times New Roman" w:eastAsia="Times New Roman" w:hAnsi="Times New Roman" w:cs="Times New Roman"/>
          <w:noProof/>
          <w:color w:val="000000" w:themeColor="text1"/>
          <w:sz w:val="24"/>
          <w:szCs w:val="24"/>
          <w:lang w:val="en-GB"/>
        </w:rPr>
        <w:t xml:space="preserve"> creates a structural interdependency</w:t>
      </w:r>
      <w:r w:rsidR="37A3F27A" w:rsidRPr="0036474B">
        <w:rPr>
          <w:rFonts w:ascii="Times New Roman" w:eastAsia="Times New Roman" w:hAnsi="Times New Roman" w:cs="Times New Roman"/>
          <w:noProof/>
          <w:color w:val="000000" w:themeColor="text1"/>
          <w:sz w:val="24"/>
          <w:szCs w:val="24"/>
          <w:lang w:val="en-GB"/>
        </w:rPr>
        <w:t xml:space="preserve"> as any stress event triggering</w:t>
      </w:r>
      <w:r w:rsidR="60F09DD6" w:rsidRPr="0036474B">
        <w:rPr>
          <w:rFonts w:ascii="Times New Roman" w:eastAsia="Times New Roman" w:hAnsi="Times New Roman" w:cs="Times New Roman"/>
          <w:noProof/>
          <w:color w:val="000000" w:themeColor="text1"/>
          <w:sz w:val="24"/>
          <w:szCs w:val="24"/>
          <w:lang w:val="en-GB"/>
        </w:rPr>
        <w:t xml:space="preserve"> outflows would simultaneously erode</w:t>
      </w:r>
      <w:r w:rsidR="39084985" w:rsidRPr="0036474B">
        <w:rPr>
          <w:rFonts w:ascii="Times New Roman" w:eastAsia="Times New Roman" w:hAnsi="Times New Roman" w:cs="Times New Roman"/>
          <w:noProof/>
          <w:color w:val="000000" w:themeColor="text1"/>
          <w:sz w:val="24"/>
          <w:szCs w:val="24"/>
          <w:lang w:val="en-GB"/>
        </w:rPr>
        <w:t xml:space="preserve"> both the asset positions and the funding base </w:t>
      </w:r>
      <w:r w:rsidR="08DCD27C" w:rsidRPr="0036474B">
        <w:rPr>
          <w:rFonts w:ascii="Times New Roman" w:eastAsia="Times New Roman" w:hAnsi="Times New Roman" w:cs="Times New Roman"/>
          <w:noProof/>
          <w:color w:val="000000" w:themeColor="text1"/>
          <w:sz w:val="24"/>
          <w:szCs w:val="24"/>
          <w:lang w:val="en-GB"/>
        </w:rPr>
        <w:t>of institutions at the core of the intermediation chain.</w:t>
      </w:r>
      <w:r w:rsidR="5BCFC86E" w:rsidRPr="0036474B">
        <w:rPr>
          <w:rFonts w:ascii="Times New Roman" w:eastAsia="Times New Roman" w:hAnsi="Times New Roman" w:cs="Times New Roman"/>
          <w:noProof/>
          <w:color w:val="000000" w:themeColor="text1"/>
          <w:sz w:val="24"/>
          <w:szCs w:val="24"/>
          <w:lang w:val="en-GB"/>
        </w:rPr>
        <w:t xml:space="preserve"> </w:t>
      </w:r>
    </w:p>
    <w:p w14:paraId="34CE36EA" w14:textId="6179FF8C" w:rsidR="486B821F" w:rsidRPr="0036474B" w:rsidRDefault="327BE4F5" w:rsidP="004E4C61">
      <w:pPr>
        <w:spacing w:before="80" w:after="80" w:line="276" w:lineRule="auto"/>
        <w:jc w:val="both"/>
        <w:rPr>
          <w:rFonts w:ascii="Times New Roman" w:eastAsia="Times New Roman" w:hAnsi="Times New Roman" w:cs="Times New Roman"/>
          <w:noProof/>
          <w:color w:val="000000" w:themeColor="text1"/>
          <w:sz w:val="24"/>
          <w:szCs w:val="24"/>
          <w:lang w:val="en-GB"/>
        </w:rPr>
      </w:pPr>
      <w:r w:rsidRPr="4EB84919">
        <w:rPr>
          <w:rFonts w:ascii="Times New Roman" w:eastAsia="Times New Roman" w:hAnsi="Times New Roman" w:cs="Times New Roman"/>
          <w:b/>
          <w:bCs/>
          <w:noProof/>
          <w:color w:val="000000" w:themeColor="text1"/>
          <w:sz w:val="24"/>
          <w:szCs w:val="24"/>
        </w:rPr>
        <w:t xml:space="preserve">The </w:t>
      </w:r>
      <w:r w:rsidR="62F5E405" w:rsidRPr="4EB84919">
        <w:rPr>
          <w:rFonts w:ascii="Times New Roman" w:eastAsia="Times New Roman" w:hAnsi="Times New Roman" w:cs="Times New Roman"/>
          <w:b/>
          <w:bCs/>
          <w:noProof/>
          <w:color w:val="000000" w:themeColor="text1"/>
          <w:sz w:val="24"/>
          <w:szCs w:val="24"/>
        </w:rPr>
        <w:t>G</w:t>
      </w:r>
      <w:r w:rsidR="048D1968" w:rsidRPr="4EB84919">
        <w:rPr>
          <w:rFonts w:ascii="Times New Roman" w:eastAsia="Times New Roman" w:hAnsi="Times New Roman" w:cs="Times New Roman"/>
          <w:b/>
          <w:bCs/>
          <w:noProof/>
          <w:color w:val="000000" w:themeColor="text1"/>
          <w:sz w:val="24"/>
          <w:szCs w:val="24"/>
        </w:rPr>
        <w:t>-</w:t>
      </w:r>
      <w:r w:rsidR="62F5E405" w:rsidRPr="4EB84919">
        <w:rPr>
          <w:rFonts w:ascii="Times New Roman" w:eastAsia="Times New Roman" w:hAnsi="Times New Roman" w:cs="Times New Roman"/>
          <w:b/>
          <w:bCs/>
          <w:noProof/>
          <w:color w:val="000000" w:themeColor="text1"/>
          <w:sz w:val="24"/>
          <w:szCs w:val="24"/>
        </w:rPr>
        <w:t>SIB’</w:t>
      </w:r>
      <w:r w:rsidR="1BE7C21A" w:rsidRPr="4EB84919">
        <w:rPr>
          <w:rFonts w:ascii="Times New Roman" w:eastAsia="Times New Roman" w:hAnsi="Times New Roman" w:cs="Times New Roman"/>
          <w:b/>
          <w:bCs/>
          <w:noProof/>
          <w:color w:val="000000" w:themeColor="text1"/>
          <w:sz w:val="24"/>
          <w:szCs w:val="24"/>
        </w:rPr>
        <w:t>s</w:t>
      </w:r>
      <w:r w:rsidR="62F5E405" w:rsidRPr="4EB84919">
        <w:rPr>
          <w:rFonts w:ascii="Times New Roman" w:eastAsia="Times New Roman" w:hAnsi="Times New Roman" w:cs="Times New Roman"/>
          <w:b/>
          <w:bCs/>
          <w:noProof/>
          <w:color w:val="000000" w:themeColor="text1"/>
          <w:sz w:val="24"/>
          <w:szCs w:val="24"/>
        </w:rPr>
        <w:t xml:space="preserve"> intermediation role has grown markedly relative to domestic activity, reflecting the sizeable international footprint of</w:t>
      </w:r>
      <w:r w:rsidRPr="4EB84919">
        <w:rPr>
          <w:rFonts w:ascii="Times New Roman" w:eastAsia="Times New Roman" w:hAnsi="Times New Roman" w:cs="Times New Roman"/>
          <w:b/>
          <w:bCs/>
          <w:noProof/>
          <w:color w:val="000000" w:themeColor="text1"/>
          <w:sz w:val="24"/>
          <w:szCs w:val="24"/>
        </w:rPr>
        <w:t xml:space="preserve"> </w:t>
      </w:r>
      <w:r w:rsidR="3B50B0C3" w:rsidRPr="4EB84919">
        <w:rPr>
          <w:rFonts w:ascii="Times New Roman" w:eastAsia="Times New Roman" w:hAnsi="Times New Roman" w:cs="Times New Roman"/>
          <w:b/>
          <w:bCs/>
          <w:noProof/>
          <w:color w:val="000000" w:themeColor="text1"/>
          <w:sz w:val="24"/>
          <w:szCs w:val="24"/>
        </w:rPr>
        <w:t>some euro area G</w:t>
      </w:r>
      <w:r w:rsidR="048D1968" w:rsidRPr="4EB84919">
        <w:rPr>
          <w:rFonts w:ascii="Times New Roman" w:eastAsia="Times New Roman" w:hAnsi="Times New Roman" w:cs="Times New Roman"/>
          <w:b/>
          <w:bCs/>
          <w:noProof/>
          <w:color w:val="000000" w:themeColor="text1"/>
          <w:sz w:val="24"/>
          <w:szCs w:val="24"/>
        </w:rPr>
        <w:t>-</w:t>
      </w:r>
      <w:r w:rsidR="3B50B0C3" w:rsidRPr="4EB84919">
        <w:rPr>
          <w:rFonts w:ascii="Times New Roman" w:eastAsia="Times New Roman" w:hAnsi="Times New Roman" w:cs="Times New Roman"/>
          <w:b/>
          <w:bCs/>
          <w:noProof/>
          <w:color w:val="000000" w:themeColor="text1"/>
          <w:sz w:val="24"/>
          <w:szCs w:val="24"/>
        </w:rPr>
        <w:t>SIBs</w:t>
      </w:r>
      <w:r w:rsidR="3B50B0C3" w:rsidRPr="0036474B">
        <w:rPr>
          <w:rFonts w:ascii="Times New Roman" w:eastAsia="Times New Roman" w:hAnsi="Times New Roman" w:cs="Times New Roman"/>
          <w:noProof/>
          <w:color w:val="000000" w:themeColor="text1"/>
          <w:sz w:val="24"/>
          <w:szCs w:val="24"/>
        </w:rPr>
        <w:t xml:space="preserve">. </w:t>
      </w:r>
      <w:r w:rsidR="27D4BAEB" w:rsidRPr="0036474B">
        <w:rPr>
          <w:rFonts w:ascii="Times New Roman" w:eastAsia="Times New Roman" w:hAnsi="Times New Roman" w:cs="Times New Roman"/>
          <w:noProof/>
          <w:color w:val="000000" w:themeColor="text1"/>
          <w:sz w:val="24"/>
          <w:szCs w:val="24"/>
        </w:rPr>
        <w:t>Sustaining this intermediation role requires euro area G</w:t>
      </w:r>
      <w:r w:rsidR="048D1968" w:rsidRPr="0036474B">
        <w:rPr>
          <w:rFonts w:ascii="Times New Roman" w:eastAsia="Times New Roman" w:hAnsi="Times New Roman" w:cs="Times New Roman"/>
          <w:noProof/>
          <w:color w:val="000000" w:themeColor="text1"/>
          <w:sz w:val="24"/>
          <w:szCs w:val="24"/>
        </w:rPr>
        <w:t>-</w:t>
      </w:r>
      <w:r w:rsidR="27D4BAEB" w:rsidRPr="0036474B">
        <w:rPr>
          <w:rFonts w:ascii="Times New Roman" w:eastAsia="Times New Roman" w:hAnsi="Times New Roman" w:cs="Times New Roman"/>
          <w:noProof/>
          <w:color w:val="000000" w:themeColor="text1"/>
          <w:sz w:val="24"/>
          <w:szCs w:val="24"/>
        </w:rPr>
        <w:t>SIBs</w:t>
      </w:r>
      <w:r w:rsidR="6097001A" w:rsidRPr="0036474B">
        <w:rPr>
          <w:rFonts w:ascii="Times New Roman" w:eastAsia="Times New Roman" w:hAnsi="Times New Roman" w:cs="Times New Roman"/>
          <w:noProof/>
          <w:color w:val="000000" w:themeColor="text1"/>
          <w:sz w:val="24"/>
          <w:szCs w:val="24"/>
        </w:rPr>
        <w:t xml:space="preserve"> to raise significant USD funding</w:t>
      </w:r>
      <w:r w:rsidR="51E795F8" w:rsidRPr="0036474B">
        <w:rPr>
          <w:rFonts w:ascii="Times New Roman" w:eastAsia="Times New Roman" w:hAnsi="Times New Roman" w:cs="Times New Roman"/>
          <w:noProof/>
          <w:color w:val="000000" w:themeColor="text1"/>
          <w:sz w:val="24"/>
          <w:szCs w:val="24"/>
        </w:rPr>
        <w:t xml:space="preserve">, with </w:t>
      </w:r>
      <w:r w:rsidR="05933F8D" w:rsidRPr="0036474B">
        <w:rPr>
          <w:rFonts w:ascii="Times New Roman" w:eastAsia="Times New Roman" w:hAnsi="Times New Roman" w:cs="Times New Roman"/>
          <w:noProof/>
          <w:color w:val="000000" w:themeColor="text1"/>
          <w:sz w:val="24"/>
          <w:szCs w:val="24"/>
        </w:rPr>
        <w:t xml:space="preserve">currently </w:t>
      </w:r>
      <w:r w:rsidR="51E795F8" w:rsidRPr="0036474B">
        <w:rPr>
          <w:rFonts w:ascii="Times New Roman" w:eastAsia="Times New Roman" w:hAnsi="Times New Roman" w:cs="Times New Roman"/>
          <w:noProof/>
          <w:color w:val="000000" w:themeColor="text1"/>
          <w:sz w:val="24"/>
          <w:szCs w:val="24"/>
        </w:rPr>
        <w:t>a</w:t>
      </w:r>
      <w:r w:rsidR="130900BF" w:rsidRPr="0036474B">
        <w:rPr>
          <w:rFonts w:ascii="Times New Roman" w:eastAsia="Times New Roman" w:hAnsi="Times New Roman" w:cs="Times New Roman"/>
          <w:noProof/>
          <w:color w:val="000000" w:themeColor="text1"/>
          <w:sz w:val="24"/>
          <w:szCs w:val="24"/>
        </w:rPr>
        <w:t>pproximately 17% of funding denominated in US dollars</w:t>
      </w:r>
      <w:r w:rsidR="4CAA62D2" w:rsidRPr="0036474B">
        <w:rPr>
          <w:rFonts w:ascii="Times New Roman" w:eastAsia="Times New Roman" w:hAnsi="Times New Roman" w:cs="Times New Roman"/>
          <w:noProof/>
          <w:color w:val="000000" w:themeColor="text1"/>
          <w:sz w:val="24"/>
          <w:szCs w:val="24"/>
        </w:rPr>
        <w:t>. This funding is</w:t>
      </w:r>
      <w:r w:rsidR="130900BF" w:rsidRPr="0036474B">
        <w:rPr>
          <w:rFonts w:ascii="Times New Roman" w:eastAsia="Times New Roman" w:hAnsi="Times New Roman" w:cs="Times New Roman"/>
          <w:noProof/>
          <w:color w:val="000000" w:themeColor="text1"/>
          <w:sz w:val="24"/>
          <w:szCs w:val="24"/>
        </w:rPr>
        <w:t xml:space="preserve"> </w:t>
      </w:r>
      <w:r w:rsidR="5713836B" w:rsidRPr="0036474B">
        <w:rPr>
          <w:rFonts w:ascii="Times New Roman" w:eastAsia="Times New Roman" w:hAnsi="Times New Roman" w:cs="Times New Roman"/>
          <w:noProof/>
          <w:color w:val="000000" w:themeColor="text1"/>
          <w:sz w:val="24"/>
          <w:szCs w:val="24"/>
        </w:rPr>
        <w:t>sourced p</w:t>
      </w:r>
      <w:r w:rsidR="115BE0FF" w:rsidRPr="0036474B">
        <w:rPr>
          <w:rFonts w:ascii="Times New Roman" w:eastAsia="Times New Roman" w:hAnsi="Times New Roman" w:cs="Times New Roman"/>
          <w:noProof/>
          <w:color w:val="000000" w:themeColor="text1"/>
          <w:sz w:val="24"/>
          <w:szCs w:val="24"/>
        </w:rPr>
        <w:t>redominantly from</w:t>
      </w:r>
      <w:r w:rsidR="130900BF" w:rsidRPr="0036474B">
        <w:rPr>
          <w:rFonts w:ascii="Times New Roman" w:eastAsia="Times New Roman" w:hAnsi="Times New Roman" w:cs="Times New Roman"/>
          <w:noProof/>
          <w:color w:val="000000" w:themeColor="text1"/>
          <w:sz w:val="24"/>
          <w:szCs w:val="24"/>
        </w:rPr>
        <w:t xml:space="preserve"> wholesale markets</w:t>
      </w:r>
      <w:r w:rsidR="506D0E64" w:rsidRPr="0036474B">
        <w:rPr>
          <w:rFonts w:ascii="Times New Roman" w:eastAsia="Times New Roman" w:hAnsi="Times New Roman" w:cs="Times New Roman"/>
          <w:noProof/>
          <w:color w:val="000000" w:themeColor="text1"/>
          <w:sz w:val="24"/>
          <w:szCs w:val="24"/>
        </w:rPr>
        <w:t>, making the</w:t>
      </w:r>
      <w:r w:rsidR="52CC5FE7" w:rsidRPr="0036474B">
        <w:rPr>
          <w:rFonts w:ascii="Times New Roman" w:eastAsia="Times New Roman" w:hAnsi="Times New Roman" w:cs="Times New Roman"/>
          <w:noProof/>
          <w:color w:val="000000" w:themeColor="text1"/>
          <w:sz w:val="24"/>
          <w:szCs w:val="24"/>
        </w:rPr>
        <w:t xml:space="preserve"> G</w:t>
      </w:r>
      <w:r w:rsidR="048D1968" w:rsidRPr="0036474B">
        <w:rPr>
          <w:rFonts w:ascii="Times New Roman" w:eastAsia="Times New Roman" w:hAnsi="Times New Roman" w:cs="Times New Roman"/>
          <w:noProof/>
          <w:color w:val="000000" w:themeColor="text1"/>
          <w:sz w:val="24"/>
          <w:szCs w:val="24"/>
        </w:rPr>
        <w:t>-</w:t>
      </w:r>
      <w:r w:rsidR="52CC5FE7" w:rsidRPr="0036474B">
        <w:rPr>
          <w:rFonts w:ascii="Times New Roman" w:eastAsia="Times New Roman" w:hAnsi="Times New Roman" w:cs="Times New Roman"/>
          <w:noProof/>
          <w:color w:val="000000" w:themeColor="text1"/>
          <w:sz w:val="24"/>
          <w:szCs w:val="24"/>
        </w:rPr>
        <w:t>SIBs’ intermediation capacity structurally contingent on continued access to these markets</w:t>
      </w:r>
      <w:r w:rsidR="130900BF" w:rsidRPr="0036474B">
        <w:rPr>
          <w:rFonts w:ascii="Times New Roman" w:eastAsia="Times New Roman" w:hAnsi="Times New Roman" w:cs="Times New Roman"/>
          <w:noProof/>
          <w:color w:val="000000" w:themeColor="text1"/>
          <w:sz w:val="24"/>
          <w:szCs w:val="24"/>
        </w:rPr>
        <w:t>.</w:t>
      </w:r>
      <w:r w:rsidR="00E82B4B" w:rsidRPr="0036474B">
        <w:rPr>
          <w:rFonts w:ascii="Times New Roman" w:eastAsia="Times New Roman" w:hAnsi="Times New Roman" w:cs="Times New Roman"/>
          <w:noProof/>
          <w:color w:val="000000" w:themeColor="text1"/>
          <w:sz w:val="24"/>
          <w:szCs w:val="24"/>
          <w:vertAlign w:val="superscript"/>
        </w:rPr>
        <w:footnoteReference w:id="20"/>
      </w:r>
      <w:r w:rsidR="130900BF" w:rsidRPr="0036474B">
        <w:rPr>
          <w:rFonts w:ascii="Times New Roman" w:eastAsia="Times New Roman" w:hAnsi="Times New Roman" w:cs="Times New Roman"/>
          <w:noProof/>
          <w:color w:val="000000" w:themeColor="text1"/>
          <w:sz w:val="24"/>
          <w:szCs w:val="24"/>
        </w:rPr>
        <w:t xml:space="preserve"> Since the monetary policy tightening cycle began in 2022, total outstanding amounts of euro area banks</w:t>
      </w:r>
      <w:r w:rsidR="00D13A5C" w:rsidRPr="4EB84919">
        <w:rPr>
          <w:rFonts w:ascii="Times New Roman" w:eastAsia="Times New Roman" w:hAnsi="Times New Roman" w:cs="Times New Roman"/>
          <w:noProof/>
          <w:color w:val="000000" w:themeColor="text1"/>
          <w:sz w:val="24"/>
          <w:szCs w:val="24"/>
        </w:rPr>
        <w:t>’</w:t>
      </w:r>
      <w:r w:rsidR="130900BF" w:rsidRPr="0036474B">
        <w:rPr>
          <w:rFonts w:ascii="Times New Roman" w:eastAsia="Times New Roman" w:hAnsi="Times New Roman" w:cs="Times New Roman"/>
          <w:noProof/>
          <w:color w:val="000000" w:themeColor="text1"/>
          <w:sz w:val="24"/>
          <w:szCs w:val="24"/>
        </w:rPr>
        <w:t xml:space="preserve"> US dollar repos</w:t>
      </w:r>
      <w:r w:rsidRPr="4EB84919">
        <w:rPr>
          <w:rFonts w:ascii="Times New Roman" w:eastAsiaTheme="minorEastAsia" w:hAnsi="Times New Roman" w:cs="Times New Roman"/>
          <w:noProof/>
          <w:color w:val="000000" w:themeColor="text1"/>
          <w:sz w:val="24"/>
          <w:szCs w:val="24"/>
          <w:vertAlign w:val="superscript"/>
        </w:rPr>
        <w:footnoteReference w:id="21"/>
      </w:r>
      <w:r w:rsidR="130900BF" w:rsidRPr="0036474B">
        <w:rPr>
          <w:rFonts w:ascii="Times New Roman" w:eastAsia="Times New Roman" w:hAnsi="Times New Roman" w:cs="Times New Roman"/>
          <w:noProof/>
          <w:color w:val="000000" w:themeColor="text1"/>
          <w:sz w:val="24"/>
          <w:szCs w:val="24"/>
        </w:rPr>
        <w:t xml:space="preserve"> have almost doubled, reaching </w:t>
      </w:r>
      <w:r w:rsidR="277FBCB4" w:rsidRPr="0036474B">
        <w:rPr>
          <w:rFonts w:ascii="Times New Roman" w:eastAsia="Times New Roman" w:hAnsi="Times New Roman" w:cs="Times New Roman"/>
          <w:noProof/>
          <w:color w:val="000000" w:themeColor="text1"/>
          <w:sz w:val="24"/>
          <w:szCs w:val="24"/>
        </w:rPr>
        <w:t xml:space="preserve">EUR </w:t>
      </w:r>
      <w:r w:rsidR="130900BF" w:rsidRPr="0036474B">
        <w:rPr>
          <w:rFonts w:ascii="Times New Roman" w:eastAsia="Times New Roman" w:hAnsi="Times New Roman" w:cs="Times New Roman"/>
          <w:noProof/>
          <w:color w:val="000000" w:themeColor="text1"/>
          <w:sz w:val="24"/>
          <w:szCs w:val="24"/>
        </w:rPr>
        <w:t xml:space="preserve">1.6 trillion in November 2024, whereas euro-denominated repo volumes have remained broadly unchanged over the same period. Euro area banks are net US dollar borrowers in the repo market, with volumes of repos exceeding reverse repos by around </w:t>
      </w:r>
      <w:r w:rsidR="022AC63E" w:rsidRPr="0036474B">
        <w:rPr>
          <w:rFonts w:ascii="Times New Roman" w:eastAsia="Times New Roman" w:hAnsi="Times New Roman" w:cs="Times New Roman"/>
          <w:noProof/>
          <w:color w:val="000000" w:themeColor="text1"/>
          <w:sz w:val="24"/>
          <w:szCs w:val="24"/>
        </w:rPr>
        <w:t xml:space="preserve">EUR </w:t>
      </w:r>
      <w:r w:rsidR="130900BF" w:rsidRPr="0036474B">
        <w:rPr>
          <w:rFonts w:ascii="Times New Roman" w:eastAsia="Times New Roman" w:hAnsi="Times New Roman" w:cs="Times New Roman"/>
          <w:noProof/>
          <w:color w:val="000000" w:themeColor="text1"/>
          <w:sz w:val="24"/>
          <w:szCs w:val="24"/>
        </w:rPr>
        <w:t xml:space="preserve">250 billion, and they channel these dollars predominantly toward non-euro area non-banks. </w:t>
      </w:r>
      <w:r w:rsidR="4E882686" w:rsidRPr="0036474B">
        <w:rPr>
          <w:rFonts w:ascii="Times New Roman" w:eastAsia="Times New Roman" w:hAnsi="Times New Roman" w:cs="Times New Roman"/>
          <w:noProof/>
          <w:color w:val="000000" w:themeColor="text1"/>
          <w:sz w:val="24"/>
          <w:szCs w:val="24"/>
        </w:rPr>
        <w:t xml:space="preserve">Beyond repos, </w:t>
      </w:r>
      <w:r w:rsidR="3B05D328" w:rsidRPr="0036474B">
        <w:rPr>
          <w:rFonts w:ascii="Times New Roman" w:eastAsia="Times New Roman" w:hAnsi="Times New Roman" w:cs="Times New Roman"/>
          <w:noProof/>
          <w:color w:val="000000" w:themeColor="text1"/>
          <w:sz w:val="24"/>
          <w:szCs w:val="24"/>
        </w:rPr>
        <w:t xml:space="preserve">euro area banks have also expanded sharply </w:t>
      </w:r>
      <w:r w:rsidR="130900BF" w:rsidRPr="0036474B">
        <w:rPr>
          <w:rFonts w:ascii="Times New Roman" w:eastAsia="Times New Roman" w:hAnsi="Times New Roman" w:cs="Times New Roman"/>
          <w:noProof/>
          <w:color w:val="000000" w:themeColor="text1"/>
          <w:sz w:val="24"/>
          <w:szCs w:val="24"/>
        </w:rPr>
        <w:t xml:space="preserve">as net providers </w:t>
      </w:r>
      <w:r w:rsidR="287CFB26" w:rsidRPr="0036474B">
        <w:rPr>
          <w:rFonts w:ascii="Times New Roman" w:eastAsia="Times New Roman" w:hAnsi="Times New Roman" w:cs="Times New Roman"/>
          <w:noProof/>
          <w:color w:val="000000" w:themeColor="text1"/>
          <w:sz w:val="24"/>
          <w:szCs w:val="24"/>
        </w:rPr>
        <w:t>of FX swaps</w:t>
      </w:r>
      <w:r w:rsidR="130900BF" w:rsidRPr="0036474B">
        <w:rPr>
          <w:rFonts w:ascii="Times New Roman" w:eastAsia="Times New Roman" w:hAnsi="Times New Roman" w:cs="Times New Roman"/>
          <w:noProof/>
          <w:color w:val="000000" w:themeColor="text1"/>
          <w:sz w:val="24"/>
          <w:szCs w:val="24"/>
        </w:rPr>
        <w:t xml:space="preserve"> to euro area non-banks: net positions vis-à-vis euro area non-banks have tripled over five years, with net positions to investment funds increasing up to fivefold and to pension funds up to threefold since 2018. Unlike US banks (from which euro area G-SIBs are net buyers of US dollars) euro area banks thus serve as the structural intermediary redistributing dollar liquidity toward the European </w:t>
      </w:r>
      <w:r w:rsidR="275ECB19" w:rsidRPr="0036474B">
        <w:rPr>
          <w:rFonts w:ascii="Times New Roman" w:eastAsia="Times New Roman" w:hAnsi="Times New Roman" w:cs="Times New Roman"/>
          <w:noProof/>
          <w:color w:val="000000" w:themeColor="text1"/>
          <w:sz w:val="24"/>
          <w:szCs w:val="24"/>
        </w:rPr>
        <w:t>NBFI</w:t>
      </w:r>
      <w:r w:rsidR="130900BF" w:rsidRPr="0036474B">
        <w:rPr>
          <w:rFonts w:ascii="Times New Roman" w:eastAsia="Times New Roman" w:hAnsi="Times New Roman" w:cs="Times New Roman"/>
          <w:noProof/>
          <w:color w:val="000000" w:themeColor="text1"/>
          <w:sz w:val="24"/>
          <w:szCs w:val="24"/>
        </w:rPr>
        <w:t xml:space="preserve"> sector.</w:t>
      </w:r>
    </w:p>
    <w:p w14:paraId="28C7F665" w14:textId="5B682C7C" w:rsidR="486B821F" w:rsidRPr="0036474B" w:rsidRDefault="130900BF" w:rsidP="004E4C61">
      <w:pPr>
        <w:spacing w:before="80" w:after="80" w:line="276" w:lineRule="auto"/>
        <w:jc w:val="both"/>
        <w:rPr>
          <w:rFonts w:ascii="Times New Roman" w:eastAsia="Times New Roman" w:hAnsi="Times New Roman" w:cs="Times New Roman"/>
          <w:noProof/>
          <w:color w:val="000000" w:themeColor="text1"/>
          <w:sz w:val="24"/>
          <w:szCs w:val="24"/>
          <w:vertAlign w:val="superscript"/>
        </w:rPr>
      </w:pPr>
      <w:r w:rsidRPr="4EB84919">
        <w:rPr>
          <w:rFonts w:ascii="Times New Roman" w:eastAsia="Times New Roman" w:hAnsi="Times New Roman" w:cs="Times New Roman"/>
          <w:b/>
          <w:bCs/>
          <w:noProof/>
          <w:color w:val="000000" w:themeColor="text1"/>
          <w:sz w:val="24"/>
          <w:szCs w:val="24"/>
        </w:rPr>
        <w:t xml:space="preserve">This </w:t>
      </w:r>
      <w:r w:rsidR="1D122EA5" w:rsidRPr="4EB84919">
        <w:rPr>
          <w:rFonts w:ascii="Times New Roman" w:eastAsia="Times New Roman" w:hAnsi="Times New Roman" w:cs="Times New Roman"/>
          <w:b/>
          <w:bCs/>
          <w:noProof/>
          <w:color w:val="000000" w:themeColor="text1"/>
          <w:sz w:val="24"/>
          <w:szCs w:val="24"/>
        </w:rPr>
        <w:t>concentration of dollar</w:t>
      </w:r>
      <w:r w:rsidRPr="4EB84919">
        <w:rPr>
          <w:rFonts w:ascii="Times New Roman" w:eastAsia="Times New Roman" w:hAnsi="Times New Roman" w:cs="Times New Roman"/>
          <w:b/>
          <w:bCs/>
          <w:noProof/>
          <w:color w:val="000000" w:themeColor="text1"/>
          <w:sz w:val="24"/>
          <w:szCs w:val="24"/>
        </w:rPr>
        <w:t xml:space="preserve"> intermediation </w:t>
      </w:r>
      <w:r w:rsidR="2E59AC02" w:rsidRPr="4EB84919">
        <w:rPr>
          <w:rFonts w:ascii="Times New Roman" w:eastAsia="Times New Roman" w:hAnsi="Times New Roman" w:cs="Times New Roman"/>
          <w:b/>
          <w:bCs/>
          <w:noProof/>
          <w:color w:val="000000" w:themeColor="text1"/>
          <w:sz w:val="24"/>
          <w:szCs w:val="24"/>
        </w:rPr>
        <w:t>in a few G</w:t>
      </w:r>
      <w:r w:rsidR="1A8C631B" w:rsidRPr="4EB84919">
        <w:rPr>
          <w:rFonts w:ascii="Times New Roman" w:eastAsia="Times New Roman" w:hAnsi="Times New Roman" w:cs="Times New Roman"/>
          <w:b/>
          <w:bCs/>
          <w:noProof/>
          <w:color w:val="000000" w:themeColor="text1"/>
          <w:sz w:val="24"/>
          <w:szCs w:val="24"/>
        </w:rPr>
        <w:t>-</w:t>
      </w:r>
      <w:r w:rsidR="2E59AC02" w:rsidRPr="4EB84919">
        <w:rPr>
          <w:rFonts w:ascii="Times New Roman" w:eastAsia="Times New Roman" w:hAnsi="Times New Roman" w:cs="Times New Roman"/>
          <w:b/>
          <w:bCs/>
          <w:noProof/>
          <w:color w:val="000000" w:themeColor="text1"/>
          <w:sz w:val="24"/>
          <w:szCs w:val="24"/>
        </w:rPr>
        <w:t>SIBs creates</w:t>
      </w:r>
      <w:r w:rsidRPr="4EB84919">
        <w:rPr>
          <w:rFonts w:ascii="Times New Roman" w:eastAsia="Times New Roman" w:hAnsi="Times New Roman" w:cs="Times New Roman"/>
          <w:b/>
          <w:bCs/>
          <w:noProof/>
          <w:color w:val="000000" w:themeColor="text1"/>
          <w:sz w:val="24"/>
          <w:szCs w:val="24"/>
        </w:rPr>
        <w:t xml:space="preserve"> mutually reinforcing vulnerabilities</w:t>
      </w:r>
      <w:r w:rsidR="486B821F" w:rsidRPr="4EB84919">
        <w:rPr>
          <w:rFonts w:ascii="Times New Roman" w:eastAsiaTheme="minorEastAsia" w:hAnsi="Times New Roman" w:cs="Times New Roman"/>
          <w:noProof/>
          <w:color w:val="000000" w:themeColor="text1"/>
          <w:sz w:val="24"/>
          <w:szCs w:val="24"/>
          <w:vertAlign w:val="superscript"/>
        </w:rPr>
        <w:footnoteReference w:id="22"/>
      </w:r>
      <w:r w:rsidRPr="0036474B">
        <w:rPr>
          <w:rFonts w:ascii="Times New Roman" w:eastAsia="Times New Roman" w:hAnsi="Times New Roman" w:cs="Times New Roman"/>
          <w:noProof/>
          <w:color w:val="000000" w:themeColor="text1"/>
          <w:sz w:val="24"/>
          <w:szCs w:val="24"/>
        </w:rPr>
        <w:t xml:space="preserve">. </w:t>
      </w:r>
      <w:r w:rsidR="5249F118" w:rsidRPr="0036474B">
        <w:rPr>
          <w:rFonts w:ascii="Times New Roman" w:eastAsia="Times New Roman" w:hAnsi="Times New Roman" w:cs="Times New Roman"/>
          <w:noProof/>
          <w:color w:val="000000" w:themeColor="text1"/>
          <w:sz w:val="24"/>
          <w:szCs w:val="24"/>
        </w:rPr>
        <w:t>On the liability side, the short</w:t>
      </w:r>
      <w:r w:rsidR="4D2C56DE" w:rsidRPr="0036474B">
        <w:rPr>
          <w:rFonts w:ascii="Times New Roman" w:eastAsia="Times New Roman" w:hAnsi="Times New Roman" w:cs="Times New Roman"/>
          <w:noProof/>
          <w:color w:val="000000" w:themeColor="text1"/>
          <w:sz w:val="24"/>
          <w:szCs w:val="24"/>
        </w:rPr>
        <w:t>-term nature of the funding on which these G</w:t>
      </w:r>
      <w:r w:rsidR="3AA66E1B" w:rsidRPr="0036474B">
        <w:rPr>
          <w:rFonts w:ascii="Times New Roman" w:eastAsia="Times New Roman" w:hAnsi="Times New Roman" w:cs="Times New Roman"/>
          <w:noProof/>
          <w:color w:val="000000" w:themeColor="text1"/>
          <w:sz w:val="24"/>
          <w:szCs w:val="24"/>
        </w:rPr>
        <w:t>-</w:t>
      </w:r>
      <w:r w:rsidR="4D2C56DE" w:rsidRPr="0036474B">
        <w:rPr>
          <w:rFonts w:ascii="Times New Roman" w:eastAsia="Times New Roman" w:hAnsi="Times New Roman" w:cs="Times New Roman"/>
          <w:noProof/>
          <w:color w:val="000000" w:themeColor="text1"/>
          <w:sz w:val="24"/>
          <w:szCs w:val="24"/>
        </w:rPr>
        <w:t>SIBs</w:t>
      </w:r>
      <w:r w:rsidRPr="0036474B">
        <w:rPr>
          <w:rFonts w:ascii="Times New Roman" w:eastAsia="Times New Roman" w:hAnsi="Times New Roman" w:cs="Times New Roman"/>
          <w:noProof/>
          <w:color w:val="000000" w:themeColor="text1"/>
          <w:sz w:val="24"/>
          <w:szCs w:val="24"/>
        </w:rPr>
        <w:t xml:space="preserve"> </w:t>
      </w:r>
      <w:r w:rsidR="46D96135" w:rsidRPr="0036474B">
        <w:rPr>
          <w:rFonts w:ascii="Times New Roman" w:eastAsia="Times New Roman" w:hAnsi="Times New Roman" w:cs="Times New Roman"/>
          <w:noProof/>
          <w:color w:val="000000" w:themeColor="text1"/>
          <w:sz w:val="24"/>
          <w:szCs w:val="24"/>
        </w:rPr>
        <w:t>rely</w:t>
      </w:r>
      <w:r w:rsidR="397FBE5A" w:rsidRPr="0036474B">
        <w:rPr>
          <w:rFonts w:ascii="Times New Roman" w:eastAsia="Times New Roman" w:hAnsi="Times New Roman" w:cs="Times New Roman"/>
          <w:noProof/>
          <w:color w:val="000000" w:themeColor="text1"/>
          <w:sz w:val="24"/>
          <w:szCs w:val="24"/>
        </w:rPr>
        <w:t xml:space="preserve">, </w:t>
      </w:r>
      <w:r w:rsidR="46D96135" w:rsidRPr="0036474B">
        <w:rPr>
          <w:rFonts w:ascii="Times New Roman" w:eastAsia="Times New Roman" w:hAnsi="Times New Roman" w:cs="Times New Roman"/>
          <w:noProof/>
          <w:color w:val="000000" w:themeColor="text1"/>
          <w:sz w:val="24"/>
          <w:szCs w:val="24"/>
        </w:rPr>
        <w:t>a</w:t>
      </w:r>
      <w:r w:rsidRPr="0036474B">
        <w:rPr>
          <w:rFonts w:ascii="Times New Roman" w:eastAsia="Times New Roman" w:hAnsi="Times New Roman" w:cs="Times New Roman"/>
          <w:noProof/>
          <w:color w:val="000000" w:themeColor="text1"/>
          <w:sz w:val="24"/>
          <w:szCs w:val="24"/>
        </w:rPr>
        <w:t>pprox</w:t>
      </w:r>
      <w:r w:rsidR="46D96135" w:rsidRPr="0036474B">
        <w:rPr>
          <w:rFonts w:ascii="Times New Roman" w:eastAsia="Times New Roman" w:hAnsi="Times New Roman" w:cs="Times New Roman"/>
          <w:noProof/>
          <w:color w:val="000000" w:themeColor="text1"/>
          <w:sz w:val="24"/>
          <w:szCs w:val="24"/>
        </w:rPr>
        <w:t>.</w:t>
      </w:r>
      <w:r w:rsidRPr="0036474B">
        <w:rPr>
          <w:rFonts w:ascii="Times New Roman" w:eastAsia="Times New Roman" w:hAnsi="Times New Roman" w:cs="Times New Roman"/>
          <w:noProof/>
          <w:color w:val="000000" w:themeColor="text1"/>
          <w:sz w:val="24"/>
          <w:szCs w:val="24"/>
        </w:rPr>
        <w:t xml:space="preserve"> 60% of deposits and repos</w:t>
      </w:r>
      <w:r w:rsidR="397FBE5A" w:rsidRPr="0036474B">
        <w:rPr>
          <w:rFonts w:ascii="Times New Roman" w:eastAsia="Times New Roman" w:hAnsi="Times New Roman" w:cs="Times New Roman"/>
          <w:noProof/>
          <w:color w:val="000000" w:themeColor="text1"/>
          <w:sz w:val="24"/>
          <w:szCs w:val="24"/>
        </w:rPr>
        <w:t xml:space="preserve"> with NBFI entities</w:t>
      </w:r>
      <w:r w:rsidR="7EFCC5F7" w:rsidRPr="0036474B">
        <w:rPr>
          <w:rFonts w:ascii="Times New Roman" w:eastAsia="Times New Roman" w:hAnsi="Times New Roman" w:cs="Times New Roman"/>
          <w:noProof/>
          <w:color w:val="000000" w:themeColor="text1"/>
          <w:sz w:val="24"/>
          <w:szCs w:val="24"/>
        </w:rPr>
        <w:t xml:space="preserve">, renders them structurally </w:t>
      </w:r>
      <w:r w:rsidR="614944BF" w:rsidRPr="0036474B">
        <w:rPr>
          <w:rFonts w:ascii="Times New Roman" w:eastAsia="Times New Roman" w:hAnsi="Times New Roman" w:cs="Times New Roman"/>
          <w:noProof/>
          <w:color w:val="000000" w:themeColor="text1"/>
          <w:sz w:val="24"/>
          <w:szCs w:val="24"/>
        </w:rPr>
        <w:t>exposed</w:t>
      </w:r>
      <w:r w:rsidRPr="0036474B">
        <w:rPr>
          <w:rFonts w:ascii="Times New Roman" w:eastAsia="Times New Roman" w:hAnsi="Times New Roman" w:cs="Times New Roman"/>
          <w:noProof/>
          <w:color w:val="000000" w:themeColor="text1"/>
          <w:sz w:val="24"/>
          <w:szCs w:val="24"/>
        </w:rPr>
        <w:t xml:space="preserve"> to outflows. On the asset side, around 26% of total identifiable exposures to NBFI entities involve firms using leveraged strategies, </w:t>
      </w:r>
      <w:r w:rsidR="084D39D9" w:rsidRPr="0036474B">
        <w:rPr>
          <w:rFonts w:ascii="Times New Roman" w:eastAsia="Times New Roman" w:hAnsi="Times New Roman" w:cs="Times New Roman"/>
          <w:noProof/>
          <w:color w:val="000000" w:themeColor="text1"/>
          <w:sz w:val="24"/>
          <w:szCs w:val="24"/>
        </w:rPr>
        <w:t xml:space="preserve">with any deterioration in market conditions risking </w:t>
      </w:r>
      <w:r w:rsidR="10154CF4" w:rsidRPr="0036474B">
        <w:rPr>
          <w:rFonts w:ascii="Times New Roman" w:eastAsia="Times New Roman" w:hAnsi="Times New Roman" w:cs="Times New Roman"/>
          <w:noProof/>
          <w:color w:val="000000" w:themeColor="text1"/>
          <w:sz w:val="24"/>
          <w:szCs w:val="24"/>
        </w:rPr>
        <w:t>triggering</w:t>
      </w:r>
      <w:r w:rsidR="00851844" w:rsidRPr="0036474B">
        <w:rPr>
          <w:rFonts w:ascii="Times New Roman" w:eastAsia="Times New Roman" w:hAnsi="Times New Roman" w:cs="Times New Roman"/>
          <w:noProof/>
          <w:color w:val="000000" w:themeColor="text1"/>
          <w:sz w:val="24"/>
          <w:szCs w:val="24"/>
        </w:rPr>
        <w:t xml:space="preserve"> simultaneous deleveraging</w:t>
      </w:r>
      <w:r w:rsidR="37732338" w:rsidRPr="0036474B">
        <w:rPr>
          <w:rFonts w:ascii="Times New Roman" w:eastAsia="Times New Roman" w:hAnsi="Times New Roman" w:cs="Times New Roman"/>
          <w:noProof/>
          <w:color w:val="000000" w:themeColor="text1"/>
          <w:sz w:val="24"/>
          <w:szCs w:val="24"/>
        </w:rPr>
        <w:t xml:space="preserve"> by the counterparties providing that funding</w:t>
      </w:r>
      <w:r w:rsidRPr="0036474B">
        <w:rPr>
          <w:rFonts w:ascii="Times New Roman" w:eastAsia="Times New Roman" w:hAnsi="Times New Roman" w:cs="Times New Roman"/>
          <w:noProof/>
          <w:color w:val="000000" w:themeColor="text1"/>
          <w:sz w:val="24"/>
          <w:szCs w:val="24"/>
        </w:rPr>
        <w:t xml:space="preserve">. </w:t>
      </w:r>
      <w:r w:rsidR="001F59FA" w:rsidRPr="4EB84919">
        <w:rPr>
          <w:rFonts w:ascii="Times New Roman" w:eastAsia="Times New Roman" w:hAnsi="Times New Roman" w:cs="Times New Roman"/>
          <w:noProof/>
          <w:color w:val="000000" w:themeColor="text1"/>
        </w:rPr>
        <w:t xml:space="preserve">These </w:t>
      </w:r>
      <w:r w:rsidR="4BFF7398" w:rsidRPr="0036474B">
        <w:rPr>
          <w:rFonts w:ascii="Times New Roman" w:eastAsia="Times New Roman" w:hAnsi="Times New Roman" w:cs="Times New Roman"/>
          <w:noProof/>
          <w:color w:val="000000" w:themeColor="text1"/>
          <w:sz w:val="24"/>
          <w:szCs w:val="24"/>
        </w:rPr>
        <w:t>balance sheet risks are compounded by two structural features</w:t>
      </w:r>
      <w:r w:rsidR="6D1D3947" w:rsidRPr="0036474B">
        <w:rPr>
          <w:rFonts w:ascii="Times New Roman" w:eastAsia="Times New Roman" w:hAnsi="Times New Roman" w:cs="Times New Roman"/>
          <w:noProof/>
          <w:color w:val="000000" w:themeColor="text1"/>
          <w:sz w:val="24"/>
          <w:szCs w:val="24"/>
        </w:rPr>
        <w:t xml:space="preserve"> of the markets in which the intermediation takes place.</w:t>
      </w:r>
      <w:r w:rsidRPr="0036474B">
        <w:rPr>
          <w:rFonts w:ascii="Times New Roman" w:eastAsia="Times New Roman" w:hAnsi="Times New Roman" w:cs="Times New Roman"/>
          <w:noProof/>
          <w:color w:val="000000" w:themeColor="text1"/>
          <w:sz w:val="24"/>
          <w:szCs w:val="24"/>
        </w:rPr>
        <w:t xml:space="preserve"> </w:t>
      </w:r>
      <w:r w:rsidR="4423B35C" w:rsidRPr="0036474B">
        <w:rPr>
          <w:rFonts w:ascii="Times New Roman" w:eastAsia="Times New Roman" w:hAnsi="Times New Roman" w:cs="Times New Roman"/>
          <w:noProof/>
          <w:color w:val="000000" w:themeColor="text1"/>
          <w:sz w:val="24"/>
          <w:szCs w:val="24"/>
        </w:rPr>
        <w:t>First</w:t>
      </w:r>
      <w:r w:rsidR="6CE2D1A0" w:rsidRPr="0036474B">
        <w:rPr>
          <w:rFonts w:ascii="Times New Roman" w:eastAsia="Times New Roman" w:hAnsi="Times New Roman" w:cs="Times New Roman"/>
          <w:noProof/>
          <w:color w:val="000000" w:themeColor="text1"/>
          <w:sz w:val="24"/>
          <w:szCs w:val="24"/>
        </w:rPr>
        <w:t>, both</w:t>
      </w:r>
      <w:r w:rsidRPr="0036474B">
        <w:rPr>
          <w:rFonts w:ascii="Times New Roman" w:eastAsia="Times New Roman" w:hAnsi="Times New Roman" w:cs="Times New Roman"/>
          <w:noProof/>
          <w:color w:val="000000" w:themeColor="text1"/>
          <w:sz w:val="24"/>
          <w:szCs w:val="24"/>
        </w:rPr>
        <w:t xml:space="preserve"> the repo and FX swap markets are highly concentrated, with the top four euro area dealers </w:t>
      </w:r>
      <w:r w:rsidR="0209C21B" w:rsidRPr="0036474B">
        <w:rPr>
          <w:rFonts w:ascii="Times New Roman" w:eastAsia="Times New Roman" w:hAnsi="Times New Roman" w:cs="Times New Roman"/>
          <w:noProof/>
          <w:color w:val="000000" w:themeColor="text1"/>
          <w:sz w:val="24"/>
          <w:szCs w:val="24"/>
        </w:rPr>
        <w:t xml:space="preserve">now </w:t>
      </w:r>
      <w:r w:rsidRPr="0036474B">
        <w:rPr>
          <w:rFonts w:ascii="Times New Roman" w:eastAsia="Times New Roman" w:hAnsi="Times New Roman" w:cs="Times New Roman"/>
          <w:noProof/>
          <w:color w:val="000000" w:themeColor="text1"/>
          <w:sz w:val="24"/>
          <w:szCs w:val="24"/>
        </w:rPr>
        <w:t>accounting for about 60% of the FX swap market, up from 50% five years ago</w:t>
      </w:r>
      <w:r w:rsidR="169ED4DB" w:rsidRPr="0036474B">
        <w:rPr>
          <w:rFonts w:ascii="Times New Roman" w:eastAsia="Times New Roman" w:hAnsi="Times New Roman" w:cs="Times New Roman"/>
          <w:noProof/>
          <w:color w:val="000000" w:themeColor="text1"/>
          <w:sz w:val="24"/>
          <w:szCs w:val="24"/>
        </w:rPr>
        <w:t xml:space="preserve">. The failure or </w:t>
      </w:r>
      <w:r w:rsidR="655993EC" w:rsidRPr="0036474B">
        <w:rPr>
          <w:rFonts w:ascii="Times New Roman" w:eastAsia="Times New Roman" w:hAnsi="Times New Roman" w:cs="Times New Roman"/>
          <w:noProof/>
          <w:color w:val="000000" w:themeColor="text1"/>
          <w:sz w:val="24"/>
          <w:szCs w:val="24"/>
        </w:rPr>
        <w:t>retrenchment</w:t>
      </w:r>
      <w:r w:rsidR="31961376" w:rsidRPr="0036474B">
        <w:rPr>
          <w:rFonts w:ascii="Times New Roman" w:eastAsia="Times New Roman" w:hAnsi="Times New Roman" w:cs="Times New Roman"/>
          <w:noProof/>
          <w:color w:val="000000" w:themeColor="text1"/>
          <w:sz w:val="24"/>
          <w:szCs w:val="24"/>
        </w:rPr>
        <w:t xml:space="preserve"> of even one G</w:t>
      </w:r>
      <w:r w:rsidR="2E381702" w:rsidRPr="0036474B">
        <w:rPr>
          <w:rFonts w:ascii="Times New Roman" w:eastAsia="Times New Roman" w:hAnsi="Times New Roman" w:cs="Times New Roman"/>
          <w:noProof/>
          <w:color w:val="000000" w:themeColor="text1"/>
          <w:sz w:val="24"/>
          <w:szCs w:val="24"/>
        </w:rPr>
        <w:t>-</w:t>
      </w:r>
      <w:r w:rsidR="31961376" w:rsidRPr="0036474B">
        <w:rPr>
          <w:rFonts w:ascii="Times New Roman" w:eastAsia="Times New Roman" w:hAnsi="Times New Roman" w:cs="Times New Roman"/>
          <w:noProof/>
          <w:color w:val="000000" w:themeColor="text1"/>
          <w:sz w:val="24"/>
          <w:szCs w:val="24"/>
        </w:rPr>
        <w:t>SIB</w:t>
      </w:r>
      <w:r w:rsidR="74136751" w:rsidRPr="0036474B">
        <w:rPr>
          <w:rFonts w:ascii="Times New Roman" w:eastAsia="Times New Roman" w:hAnsi="Times New Roman" w:cs="Times New Roman"/>
          <w:noProof/>
          <w:color w:val="000000" w:themeColor="text1"/>
          <w:sz w:val="24"/>
          <w:szCs w:val="24"/>
        </w:rPr>
        <w:t xml:space="preserve"> could impair</w:t>
      </w:r>
      <w:r w:rsidR="1C2A0E6D" w:rsidRPr="0036474B">
        <w:rPr>
          <w:rFonts w:ascii="Times New Roman" w:eastAsia="Times New Roman" w:hAnsi="Times New Roman" w:cs="Times New Roman"/>
          <w:noProof/>
          <w:color w:val="000000" w:themeColor="text1"/>
          <w:sz w:val="24"/>
          <w:szCs w:val="24"/>
        </w:rPr>
        <w:t xml:space="preserve"> the proper functioning </w:t>
      </w:r>
      <w:r w:rsidR="0C966C79" w:rsidRPr="0036474B">
        <w:rPr>
          <w:rFonts w:ascii="Times New Roman" w:eastAsia="Times New Roman" w:hAnsi="Times New Roman" w:cs="Times New Roman"/>
          <w:noProof/>
          <w:color w:val="000000" w:themeColor="text1"/>
          <w:sz w:val="24"/>
          <w:szCs w:val="24"/>
        </w:rPr>
        <w:t>of USD intermediation</w:t>
      </w:r>
      <w:r w:rsidRPr="0036474B">
        <w:rPr>
          <w:rFonts w:ascii="Times New Roman" w:eastAsia="Times New Roman" w:hAnsi="Times New Roman" w:cs="Times New Roman"/>
          <w:noProof/>
          <w:color w:val="000000" w:themeColor="text1"/>
          <w:sz w:val="24"/>
          <w:szCs w:val="24"/>
        </w:rPr>
        <w:t xml:space="preserve"> of the European financial system. </w:t>
      </w:r>
      <w:r w:rsidR="7C429C84" w:rsidRPr="0036474B">
        <w:rPr>
          <w:rFonts w:ascii="Times New Roman" w:eastAsia="Times New Roman" w:hAnsi="Times New Roman" w:cs="Times New Roman"/>
          <w:noProof/>
          <w:color w:val="000000" w:themeColor="text1"/>
          <w:sz w:val="24"/>
          <w:szCs w:val="24"/>
        </w:rPr>
        <w:t xml:space="preserve">Second, the off-balance sheet nature of the FX swap exposures </w:t>
      </w:r>
      <w:r w:rsidR="77DE81FE" w:rsidRPr="0036474B">
        <w:rPr>
          <w:rFonts w:ascii="Times New Roman" w:eastAsia="Times New Roman" w:hAnsi="Times New Roman" w:cs="Times New Roman"/>
          <w:noProof/>
          <w:color w:val="000000" w:themeColor="text1"/>
          <w:sz w:val="24"/>
          <w:szCs w:val="24"/>
        </w:rPr>
        <w:t>limit</w:t>
      </w:r>
      <w:r w:rsidR="04504609" w:rsidRPr="0036474B">
        <w:rPr>
          <w:rFonts w:ascii="Times New Roman" w:eastAsia="Times New Roman" w:hAnsi="Times New Roman" w:cs="Times New Roman"/>
          <w:noProof/>
          <w:color w:val="000000" w:themeColor="text1"/>
          <w:sz w:val="24"/>
          <w:szCs w:val="24"/>
        </w:rPr>
        <w:t>s</w:t>
      </w:r>
      <w:r w:rsidR="675F399A" w:rsidRPr="0036474B">
        <w:rPr>
          <w:rFonts w:ascii="Times New Roman" w:eastAsia="Times New Roman" w:hAnsi="Times New Roman" w:cs="Times New Roman"/>
          <w:noProof/>
          <w:color w:val="000000" w:themeColor="text1"/>
          <w:sz w:val="24"/>
          <w:szCs w:val="24"/>
        </w:rPr>
        <w:t xml:space="preserve"> </w:t>
      </w:r>
      <w:r w:rsidR="5A1ACF95" w:rsidRPr="0036474B">
        <w:rPr>
          <w:rFonts w:ascii="Times New Roman" w:eastAsia="Times New Roman" w:hAnsi="Times New Roman" w:cs="Times New Roman"/>
          <w:noProof/>
          <w:color w:val="000000" w:themeColor="text1"/>
          <w:sz w:val="24"/>
          <w:szCs w:val="24"/>
        </w:rPr>
        <w:t xml:space="preserve">the assessment of associated risks, especially concentration risk. </w:t>
      </w:r>
      <w:r w:rsidRPr="0036474B">
        <w:rPr>
          <w:rFonts w:ascii="Times New Roman" w:eastAsia="Times New Roman" w:hAnsi="Times New Roman" w:cs="Times New Roman"/>
          <w:noProof/>
          <w:color w:val="000000" w:themeColor="text1"/>
          <w:sz w:val="24"/>
          <w:szCs w:val="24"/>
        </w:rPr>
        <w:t xml:space="preserve">Should these </w:t>
      </w:r>
      <w:r w:rsidR="14AEE95B" w:rsidRPr="0036474B">
        <w:rPr>
          <w:rFonts w:ascii="Times New Roman" w:eastAsia="Times New Roman" w:hAnsi="Times New Roman" w:cs="Times New Roman"/>
          <w:noProof/>
          <w:color w:val="000000" w:themeColor="text1"/>
          <w:sz w:val="24"/>
          <w:szCs w:val="24"/>
        </w:rPr>
        <w:t>G</w:t>
      </w:r>
      <w:r w:rsidR="2E381702" w:rsidRPr="0036474B">
        <w:rPr>
          <w:rFonts w:ascii="Times New Roman" w:eastAsia="Times New Roman" w:hAnsi="Times New Roman" w:cs="Times New Roman"/>
          <w:noProof/>
          <w:color w:val="000000" w:themeColor="text1"/>
          <w:sz w:val="24"/>
          <w:szCs w:val="24"/>
        </w:rPr>
        <w:t>-</w:t>
      </w:r>
      <w:r w:rsidR="14AEE95B" w:rsidRPr="0036474B">
        <w:rPr>
          <w:rFonts w:ascii="Times New Roman" w:eastAsia="Times New Roman" w:hAnsi="Times New Roman" w:cs="Times New Roman"/>
          <w:noProof/>
          <w:color w:val="000000" w:themeColor="text1"/>
          <w:sz w:val="24"/>
          <w:szCs w:val="24"/>
        </w:rPr>
        <w:t>SIBs</w:t>
      </w:r>
      <w:r w:rsidRPr="0036474B">
        <w:rPr>
          <w:rFonts w:ascii="Times New Roman" w:eastAsia="Times New Roman" w:hAnsi="Times New Roman" w:cs="Times New Roman"/>
          <w:noProof/>
          <w:color w:val="000000" w:themeColor="text1"/>
          <w:sz w:val="24"/>
          <w:szCs w:val="24"/>
        </w:rPr>
        <w:t xml:space="preserve"> curtail their activity under stress, their counterparties could face difficulties funding or hedging dollar-denominated investments and may need to sell such assets, transmitting bank-level stress directly into broader asset price dislocations.</w:t>
      </w:r>
      <w:r w:rsidR="00A84F4B" w:rsidRPr="0036474B">
        <w:rPr>
          <w:rFonts w:ascii="Times New Roman" w:eastAsia="Times New Roman" w:hAnsi="Times New Roman" w:cs="Times New Roman"/>
          <w:noProof/>
          <w:color w:val="000000" w:themeColor="text1"/>
          <w:sz w:val="24"/>
          <w:szCs w:val="24"/>
        </w:rPr>
        <w:t xml:space="preserve"> These dislocations</w:t>
      </w:r>
      <w:r w:rsidR="004519D4" w:rsidRPr="0036474B">
        <w:rPr>
          <w:rFonts w:ascii="Times New Roman" w:eastAsia="Times New Roman" w:hAnsi="Times New Roman" w:cs="Times New Roman"/>
          <w:noProof/>
          <w:color w:val="000000" w:themeColor="text1"/>
          <w:sz w:val="24"/>
          <w:szCs w:val="24"/>
        </w:rPr>
        <w:t xml:space="preserve"> could be further amplified by the structural dependency of EU GSIBs on USD funding mechanism</w:t>
      </w:r>
      <w:r w:rsidR="00A024D3" w:rsidRPr="0036474B">
        <w:rPr>
          <w:rFonts w:ascii="Times New Roman" w:eastAsia="Times New Roman" w:hAnsi="Times New Roman" w:cs="Times New Roman"/>
          <w:noProof/>
          <w:color w:val="000000" w:themeColor="text1"/>
          <w:sz w:val="24"/>
          <w:szCs w:val="24"/>
        </w:rPr>
        <w:t xml:space="preserve"> (incl</w:t>
      </w:r>
      <w:r w:rsidR="003F0700" w:rsidRPr="4EB84919">
        <w:rPr>
          <w:rFonts w:ascii="Times New Roman" w:eastAsia="Times New Roman" w:hAnsi="Times New Roman" w:cs="Times New Roman"/>
          <w:noProof/>
          <w:color w:val="000000" w:themeColor="text1"/>
          <w:sz w:val="24"/>
          <w:szCs w:val="24"/>
        </w:rPr>
        <w:t>uding</w:t>
      </w:r>
      <w:r w:rsidR="00A024D3" w:rsidRPr="0036474B">
        <w:rPr>
          <w:rFonts w:ascii="Times New Roman" w:eastAsia="Times New Roman" w:hAnsi="Times New Roman" w:cs="Times New Roman"/>
          <w:noProof/>
          <w:color w:val="000000" w:themeColor="text1"/>
          <w:sz w:val="24"/>
          <w:szCs w:val="24"/>
        </w:rPr>
        <w:t xml:space="preserve"> FX swap lines</w:t>
      </w:r>
      <w:r w:rsidR="004448DC" w:rsidRPr="0036474B">
        <w:rPr>
          <w:rFonts w:ascii="Times New Roman" w:eastAsia="Times New Roman" w:hAnsi="Times New Roman" w:cs="Times New Roman"/>
          <w:noProof/>
          <w:color w:val="000000" w:themeColor="text1"/>
          <w:sz w:val="24"/>
          <w:szCs w:val="24"/>
        </w:rPr>
        <w:t xml:space="preserve"> and USD money markets</w:t>
      </w:r>
      <w:r w:rsidR="006E0E39" w:rsidRPr="0036474B">
        <w:rPr>
          <w:rFonts w:ascii="Times New Roman" w:eastAsia="Times New Roman" w:hAnsi="Times New Roman" w:cs="Times New Roman"/>
          <w:noProof/>
          <w:color w:val="000000" w:themeColor="text1"/>
          <w:sz w:val="24"/>
          <w:szCs w:val="24"/>
        </w:rPr>
        <w:t xml:space="preserve">). </w:t>
      </w:r>
      <w:r w:rsidR="00BB48C3" w:rsidRPr="0036474B">
        <w:rPr>
          <w:rFonts w:ascii="Times New Roman" w:eastAsia="Times New Roman" w:hAnsi="Times New Roman" w:cs="Times New Roman"/>
          <w:noProof/>
          <w:color w:val="000000" w:themeColor="text1"/>
          <w:sz w:val="24"/>
          <w:szCs w:val="24"/>
        </w:rPr>
        <w:t xml:space="preserve">This dependency </w:t>
      </w:r>
      <w:r w:rsidR="00B6257C" w:rsidRPr="0036474B">
        <w:rPr>
          <w:rFonts w:ascii="Times New Roman" w:eastAsia="Times New Roman" w:hAnsi="Times New Roman" w:cs="Times New Roman"/>
          <w:noProof/>
          <w:color w:val="000000" w:themeColor="text1"/>
          <w:sz w:val="24"/>
          <w:szCs w:val="24"/>
        </w:rPr>
        <w:t xml:space="preserve">weights on EU banks’ competitiveness </w:t>
      </w:r>
      <w:r w:rsidR="00332A86" w:rsidRPr="0036474B">
        <w:rPr>
          <w:rFonts w:ascii="Times New Roman" w:eastAsia="Times New Roman" w:hAnsi="Times New Roman" w:cs="Times New Roman"/>
          <w:noProof/>
          <w:color w:val="000000" w:themeColor="text1"/>
          <w:sz w:val="24"/>
          <w:szCs w:val="24"/>
        </w:rPr>
        <w:t xml:space="preserve">as the cost of maintaining </w:t>
      </w:r>
      <w:r w:rsidR="00C42F41" w:rsidRPr="0036474B">
        <w:rPr>
          <w:rFonts w:ascii="Times New Roman" w:eastAsia="Times New Roman" w:hAnsi="Times New Roman" w:cs="Times New Roman"/>
          <w:noProof/>
          <w:color w:val="000000" w:themeColor="text1"/>
          <w:sz w:val="24"/>
          <w:szCs w:val="24"/>
        </w:rPr>
        <w:t>USD liquidity buffers disadvantages</w:t>
      </w:r>
      <w:r w:rsidR="000F5567" w:rsidRPr="0036474B">
        <w:rPr>
          <w:rFonts w:ascii="Times New Roman" w:eastAsia="Times New Roman" w:hAnsi="Times New Roman" w:cs="Times New Roman"/>
          <w:noProof/>
          <w:color w:val="000000" w:themeColor="text1"/>
          <w:sz w:val="24"/>
          <w:szCs w:val="24"/>
        </w:rPr>
        <w:t xml:space="preserve"> EU banks compared to US peers.</w:t>
      </w:r>
    </w:p>
    <w:p w14:paraId="633413BC" w14:textId="5038BB97" w:rsidR="000B462B" w:rsidRPr="0036474B" w:rsidRDefault="195359B6" w:rsidP="003C30E7">
      <w:pPr>
        <w:jc w:val="both"/>
        <w:rPr>
          <w:rFonts w:ascii="Times New Roman" w:hAnsi="Times New Roman" w:cs="Times New Roman"/>
          <w:noProof/>
          <w:sz w:val="24"/>
          <w:szCs w:val="24"/>
          <w:lang w:val="en-GB"/>
        </w:rPr>
      </w:pPr>
      <w:r w:rsidRPr="0036474B">
        <w:rPr>
          <w:rFonts w:ascii="Times New Roman" w:hAnsi="Times New Roman" w:cs="Times New Roman"/>
          <w:b/>
          <w:noProof/>
          <w:sz w:val="24"/>
          <w:szCs w:val="24"/>
          <w:lang w:val="en-GB"/>
        </w:rPr>
        <w:t>Next to servicing NBFIs, b</w:t>
      </w:r>
      <w:r w:rsidR="00AB6814" w:rsidRPr="0036474B">
        <w:rPr>
          <w:rFonts w:ascii="Times New Roman" w:hAnsi="Times New Roman" w:cs="Times New Roman"/>
          <w:b/>
          <w:noProof/>
          <w:sz w:val="24"/>
          <w:szCs w:val="24"/>
          <w:lang w:val="en-GB"/>
        </w:rPr>
        <w:t xml:space="preserve">anks </w:t>
      </w:r>
      <w:r w:rsidR="00A672D4" w:rsidRPr="0036474B">
        <w:rPr>
          <w:rFonts w:ascii="Times New Roman" w:hAnsi="Times New Roman" w:cs="Times New Roman"/>
          <w:b/>
          <w:noProof/>
          <w:sz w:val="24"/>
          <w:szCs w:val="24"/>
          <w:lang w:val="en-GB"/>
        </w:rPr>
        <w:t xml:space="preserve">play a </w:t>
      </w:r>
      <w:r w:rsidR="005F28CA" w:rsidRPr="0036474B">
        <w:rPr>
          <w:rFonts w:ascii="Times New Roman" w:hAnsi="Times New Roman" w:cs="Times New Roman"/>
          <w:b/>
          <w:noProof/>
          <w:sz w:val="24"/>
          <w:szCs w:val="24"/>
          <w:lang w:val="en-GB"/>
        </w:rPr>
        <w:t>crucial role</w:t>
      </w:r>
      <w:r w:rsidR="00EC0A0D" w:rsidRPr="0036474B">
        <w:rPr>
          <w:rFonts w:ascii="Times New Roman" w:hAnsi="Times New Roman" w:cs="Times New Roman"/>
          <w:b/>
          <w:noProof/>
          <w:sz w:val="24"/>
          <w:szCs w:val="24"/>
          <w:lang w:val="en-GB"/>
        </w:rPr>
        <w:t xml:space="preserve"> in the capital markets by channelling</w:t>
      </w:r>
      <w:r w:rsidR="00514ED1" w:rsidRPr="0036474B">
        <w:rPr>
          <w:rFonts w:ascii="Times New Roman" w:hAnsi="Times New Roman" w:cs="Times New Roman"/>
          <w:b/>
          <w:noProof/>
          <w:sz w:val="24"/>
          <w:szCs w:val="24"/>
          <w:lang w:val="en-GB"/>
        </w:rPr>
        <w:t xml:space="preserve"> retail </w:t>
      </w:r>
      <w:r w:rsidR="00F76873" w:rsidRPr="0036474B">
        <w:rPr>
          <w:rFonts w:ascii="Times New Roman" w:hAnsi="Times New Roman" w:cs="Times New Roman"/>
          <w:b/>
          <w:noProof/>
          <w:sz w:val="24"/>
          <w:szCs w:val="24"/>
          <w:lang w:val="en-GB"/>
        </w:rPr>
        <w:t xml:space="preserve">savings </w:t>
      </w:r>
      <w:r w:rsidR="000E156C" w:rsidRPr="0036474B">
        <w:rPr>
          <w:rFonts w:ascii="Times New Roman" w:hAnsi="Times New Roman" w:cs="Times New Roman"/>
          <w:b/>
          <w:noProof/>
          <w:sz w:val="24"/>
          <w:szCs w:val="24"/>
          <w:lang w:val="en-GB"/>
        </w:rPr>
        <w:t xml:space="preserve">into </w:t>
      </w:r>
      <w:r w:rsidR="006B1CA4" w:rsidRPr="0036474B">
        <w:rPr>
          <w:rFonts w:ascii="Times New Roman" w:hAnsi="Times New Roman" w:cs="Times New Roman"/>
          <w:b/>
          <w:noProof/>
          <w:sz w:val="24"/>
          <w:szCs w:val="24"/>
          <w:lang w:val="en-GB"/>
        </w:rPr>
        <w:t>diverse</w:t>
      </w:r>
      <w:r w:rsidR="005A04B2" w:rsidRPr="0036474B">
        <w:rPr>
          <w:rFonts w:ascii="Times New Roman" w:hAnsi="Times New Roman" w:cs="Times New Roman"/>
          <w:b/>
          <w:noProof/>
          <w:sz w:val="24"/>
          <w:szCs w:val="24"/>
          <w:lang w:val="en-GB"/>
        </w:rPr>
        <w:t xml:space="preserve"> investment products, such as UCITS</w:t>
      </w:r>
      <w:r w:rsidR="006B1CA4" w:rsidRPr="0036474B">
        <w:rPr>
          <w:rFonts w:ascii="Times New Roman" w:hAnsi="Times New Roman" w:cs="Times New Roman"/>
          <w:b/>
          <w:noProof/>
          <w:sz w:val="24"/>
          <w:szCs w:val="24"/>
          <w:lang w:val="en-GB"/>
        </w:rPr>
        <w:t xml:space="preserve"> funds</w:t>
      </w:r>
      <w:r w:rsidR="005A04B2" w:rsidRPr="0036474B">
        <w:rPr>
          <w:rFonts w:ascii="Times New Roman" w:hAnsi="Times New Roman" w:cs="Times New Roman"/>
          <w:b/>
          <w:noProof/>
          <w:sz w:val="24"/>
          <w:szCs w:val="24"/>
          <w:lang w:val="en-GB"/>
        </w:rPr>
        <w:t>, ETF</w:t>
      </w:r>
      <w:r w:rsidR="006B1CA4" w:rsidRPr="0036474B">
        <w:rPr>
          <w:rFonts w:ascii="Times New Roman" w:hAnsi="Times New Roman" w:cs="Times New Roman"/>
          <w:b/>
          <w:noProof/>
          <w:sz w:val="24"/>
          <w:szCs w:val="24"/>
          <w:lang w:val="en-GB"/>
        </w:rPr>
        <w:t>s</w:t>
      </w:r>
      <w:r w:rsidR="005A04B2" w:rsidRPr="0036474B">
        <w:rPr>
          <w:rFonts w:ascii="Times New Roman" w:hAnsi="Times New Roman" w:cs="Times New Roman"/>
          <w:b/>
          <w:noProof/>
          <w:sz w:val="24"/>
          <w:szCs w:val="24"/>
          <w:lang w:val="en-GB"/>
        </w:rPr>
        <w:t xml:space="preserve">, </w:t>
      </w:r>
      <w:r w:rsidR="00EA7022" w:rsidRPr="0036474B">
        <w:rPr>
          <w:rFonts w:ascii="Times New Roman" w:hAnsi="Times New Roman" w:cs="Times New Roman"/>
          <w:b/>
          <w:noProof/>
          <w:sz w:val="24"/>
          <w:szCs w:val="24"/>
          <w:lang w:val="en-GB"/>
        </w:rPr>
        <w:t xml:space="preserve">and pension </w:t>
      </w:r>
      <w:r w:rsidR="006B1CA4" w:rsidRPr="0036474B">
        <w:rPr>
          <w:rFonts w:ascii="Times New Roman" w:hAnsi="Times New Roman" w:cs="Times New Roman"/>
          <w:b/>
          <w:noProof/>
          <w:sz w:val="24"/>
          <w:szCs w:val="24"/>
          <w:lang w:val="en-GB"/>
        </w:rPr>
        <w:t>schemes</w:t>
      </w:r>
      <w:r w:rsidR="00B97B87" w:rsidRPr="0036474B">
        <w:rPr>
          <w:rFonts w:ascii="Times New Roman" w:hAnsi="Times New Roman" w:cs="Times New Roman"/>
          <w:b/>
          <w:noProof/>
          <w:sz w:val="24"/>
          <w:szCs w:val="24"/>
          <w:lang w:val="en-GB"/>
        </w:rPr>
        <w:t xml:space="preserve"> under applicable regulatory </w:t>
      </w:r>
      <w:r w:rsidR="005A3CE0" w:rsidRPr="0036474B">
        <w:rPr>
          <w:rFonts w:ascii="Times New Roman" w:hAnsi="Times New Roman" w:cs="Times New Roman"/>
          <w:b/>
          <w:noProof/>
          <w:sz w:val="24"/>
          <w:szCs w:val="24"/>
          <w:lang w:val="en-GB"/>
        </w:rPr>
        <w:t>requirements</w:t>
      </w:r>
      <w:r w:rsidR="00B97B87" w:rsidRPr="0036474B">
        <w:rPr>
          <w:rFonts w:ascii="Times New Roman" w:hAnsi="Times New Roman" w:cs="Times New Roman"/>
          <w:noProof/>
          <w:sz w:val="24"/>
          <w:szCs w:val="24"/>
          <w:lang w:val="en-GB"/>
        </w:rPr>
        <w:t xml:space="preserve">. </w:t>
      </w:r>
      <w:r w:rsidR="00A46FC9" w:rsidRPr="0036474B">
        <w:rPr>
          <w:rFonts w:ascii="Times New Roman" w:hAnsi="Times New Roman" w:cs="Times New Roman"/>
          <w:noProof/>
          <w:sz w:val="24"/>
          <w:szCs w:val="24"/>
          <w:lang w:val="en-GB"/>
        </w:rPr>
        <w:t>The top five EU-headquartered assets managers by assets under management are bank-affiliated</w:t>
      </w:r>
      <w:r w:rsidR="00EC58D7" w:rsidRPr="0036474B">
        <w:rPr>
          <w:rFonts w:ascii="Times New Roman" w:hAnsi="Times New Roman" w:cs="Times New Roman"/>
          <w:noProof/>
          <w:sz w:val="24"/>
          <w:szCs w:val="24"/>
          <w:lang w:val="en-GB"/>
        </w:rPr>
        <w:t xml:space="preserve">, </w:t>
      </w:r>
      <w:r w:rsidR="00BA59CD" w:rsidRPr="0036474B">
        <w:rPr>
          <w:rFonts w:ascii="Times New Roman" w:hAnsi="Times New Roman" w:cs="Times New Roman"/>
          <w:noProof/>
          <w:sz w:val="24"/>
          <w:szCs w:val="24"/>
          <w:lang w:val="en-GB"/>
        </w:rPr>
        <w:t>underscoring</w:t>
      </w:r>
      <w:r w:rsidR="00EC58D7" w:rsidRPr="0036474B">
        <w:rPr>
          <w:rFonts w:ascii="Times New Roman" w:hAnsi="Times New Roman" w:cs="Times New Roman"/>
          <w:noProof/>
          <w:sz w:val="24"/>
          <w:szCs w:val="24"/>
          <w:lang w:val="en-GB"/>
        </w:rPr>
        <w:t xml:space="preserve"> </w:t>
      </w:r>
      <w:r w:rsidR="00066C5A" w:rsidRPr="0036474B">
        <w:rPr>
          <w:rFonts w:ascii="Times New Roman" w:hAnsi="Times New Roman" w:cs="Times New Roman"/>
          <w:noProof/>
          <w:sz w:val="24"/>
          <w:szCs w:val="24"/>
          <w:lang w:val="en-GB"/>
        </w:rPr>
        <w:t xml:space="preserve">the </w:t>
      </w:r>
      <w:r w:rsidR="00E439DE" w:rsidRPr="0036474B">
        <w:rPr>
          <w:rFonts w:ascii="Times New Roman" w:hAnsi="Times New Roman" w:cs="Times New Roman"/>
          <w:noProof/>
          <w:sz w:val="24"/>
          <w:szCs w:val="24"/>
          <w:lang w:val="en-GB"/>
        </w:rPr>
        <w:t xml:space="preserve">impact of banks in the savings-to-investment </w:t>
      </w:r>
      <w:r w:rsidR="004844A3" w:rsidRPr="0036474B">
        <w:rPr>
          <w:rFonts w:ascii="Times New Roman" w:hAnsi="Times New Roman" w:cs="Times New Roman"/>
          <w:noProof/>
          <w:sz w:val="24"/>
          <w:szCs w:val="24"/>
          <w:lang w:val="en-GB"/>
        </w:rPr>
        <w:t>pipeline</w:t>
      </w:r>
      <w:r w:rsidR="00E439DE" w:rsidRPr="0036474B">
        <w:rPr>
          <w:rFonts w:ascii="Times New Roman" w:hAnsi="Times New Roman" w:cs="Times New Roman"/>
          <w:noProof/>
          <w:sz w:val="24"/>
          <w:szCs w:val="24"/>
          <w:lang w:val="en-GB"/>
        </w:rPr>
        <w:t xml:space="preserve">. </w:t>
      </w:r>
    </w:p>
    <w:p w14:paraId="06103E1A" w14:textId="3BDB04D8" w:rsidR="000E3440" w:rsidRPr="0036474B" w:rsidRDefault="00640C0A" w:rsidP="003C30E7">
      <w:pPr>
        <w:jc w:val="both"/>
        <w:rPr>
          <w:rFonts w:ascii="Times New Roman" w:hAnsi="Times New Roman" w:cs="Times New Roman"/>
          <w:noProof/>
          <w:sz w:val="24"/>
          <w:szCs w:val="24"/>
          <w:lang w:val="en-GB"/>
        </w:rPr>
      </w:pPr>
      <w:r w:rsidRPr="0036474B">
        <w:rPr>
          <w:rFonts w:ascii="Times New Roman" w:hAnsi="Times New Roman" w:cs="Times New Roman"/>
          <w:b/>
          <w:noProof/>
          <w:sz w:val="24"/>
          <w:szCs w:val="24"/>
          <w:lang w:val="en-GB"/>
        </w:rPr>
        <w:t xml:space="preserve">As underwriters and lead arrangers, banks </w:t>
      </w:r>
      <w:r w:rsidR="004844A3" w:rsidRPr="0036474B">
        <w:rPr>
          <w:rFonts w:ascii="Times New Roman" w:hAnsi="Times New Roman" w:cs="Times New Roman"/>
          <w:b/>
          <w:noProof/>
          <w:sz w:val="24"/>
          <w:szCs w:val="24"/>
          <w:lang w:val="en-GB"/>
        </w:rPr>
        <w:t>function</w:t>
      </w:r>
      <w:r w:rsidRPr="0036474B">
        <w:rPr>
          <w:rFonts w:ascii="Times New Roman" w:hAnsi="Times New Roman" w:cs="Times New Roman"/>
          <w:b/>
          <w:noProof/>
          <w:sz w:val="24"/>
          <w:szCs w:val="24"/>
          <w:lang w:val="en-GB"/>
        </w:rPr>
        <w:t xml:space="preserve"> </w:t>
      </w:r>
      <w:r w:rsidR="006F7A10" w:rsidRPr="0036474B">
        <w:rPr>
          <w:rFonts w:ascii="Times New Roman" w:hAnsi="Times New Roman" w:cs="Times New Roman"/>
          <w:b/>
          <w:noProof/>
          <w:sz w:val="24"/>
          <w:szCs w:val="24"/>
          <w:lang w:val="en-GB"/>
        </w:rPr>
        <w:t>a</w:t>
      </w:r>
      <w:r w:rsidR="004844A3" w:rsidRPr="0036474B">
        <w:rPr>
          <w:rFonts w:ascii="Times New Roman" w:hAnsi="Times New Roman" w:cs="Times New Roman"/>
          <w:b/>
          <w:noProof/>
          <w:sz w:val="24"/>
          <w:szCs w:val="24"/>
          <w:lang w:val="en-GB"/>
        </w:rPr>
        <w:t>s</w:t>
      </w:r>
      <w:r w:rsidR="006F7A10" w:rsidRPr="0036474B">
        <w:rPr>
          <w:rFonts w:ascii="Times New Roman" w:hAnsi="Times New Roman" w:cs="Times New Roman"/>
          <w:b/>
          <w:noProof/>
          <w:sz w:val="24"/>
          <w:szCs w:val="24"/>
          <w:lang w:val="en-GB"/>
        </w:rPr>
        <w:t xml:space="preserve"> </w:t>
      </w:r>
      <w:r w:rsidR="710ACCA3" w:rsidRPr="0036474B">
        <w:rPr>
          <w:rFonts w:ascii="Times New Roman" w:hAnsi="Times New Roman" w:cs="Times New Roman"/>
          <w:b/>
          <w:bCs/>
          <w:noProof/>
          <w:sz w:val="24"/>
          <w:szCs w:val="24"/>
          <w:lang w:val="en-GB"/>
        </w:rPr>
        <w:t xml:space="preserve">a </w:t>
      </w:r>
      <w:r w:rsidR="006F7A10" w:rsidRPr="0036474B">
        <w:rPr>
          <w:rFonts w:ascii="Times New Roman" w:hAnsi="Times New Roman" w:cs="Times New Roman"/>
          <w:b/>
          <w:bCs/>
          <w:noProof/>
          <w:sz w:val="24"/>
          <w:szCs w:val="24"/>
          <w:lang w:val="en-GB"/>
        </w:rPr>
        <w:t>gateway</w:t>
      </w:r>
      <w:r w:rsidR="00DB2851" w:rsidRPr="0036474B">
        <w:rPr>
          <w:rFonts w:ascii="Times New Roman" w:hAnsi="Times New Roman" w:cs="Times New Roman"/>
          <w:b/>
          <w:noProof/>
          <w:sz w:val="24"/>
          <w:szCs w:val="24"/>
          <w:lang w:val="en-GB"/>
        </w:rPr>
        <w:t xml:space="preserve"> </w:t>
      </w:r>
      <w:r w:rsidR="004844A3" w:rsidRPr="0036474B">
        <w:rPr>
          <w:rFonts w:ascii="Times New Roman" w:hAnsi="Times New Roman" w:cs="Times New Roman"/>
          <w:b/>
          <w:noProof/>
          <w:sz w:val="24"/>
          <w:szCs w:val="24"/>
          <w:lang w:val="en-GB"/>
        </w:rPr>
        <w:t>for</w:t>
      </w:r>
      <w:r w:rsidR="00DB2851" w:rsidRPr="0036474B">
        <w:rPr>
          <w:rFonts w:ascii="Times New Roman" w:hAnsi="Times New Roman" w:cs="Times New Roman"/>
          <w:b/>
          <w:noProof/>
          <w:sz w:val="24"/>
          <w:szCs w:val="24"/>
          <w:lang w:val="en-GB"/>
        </w:rPr>
        <w:t xml:space="preserve"> corporates</w:t>
      </w:r>
      <w:r w:rsidR="00363F7B" w:rsidRPr="0036474B">
        <w:rPr>
          <w:rFonts w:ascii="Times New Roman" w:hAnsi="Times New Roman" w:cs="Times New Roman"/>
          <w:b/>
          <w:noProof/>
          <w:sz w:val="24"/>
          <w:szCs w:val="24"/>
          <w:lang w:val="en-GB"/>
        </w:rPr>
        <w:t xml:space="preserve"> </w:t>
      </w:r>
      <w:r w:rsidR="004844A3" w:rsidRPr="0036474B">
        <w:rPr>
          <w:rFonts w:ascii="Times New Roman" w:hAnsi="Times New Roman" w:cs="Times New Roman"/>
          <w:b/>
          <w:noProof/>
          <w:sz w:val="24"/>
          <w:szCs w:val="24"/>
          <w:lang w:val="en-GB"/>
        </w:rPr>
        <w:t>seeking</w:t>
      </w:r>
      <w:r w:rsidR="00363F7B" w:rsidRPr="0036474B">
        <w:rPr>
          <w:rFonts w:ascii="Times New Roman" w:hAnsi="Times New Roman" w:cs="Times New Roman"/>
          <w:b/>
          <w:noProof/>
          <w:sz w:val="24"/>
          <w:szCs w:val="24"/>
          <w:lang w:val="en-GB"/>
        </w:rPr>
        <w:t xml:space="preserve"> capital markets</w:t>
      </w:r>
      <w:r w:rsidR="004844A3" w:rsidRPr="0036474B">
        <w:rPr>
          <w:rFonts w:ascii="Times New Roman" w:hAnsi="Times New Roman" w:cs="Times New Roman"/>
          <w:b/>
          <w:noProof/>
          <w:sz w:val="24"/>
          <w:szCs w:val="24"/>
          <w:lang w:val="en-GB"/>
        </w:rPr>
        <w:t xml:space="preserve"> access</w:t>
      </w:r>
      <w:r w:rsidR="00363F7B" w:rsidRPr="0036474B">
        <w:rPr>
          <w:rFonts w:ascii="Times New Roman" w:hAnsi="Times New Roman" w:cs="Times New Roman"/>
          <w:noProof/>
          <w:sz w:val="24"/>
          <w:szCs w:val="24"/>
          <w:lang w:val="en-GB"/>
        </w:rPr>
        <w:t xml:space="preserve">. </w:t>
      </w:r>
      <w:r w:rsidR="00F705FE" w:rsidRPr="0036474B">
        <w:rPr>
          <w:rFonts w:ascii="Times New Roman" w:hAnsi="Times New Roman" w:cs="Times New Roman"/>
          <w:noProof/>
          <w:sz w:val="24"/>
          <w:szCs w:val="24"/>
          <w:lang w:val="en-GB"/>
        </w:rPr>
        <w:t>Their influence is</w:t>
      </w:r>
      <w:r w:rsidR="0017429A" w:rsidRPr="0036474B">
        <w:rPr>
          <w:rFonts w:ascii="Times New Roman" w:hAnsi="Times New Roman" w:cs="Times New Roman"/>
          <w:noProof/>
          <w:sz w:val="24"/>
          <w:szCs w:val="24"/>
          <w:lang w:val="en-GB"/>
        </w:rPr>
        <w:t xml:space="preserve"> particularly </w:t>
      </w:r>
      <w:r w:rsidR="00F705FE" w:rsidRPr="0036474B">
        <w:rPr>
          <w:rFonts w:ascii="Times New Roman" w:hAnsi="Times New Roman" w:cs="Times New Roman"/>
          <w:noProof/>
          <w:sz w:val="24"/>
          <w:szCs w:val="24"/>
          <w:lang w:val="en-GB"/>
        </w:rPr>
        <w:t>pronounced</w:t>
      </w:r>
      <w:r w:rsidR="0017429A" w:rsidRPr="0036474B">
        <w:rPr>
          <w:rFonts w:ascii="Times New Roman" w:hAnsi="Times New Roman" w:cs="Times New Roman"/>
          <w:noProof/>
          <w:sz w:val="24"/>
          <w:szCs w:val="24"/>
          <w:lang w:val="en-GB"/>
        </w:rPr>
        <w:t xml:space="preserve"> in </w:t>
      </w:r>
      <w:r w:rsidR="005D4B5B" w:rsidRPr="0036474B">
        <w:rPr>
          <w:rFonts w:ascii="Times New Roman" w:hAnsi="Times New Roman" w:cs="Times New Roman"/>
          <w:noProof/>
          <w:sz w:val="24"/>
          <w:szCs w:val="24"/>
          <w:lang w:val="en-GB"/>
        </w:rPr>
        <w:t>the publicly listed equity (EUR</w:t>
      </w:r>
      <w:r w:rsidR="000A3647" w:rsidRPr="0036474B">
        <w:rPr>
          <w:rFonts w:ascii="Times New Roman" w:hAnsi="Times New Roman" w:cs="Times New Roman"/>
          <w:noProof/>
          <w:sz w:val="24"/>
          <w:szCs w:val="24"/>
          <w:lang w:val="en-GB"/>
        </w:rPr>
        <w:t xml:space="preserve"> </w:t>
      </w:r>
      <w:r w:rsidR="007E4651" w:rsidRPr="0036474B">
        <w:rPr>
          <w:rFonts w:ascii="Times New Roman" w:hAnsi="Times New Roman" w:cs="Times New Roman"/>
          <w:noProof/>
          <w:sz w:val="24"/>
          <w:szCs w:val="24"/>
          <w:lang w:val="en-GB"/>
        </w:rPr>
        <w:t>87</w:t>
      </w:r>
      <w:r w:rsidR="000A3647" w:rsidRPr="0036474B">
        <w:rPr>
          <w:rFonts w:ascii="Times New Roman" w:hAnsi="Times New Roman" w:cs="Times New Roman"/>
          <w:noProof/>
          <w:sz w:val="24"/>
          <w:szCs w:val="24"/>
          <w:lang w:val="en-GB"/>
        </w:rPr>
        <w:t xml:space="preserve"> billion</w:t>
      </w:r>
      <w:r w:rsidR="007E4651" w:rsidRPr="0036474B">
        <w:rPr>
          <w:rFonts w:ascii="Times New Roman" w:hAnsi="Times New Roman" w:cs="Times New Roman"/>
          <w:noProof/>
          <w:sz w:val="24"/>
          <w:szCs w:val="24"/>
          <w:lang w:val="en-GB"/>
        </w:rPr>
        <w:t xml:space="preserve"> in equity issuance, including IPO and secondary offerings in 2025)</w:t>
      </w:r>
      <w:r w:rsidR="00060566" w:rsidRPr="0036474B">
        <w:rPr>
          <w:rFonts w:ascii="Times New Roman" w:hAnsi="Times New Roman" w:cs="Times New Roman"/>
          <w:noProof/>
          <w:sz w:val="24"/>
          <w:szCs w:val="24"/>
          <w:lang w:val="en-GB"/>
        </w:rPr>
        <w:t xml:space="preserve">, bond </w:t>
      </w:r>
      <w:r w:rsidR="2C360E07" w:rsidRPr="0036474B">
        <w:rPr>
          <w:rFonts w:ascii="Times New Roman" w:hAnsi="Times New Roman" w:cs="Times New Roman"/>
          <w:noProof/>
          <w:sz w:val="24"/>
          <w:szCs w:val="24"/>
          <w:lang w:val="en-GB"/>
        </w:rPr>
        <w:t>issuance</w:t>
      </w:r>
      <w:r w:rsidR="00060566" w:rsidRPr="0036474B">
        <w:rPr>
          <w:rFonts w:ascii="Times New Roman" w:hAnsi="Times New Roman" w:cs="Times New Roman"/>
          <w:noProof/>
          <w:sz w:val="24"/>
          <w:szCs w:val="24"/>
          <w:lang w:val="en-GB"/>
        </w:rPr>
        <w:t xml:space="preserve"> (EUR</w:t>
      </w:r>
      <w:r w:rsidR="000A3647" w:rsidRPr="0036474B">
        <w:rPr>
          <w:rFonts w:ascii="Times New Roman" w:hAnsi="Times New Roman" w:cs="Times New Roman"/>
          <w:noProof/>
          <w:sz w:val="24"/>
          <w:szCs w:val="24"/>
          <w:lang w:val="en-GB"/>
        </w:rPr>
        <w:t xml:space="preserve"> 436 billion in corporate bond issuance in 2025</w:t>
      </w:r>
      <w:r w:rsidR="00006D13" w:rsidRPr="0036474B">
        <w:rPr>
          <w:rFonts w:ascii="Times New Roman" w:hAnsi="Times New Roman" w:cs="Times New Roman"/>
          <w:noProof/>
          <w:sz w:val="24"/>
          <w:szCs w:val="24"/>
          <w:lang w:val="en-GB"/>
        </w:rPr>
        <w:t xml:space="preserve"> a</w:t>
      </w:r>
      <w:r w:rsidR="00494CDD" w:rsidRPr="0036474B">
        <w:rPr>
          <w:rFonts w:ascii="Times New Roman" w:hAnsi="Times New Roman" w:cs="Times New Roman"/>
          <w:noProof/>
          <w:sz w:val="24"/>
          <w:szCs w:val="24"/>
          <w:lang w:val="en-GB"/>
        </w:rPr>
        <w:t>nd EUR</w:t>
      </w:r>
      <w:r w:rsidR="005C1C76" w:rsidRPr="0036474B">
        <w:rPr>
          <w:rFonts w:ascii="Times New Roman" w:hAnsi="Times New Roman" w:cs="Times New Roman"/>
          <w:noProof/>
          <w:sz w:val="24"/>
          <w:szCs w:val="24"/>
          <w:lang w:val="en-GB"/>
        </w:rPr>
        <w:t xml:space="preserve"> </w:t>
      </w:r>
      <w:r w:rsidR="00494CDD" w:rsidRPr="0036474B">
        <w:rPr>
          <w:rFonts w:ascii="Times New Roman" w:hAnsi="Times New Roman" w:cs="Times New Roman"/>
          <w:noProof/>
          <w:sz w:val="24"/>
          <w:szCs w:val="24"/>
          <w:lang w:val="en-GB"/>
        </w:rPr>
        <w:t>3.2</w:t>
      </w:r>
      <w:r w:rsidR="00755CF7" w:rsidRPr="0036474B">
        <w:rPr>
          <w:rFonts w:ascii="Times New Roman" w:hAnsi="Times New Roman" w:cs="Times New Roman"/>
          <w:noProof/>
          <w:sz w:val="24"/>
          <w:szCs w:val="24"/>
          <w:lang w:val="en-GB"/>
        </w:rPr>
        <w:t xml:space="preserve"> trillion </w:t>
      </w:r>
      <w:r w:rsidR="008251CF" w:rsidRPr="0036474B">
        <w:rPr>
          <w:rFonts w:ascii="Times New Roman" w:hAnsi="Times New Roman" w:cs="Times New Roman"/>
          <w:noProof/>
          <w:sz w:val="24"/>
          <w:szCs w:val="24"/>
          <w:lang w:val="en-GB"/>
        </w:rPr>
        <w:t>in new sovereign debt issuance in 2025</w:t>
      </w:r>
      <w:r w:rsidR="000A3647" w:rsidRPr="0036474B">
        <w:rPr>
          <w:rFonts w:ascii="Times New Roman" w:hAnsi="Times New Roman" w:cs="Times New Roman"/>
          <w:noProof/>
          <w:sz w:val="24"/>
          <w:szCs w:val="24"/>
          <w:lang w:val="en-GB"/>
        </w:rPr>
        <w:t>)</w:t>
      </w:r>
      <w:r w:rsidR="004D6450" w:rsidRPr="0036474B">
        <w:rPr>
          <w:rFonts w:ascii="Times New Roman" w:hAnsi="Times New Roman" w:cs="Times New Roman"/>
          <w:noProof/>
          <w:sz w:val="24"/>
          <w:szCs w:val="24"/>
          <w:lang w:val="en-GB"/>
        </w:rPr>
        <w:t xml:space="preserve">, and in </w:t>
      </w:r>
      <w:r w:rsidR="00C7647D" w:rsidRPr="0036474B">
        <w:rPr>
          <w:rFonts w:ascii="Times New Roman" w:hAnsi="Times New Roman" w:cs="Times New Roman"/>
          <w:noProof/>
          <w:sz w:val="24"/>
          <w:szCs w:val="24"/>
          <w:lang w:val="en-GB"/>
        </w:rPr>
        <w:t xml:space="preserve">mergers and acquisitions (EUR 348 billion in deal value in 2025). </w:t>
      </w:r>
      <w:r w:rsidR="00C87FAA" w:rsidRPr="0036474B">
        <w:rPr>
          <w:rFonts w:ascii="Times New Roman" w:hAnsi="Times New Roman" w:cs="Times New Roman"/>
          <w:noProof/>
          <w:sz w:val="24"/>
          <w:szCs w:val="24"/>
          <w:lang w:val="en-GB"/>
        </w:rPr>
        <w:t>There are signs of increasing competition on several areas of the market from non-bank financial institutions</w:t>
      </w:r>
      <w:r w:rsidR="00A2115D" w:rsidRPr="0036474B">
        <w:rPr>
          <w:rFonts w:ascii="Times New Roman" w:hAnsi="Times New Roman" w:cs="Times New Roman"/>
          <w:noProof/>
          <w:sz w:val="24"/>
          <w:szCs w:val="24"/>
          <w:lang w:val="en-GB"/>
        </w:rPr>
        <w:t xml:space="preserve">: however, comprehensive data </w:t>
      </w:r>
      <w:r w:rsidR="00F12BAF" w:rsidRPr="0036474B">
        <w:rPr>
          <w:rFonts w:ascii="Times New Roman" w:hAnsi="Times New Roman" w:cs="Times New Roman"/>
          <w:noProof/>
          <w:sz w:val="24"/>
          <w:szCs w:val="24"/>
          <w:lang w:val="en-GB"/>
        </w:rPr>
        <w:t xml:space="preserve">and research </w:t>
      </w:r>
      <w:r w:rsidR="00A2115D" w:rsidRPr="0036474B">
        <w:rPr>
          <w:rFonts w:ascii="Times New Roman" w:hAnsi="Times New Roman" w:cs="Times New Roman"/>
          <w:noProof/>
          <w:sz w:val="24"/>
          <w:szCs w:val="24"/>
          <w:lang w:val="en-GB"/>
        </w:rPr>
        <w:t xml:space="preserve">on these aspects </w:t>
      </w:r>
      <w:r w:rsidR="00F12BAF" w:rsidRPr="0036474B">
        <w:rPr>
          <w:rFonts w:ascii="Times New Roman" w:hAnsi="Times New Roman" w:cs="Times New Roman"/>
          <w:noProof/>
          <w:sz w:val="24"/>
          <w:szCs w:val="24"/>
          <w:lang w:val="en-GB"/>
        </w:rPr>
        <w:t>is not readily available</w:t>
      </w:r>
      <w:r w:rsidR="00C87FAA" w:rsidRPr="0036474B">
        <w:rPr>
          <w:rFonts w:ascii="Times New Roman" w:hAnsi="Times New Roman" w:cs="Times New Roman"/>
          <w:noProof/>
          <w:sz w:val="24"/>
          <w:szCs w:val="24"/>
          <w:lang w:val="en-GB"/>
        </w:rPr>
        <w:t>.</w:t>
      </w:r>
    </w:p>
    <w:p w14:paraId="507E8268" w14:textId="1EEE09B7" w:rsidR="00DF0FE1" w:rsidRPr="0036474B" w:rsidRDefault="00DF0FE1" w:rsidP="003C30E7">
      <w:pPr>
        <w:jc w:val="both"/>
        <w:rPr>
          <w:rFonts w:ascii="Times New Roman" w:hAnsi="Times New Roman" w:cs="Times New Roman"/>
          <w:noProof/>
          <w:sz w:val="24"/>
          <w:szCs w:val="24"/>
          <w:lang w:val="en-GB"/>
        </w:rPr>
      </w:pPr>
      <w:r w:rsidRPr="0036474B">
        <w:rPr>
          <w:rFonts w:ascii="Times New Roman" w:hAnsi="Times New Roman" w:cs="Times New Roman"/>
          <w:b/>
          <w:noProof/>
          <w:sz w:val="24"/>
          <w:szCs w:val="24"/>
          <w:lang w:val="en-GB"/>
        </w:rPr>
        <w:t>As market makers</w:t>
      </w:r>
      <w:r w:rsidR="00482FDE" w:rsidRPr="0036474B">
        <w:rPr>
          <w:rFonts w:ascii="Times New Roman" w:hAnsi="Times New Roman" w:cs="Times New Roman"/>
          <w:b/>
          <w:noProof/>
          <w:sz w:val="24"/>
          <w:szCs w:val="24"/>
          <w:lang w:val="en-GB"/>
        </w:rPr>
        <w:t xml:space="preserve">, banks are </w:t>
      </w:r>
      <w:r w:rsidR="007C541C" w:rsidRPr="0036474B">
        <w:rPr>
          <w:rFonts w:ascii="Times New Roman" w:hAnsi="Times New Roman" w:cs="Times New Roman"/>
          <w:b/>
          <w:noProof/>
          <w:sz w:val="24"/>
          <w:szCs w:val="24"/>
          <w:lang w:val="en-GB"/>
        </w:rPr>
        <w:t>indispensable</w:t>
      </w:r>
      <w:r w:rsidR="00F57A1F" w:rsidRPr="0036474B">
        <w:rPr>
          <w:rFonts w:ascii="Times New Roman" w:hAnsi="Times New Roman" w:cs="Times New Roman"/>
          <w:b/>
          <w:noProof/>
          <w:sz w:val="24"/>
          <w:szCs w:val="24"/>
          <w:lang w:val="en-GB"/>
        </w:rPr>
        <w:t>,</w:t>
      </w:r>
      <w:r w:rsidR="00482FDE" w:rsidRPr="0036474B">
        <w:rPr>
          <w:rFonts w:ascii="Times New Roman" w:hAnsi="Times New Roman" w:cs="Times New Roman"/>
          <w:b/>
          <w:noProof/>
          <w:sz w:val="24"/>
          <w:szCs w:val="24"/>
          <w:lang w:val="en-GB"/>
        </w:rPr>
        <w:t xml:space="preserve"> </w:t>
      </w:r>
      <w:r w:rsidR="00F57A1F" w:rsidRPr="0036474B">
        <w:rPr>
          <w:rFonts w:ascii="Times New Roman" w:hAnsi="Times New Roman" w:cs="Times New Roman"/>
          <w:b/>
          <w:noProof/>
          <w:sz w:val="24"/>
          <w:szCs w:val="24"/>
          <w:lang w:val="en-GB"/>
        </w:rPr>
        <w:t>ensuring</w:t>
      </w:r>
      <w:r w:rsidR="00482FDE" w:rsidRPr="0036474B">
        <w:rPr>
          <w:rFonts w:ascii="Times New Roman" w:hAnsi="Times New Roman" w:cs="Times New Roman"/>
          <w:b/>
          <w:noProof/>
          <w:sz w:val="24"/>
          <w:szCs w:val="24"/>
          <w:lang w:val="en-GB"/>
        </w:rPr>
        <w:t xml:space="preserve"> liquidity, price discovery and risk management across a range of financial </w:t>
      </w:r>
      <w:r w:rsidR="00F57A1F" w:rsidRPr="0036474B">
        <w:rPr>
          <w:rFonts w:ascii="Times New Roman" w:hAnsi="Times New Roman" w:cs="Times New Roman"/>
          <w:b/>
          <w:noProof/>
          <w:sz w:val="24"/>
          <w:szCs w:val="24"/>
          <w:lang w:val="en-GB"/>
        </w:rPr>
        <w:t>instruments</w:t>
      </w:r>
      <w:r w:rsidR="00334924" w:rsidRPr="0036474B">
        <w:rPr>
          <w:rFonts w:ascii="Times New Roman" w:hAnsi="Times New Roman" w:cs="Times New Roman"/>
          <w:noProof/>
          <w:sz w:val="24"/>
          <w:szCs w:val="24"/>
          <w:lang w:val="en-GB"/>
        </w:rPr>
        <w:t xml:space="preserve">. </w:t>
      </w:r>
      <w:r w:rsidR="00003FFB" w:rsidRPr="0036474B">
        <w:rPr>
          <w:rFonts w:ascii="Times New Roman" w:hAnsi="Times New Roman" w:cs="Times New Roman"/>
          <w:noProof/>
          <w:sz w:val="24"/>
          <w:szCs w:val="24"/>
          <w:lang w:val="en-GB"/>
        </w:rPr>
        <w:t xml:space="preserve">The EU </w:t>
      </w:r>
      <w:r w:rsidR="00F57A1F" w:rsidRPr="0036474B">
        <w:rPr>
          <w:rFonts w:ascii="Times New Roman" w:hAnsi="Times New Roman" w:cs="Times New Roman"/>
          <w:noProof/>
          <w:sz w:val="24"/>
          <w:szCs w:val="24"/>
          <w:lang w:val="en-GB"/>
        </w:rPr>
        <w:t>relies</w:t>
      </w:r>
      <w:r w:rsidR="00003FFB" w:rsidRPr="0036474B">
        <w:rPr>
          <w:rFonts w:ascii="Times New Roman" w:hAnsi="Times New Roman" w:cs="Times New Roman"/>
          <w:noProof/>
          <w:sz w:val="24"/>
          <w:szCs w:val="24"/>
          <w:lang w:val="en-GB"/>
        </w:rPr>
        <w:t xml:space="preserve"> structurally </w:t>
      </w:r>
      <w:r w:rsidR="00A20954" w:rsidRPr="0036474B">
        <w:rPr>
          <w:rFonts w:ascii="Times New Roman" w:hAnsi="Times New Roman" w:cs="Times New Roman"/>
          <w:noProof/>
          <w:sz w:val="24"/>
          <w:szCs w:val="24"/>
          <w:lang w:val="en-GB"/>
        </w:rPr>
        <w:t xml:space="preserve">more </w:t>
      </w:r>
      <w:r w:rsidR="00760415" w:rsidRPr="0036474B">
        <w:rPr>
          <w:rFonts w:ascii="Times New Roman" w:hAnsi="Times New Roman" w:cs="Times New Roman"/>
          <w:noProof/>
          <w:sz w:val="24"/>
          <w:szCs w:val="24"/>
          <w:lang w:val="en-GB"/>
        </w:rPr>
        <w:t>on its banking sector</w:t>
      </w:r>
      <w:r w:rsidR="00A20954" w:rsidRPr="0036474B">
        <w:rPr>
          <w:rFonts w:ascii="Times New Roman" w:hAnsi="Times New Roman" w:cs="Times New Roman"/>
          <w:noProof/>
          <w:sz w:val="24"/>
          <w:szCs w:val="24"/>
          <w:lang w:val="en-GB"/>
        </w:rPr>
        <w:t xml:space="preserve"> </w:t>
      </w:r>
      <w:r w:rsidR="007434CA" w:rsidRPr="0036474B">
        <w:rPr>
          <w:rFonts w:ascii="Times New Roman" w:hAnsi="Times New Roman" w:cs="Times New Roman"/>
          <w:noProof/>
          <w:sz w:val="24"/>
          <w:szCs w:val="24"/>
          <w:lang w:val="en-GB"/>
        </w:rPr>
        <w:t>for market making</w:t>
      </w:r>
      <w:r w:rsidR="00A03C00" w:rsidRPr="0036474B">
        <w:rPr>
          <w:rFonts w:ascii="Times New Roman" w:hAnsi="Times New Roman" w:cs="Times New Roman"/>
          <w:noProof/>
          <w:sz w:val="24"/>
          <w:szCs w:val="24"/>
          <w:lang w:val="en-GB"/>
        </w:rPr>
        <w:t xml:space="preserve"> </w:t>
      </w:r>
      <w:r w:rsidR="00BD509E" w:rsidRPr="0036474B">
        <w:rPr>
          <w:rFonts w:ascii="Times New Roman" w:hAnsi="Times New Roman" w:cs="Times New Roman"/>
          <w:noProof/>
          <w:sz w:val="24"/>
          <w:szCs w:val="24"/>
          <w:lang w:val="en-GB"/>
        </w:rPr>
        <w:t>compared to</w:t>
      </w:r>
      <w:r w:rsidR="00A03C00" w:rsidRPr="0036474B">
        <w:rPr>
          <w:rFonts w:ascii="Times New Roman" w:hAnsi="Times New Roman" w:cs="Times New Roman"/>
          <w:noProof/>
          <w:sz w:val="24"/>
          <w:szCs w:val="24"/>
          <w:lang w:val="en-GB"/>
        </w:rPr>
        <w:t xml:space="preserve"> the US</w:t>
      </w:r>
      <w:r w:rsidR="00E71783" w:rsidRPr="0036474B">
        <w:rPr>
          <w:rFonts w:ascii="Times New Roman" w:hAnsi="Times New Roman" w:cs="Times New Roman"/>
          <w:noProof/>
          <w:sz w:val="24"/>
          <w:szCs w:val="24"/>
          <w:lang w:val="en-GB"/>
        </w:rPr>
        <w:t xml:space="preserve">, </w:t>
      </w:r>
      <w:r w:rsidR="00BD509E" w:rsidRPr="0036474B">
        <w:rPr>
          <w:rFonts w:ascii="Times New Roman" w:hAnsi="Times New Roman" w:cs="Times New Roman"/>
          <w:noProof/>
          <w:sz w:val="24"/>
          <w:szCs w:val="24"/>
          <w:lang w:val="en-GB"/>
        </w:rPr>
        <w:t>rendering the operational</w:t>
      </w:r>
      <w:r w:rsidR="00E71783" w:rsidRPr="0036474B">
        <w:rPr>
          <w:rFonts w:ascii="Times New Roman" w:hAnsi="Times New Roman" w:cs="Times New Roman"/>
          <w:noProof/>
          <w:sz w:val="24"/>
          <w:szCs w:val="24"/>
          <w:lang w:val="en-GB"/>
        </w:rPr>
        <w:t xml:space="preserve"> capacity of EU banks’ trading</w:t>
      </w:r>
      <w:r w:rsidR="00BA749B" w:rsidRPr="0036474B">
        <w:rPr>
          <w:rFonts w:ascii="Times New Roman" w:hAnsi="Times New Roman" w:cs="Times New Roman"/>
          <w:noProof/>
          <w:sz w:val="24"/>
          <w:szCs w:val="24"/>
          <w:lang w:val="en-GB"/>
        </w:rPr>
        <w:t xml:space="preserve"> desks systemically important. </w:t>
      </w:r>
    </w:p>
    <w:p w14:paraId="0A8D6BE3" w14:textId="4EBAF4A7" w:rsidR="00C8601F" w:rsidRPr="0036474B" w:rsidRDefault="007A17CD" w:rsidP="003C30E7">
      <w:pPr>
        <w:jc w:val="both"/>
        <w:rPr>
          <w:rFonts w:ascii="Times New Roman" w:hAnsi="Times New Roman" w:cs="Times New Roman"/>
          <w:noProof/>
          <w:sz w:val="24"/>
          <w:szCs w:val="24"/>
          <w:lang w:val="en-GB"/>
        </w:rPr>
      </w:pPr>
      <w:r w:rsidRPr="0036474B">
        <w:rPr>
          <w:rFonts w:ascii="Times New Roman" w:hAnsi="Times New Roman" w:cs="Times New Roman"/>
          <w:b/>
          <w:noProof/>
          <w:sz w:val="24"/>
          <w:szCs w:val="24"/>
          <w:lang w:val="en-GB"/>
        </w:rPr>
        <w:t>As post-trade service providers</w:t>
      </w:r>
      <w:r w:rsidR="007732F9" w:rsidRPr="0036474B">
        <w:rPr>
          <w:rFonts w:ascii="Times New Roman" w:hAnsi="Times New Roman" w:cs="Times New Roman"/>
          <w:b/>
          <w:noProof/>
          <w:sz w:val="24"/>
          <w:szCs w:val="24"/>
          <w:lang w:val="en-GB"/>
        </w:rPr>
        <w:t>, ban</w:t>
      </w:r>
      <w:r w:rsidR="00F24556" w:rsidRPr="0036474B">
        <w:rPr>
          <w:rFonts w:ascii="Times New Roman" w:hAnsi="Times New Roman" w:cs="Times New Roman"/>
          <w:b/>
          <w:noProof/>
          <w:sz w:val="24"/>
          <w:szCs w:val="24"/>
          <w:lang w:val="en-GB"/>
        </w:rPr>
        <w:t>ks operate c</w:t>
      </w:r>
      <w:r w:rsidR="00995F28" w:rsidRPr="0036474B">
        <w:rPr>
          <w:rFonts w:ascii="Times New Roman" w:hAnsi="Times New Roman" w:cs="Times New Roman"/>
          <w:b/>
          <w:noProof/>
          <w:sz w:val="24"/>
          <w:szCs w:val="24"/>
          <w:lang w:val="en-GB"/>
        </w:rPr>
        <w:t>rucial servic</w:t>
      </w:r>
      <w:r w:rsidR="00404389" w:rsidRPr="0036474B">
        <w:rPr>
          <w:rFonts w:ascii="Times New Roman" w:hAnsi="Times New Roman" w:cs="Times New Roman"/>
          <w:b/>
          <w:noProof/>
          <w:sz w:val="24"/>
          <w:szCs w:val="24"/>
          <w:lang w:val="en-GB"/>
        </w:rPr>
        <w:t>es subsequent to the execution of trades</w:t>
      </w:r>
      <w:r w:rsidR="006E427C" w:rsidRPr="0036474B">
        <w:rPr>
          <w:rFonts w:ascii="Times New Roman" w:hAnsi="Times New Roman" w:cs="Times New Roman"/>
          <w:b/>
          <w:noProof/>
          <w:sz w:val="24"/>
          <w:szCs w:val="24"/>
          <w:lang w:val="en-GB"/>
        </w:rPr>
        <w:t>, facilitating capital movement</w:t>
      </w:r>
      <w:r w:rsidR="006E427C" w:rsidRPr="0036474B">
        <w:rPr>
          <w:rFonts w:ascii="Times New Roman" w:hAnsi="Times New Roman" w:cs="Times New Roman"/>
          <w:noProof/>
          <w:sz w:val="24"/>
          <w:szCs w:val="24"/>
          <w:lang w:val="en-GB"/>
        </w:rPr>
        <w:t xml:space="preserve">. </w:t>
      </w:r>
      <w:r w:rsidR="007D52C3" w:rsidRPr="0036474B">
        <w:rPr>
          <w:rFonts w:ascii="Times New Roman" w:hAnsi="Times New Roman" w:cs="Times New Roman"/>
          <w:noProof/>
          <w:sz w:val="24"/>
          <w:szCs w:val="24"/>
          <w:lang w:val="en-GB"/>
        </w:rPr>
        <w:t>Acting</w:t>
      </w:r>
      <w:r w:rsidR="00946EA1" w:rsidRPr="0036474B">
        <w:rPr>
          <w:rFonts w:ascii="Times New Roman" w:hAnsi="Times New Roman" w:cs="Times New Roman"/>
          <w:noProof/>
          <w:sz w:val="24"/>
          <w:szCs w:val="24"/>
          <w:lang w:val="en-GB"/>
        </w:rPr>
        <w:t xml:space="preserve"> as settlement agents, clearing members, custodians</w:t>
      </w:r>
      <w:r w:rsidR="00F770EF" w:rsidRPr="0036474B">
        <w:rPr>
          <w:rFonts w:ascii="Times New Roman" w:hAnsi="Times New Roman" w:cs="Times New Roman"/>
          <w:noProof/>
          <w:sz w:val="24"/>
          <w:szCs w:val="24"/>
          <w:lang w:val="en-GB"/>
        </w:rPr>
        <w:t xml:space="preserve"> and collateral managers</w:t>
      </w:r>
      <w:r w:rsidR="00A36311" w:rsidRPr="0036474B">
        <w:rPr>
          <w:rFonts w:ascii="Times New Roman" w:hAnsi="Times New Roman" w:cs="Times New Roman"/>
          <w:noProof/>
          <w:sz w:val="24"/>
          <w:szCs w:val="24"/>
          <w:lang w:val="en-GB"/>
        </w:rPr>
        <w:t xml:space="preserve">, banks facilitate the </w:t>
      </w:r>
      <w:r w:rsidR="007D52C3" w:rsidRPr="0036474B">
        <w:rPr>
          <w:rFonts w:ascii="Times New Roman" w:hAnsi="Times New Roman" w:cs="Times New Roman"/>
          <w:noProof/>
          <w:sz w:val="24"/>
          <w:szCs w:val="24"/>
          <w:lang w:val="en-GB"/>
        </w:rPr>
        <w:t xml:space="preserve">seamless </w:t>
      </w:r>
      <w:r w:rsidR="00A36311" w:rsidRPr="0036474B">
        <w:rPr>
          <w:rFonts w:ascii="Times New Roman" w:hAnsi="Times New Roman" w:cs="Times New Roman"/>
          <w:noProof/>
          <w:sz w:val="24"/>
          <w:szCs w:val="24"/>
          <w:lang w:val="en-GB"/>
        </w:rPr>
        <w:t>transfer of assets</w:t>
      </w:r>
      <w:r w:rsidR="008226A8" w:rsidRPr="0036474B">
        <w:rPr>
          <w:rFonts w:ascii="Times New Roman" w:hAnsi="Times New Roman" w:cs="Times New Roman"/>
          <w:noProof/>
          <w:sz w:val="24"/>
          <w:szCs w:val="24"/>
          <w:lang w:val="en-GB"/>
        </w:rPr>
        <w:t xml:space="preserve"> </w:t>
      </w:r>
      <w:r w:rsidR="002F77CB" w:rsidRPr="0036474B">
        <w:rPr>
          <w:rFonts w:ascii="Times New Roman" w:hAnsi="Times New Roman" w:cs="Times New Roman"/>
          <w:noProof/>
          <w:sz w:val="24"/>
          <w:szCs w:val="24"/>
          <w:lang w:val="en-GB"/>
        </w:rPr>
        <w:t>for EU counterparties</w:t>
      </w:r>
      <w:r w:rsidR="00A508B7" w:rsidRPr="0036474B">
        <w:rPr>
          <w:rFonts w:ascii="Times New Roman" w:hAnsi="Times New Roman" w:cs="Times New Roman"/>
          <w:noProof/>
          <w:sz w:val="24"/>
          <w:szCs w:val="24"/>
          <w:lang w:val="en-GB"/>
        </w:rPr>
        <w:t xml:space="preserve">. </w:t>
      </w:r>
    </w:p>
    <w:p w14:paraId="2BFBF177" w14:textId="485625FC" w:rsidR="00A6368C" w:rsidRPr="0036474B" w:rsidRDefault="00A6368C" w:rsidP="00A6368C">
      <w:pPr>
        <w:rPr>
          <w:rFonts w:ascii="Times New Roman" w:hAnsi="Times New Roman" w:cs="Times New Roman"/>
          <w:noProof/>
          <w:sz w:val="24"/>
          <w:szCs w:val="24"/>
          <w:lang w:val="en-GB"/>
        </w:rPr>
      </w:pPr>
    </w:p>
    <w:p w14:paraId="7A1B288E" w14:textId="334BA423" w:rsidR="009B060D" w:rsidRPr="00064CC0" w:rsidRDefault="00BE7FE2" w:rsidP="00147DA4">
      <w:pPr>
        <w:pStyle w:val="ListParagraph"/>
        <w:numPr>
          <w:ilvl w:val="1"/>
          <w:numId w:val="11"/>
        </w:numPr>
        <w:outlineLvl w:val="1"/>
        <w:rPr>
          <w:rFonts w:ascii="Times New Roman" w:hAnsi="Times New Roman" w:cs="Times New Roman"/>
          <w:b/>
          <w:bCs/>
          <w:noProof/>
          <w:sz w:val="24"/>
          <w:szCs w:val="24"/>
          <w:lang w:val="en-GB"/>
        </w:rPr>
      </w:pPr>
      <w:bookmarkStart w:id="18" w:name="_Toc337432316"/>
      <w:bookmarkStart w:id="19" w:name="_Toc234341726"/>
      <w:r w:rsidRPr="00064CC0">
        <w:rPr>
          <w:rFonts w:ascii="Times New Roman" w:hAnsi="Times New Roman" w:cs="Times New Roman"/>
          <w:b/>
          <w:bCs/>
          <w:noProof/>
          <w:sz w:val="24"/>
          <w:szCs w:val="24"/>
          <w:lang w:val="en-GB"/>
        </w:rPr>
        <w:t>Resilience, profitability and market valuations</w:t>
      </w:r>
      <w:bookmarkEnd w:id="18"/>
      <w:bookmarkEnd w:id="19"/>
    </w:p>
    <w:p w14:paraId="2CEFD7AF" w14:textId="11A66AAB" w:rsidR="00AA7F95" w:rsidRPr="0036474B" w:rsidRDefault="00AA7F95" w:rsidP="00AA7F95">
      <w:pPr>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rPr>
        <w:t xml:space="preserve">The analysis of </w:t>
      </w:r>
      <w:r w:rsidR="00FC508C" w:rsidRPr="0036474B">
        <w:rPr>
          <w:rFonts w:ascii="Times New Roman" w:hAnsi="Times New Roman" w:cs="Times New Roman"/>
          <w:noProof/>
          <w:sz w:val="24"/>
          <w:szCs w:val="24"/>
          <w:lang w:val="en-GB"/>
        </w:rPr>
        <w:t xml:space="preserve">the </w:t>
      </w:r>
      <w:r w:rsidRPr="0036474B">
        <w:rPr>
          <w:rFonts w:ascii="Times New Roman" w:hAnsi="Times New Roman" w:cs="Times New Roman"/>
          <w:noProof/>
          <w:sz w:val="24"/>
          <w:szCs w:val="24"/>
          <w:lang w:val="en-GB"/>
        </w:rPr>
        <w:t>banking sector</w:t>
      </w:r>
      <w:r w:rsidR="00FC508C" w:rsidRPr="0036474B">
        <w:rPr>
          <w:rFonts w:ascii="Times New Roman" w:hAnsi="Times New Roman" w:cs="Times New Roman"/>
          <w:noProof/>
          <w:sz w:val="24"/>
          <w:szCs w:val="24"/>
        </w:rPr>
        <w:t>’s</w:t>
      </w:r>
      <w:r w:rsidRPr="0036474B">
        <w:rPr>
          <w:rFonts w:ascii="Times New Roman" w:hAnsi="Times New Roman" w:cs="Times New Roman"/>
          <w:noProof/>
          <w:sz w:val="24"/>
          <w:szCs w:val="24"/>
          <w:lang w:val="en-GB"/>
        </w:rPr>
        <w:t xml:space="preserve"> competitiveness must </w:t>
      </w:r>
      <w:r w:rsidR="00401D50" w:rsidRPr="0036474B">
        <w:rPr>
          <w:rFonts w:ascii="Times New Roman" w:hAnsi="Times New Roman" w:cs="Times New Roman"/>
          <w:noProof/>
          <w:sz w:val="24"/>
          <w:szCs w:val="24"/>
          <w:lang w:val="en-GB"/>
        </w:rPr>
        <w:t xml:space="preserve">rely on </w:t>
      </w:r>
      <w:r w:rsidRPr="0036474B">
        <w:rPr>
          <w:rFonts w:ascii="Times New Roman" w:hAnsi="Times New Roman" w:cs="Times New Roman"/>
          <w:noProof/>
          <w:sz w:val="24"/>
          <w:szCs w:val="24"/>
          <w:lang w:val="en-GB"/>
        </w:rPr>
        <w:t>its overall resilience</w:t>
      </w:r>
      <w:r w:rsidR="00401D50" w:rsidRPr="0036474B">
        <w:rPr>
          <w:rFonts w:ascii="Times New Roman" w:hAnsi="Times New Roman" w:cs="Times New Roman"/>
          <w:noProof/>
          <w:sz w:val="24"/>
          <w:szCs w:val="24"/>
          <w:lang w:val="en-GB"/>
        </w:rPr>
        <w:t xml:space="preserve"> and sustainability</w:t>
      </w:r>
      <w:r w:rsidR="00FC508C" w:rsidRPr="0036474B">
        <w:rPr>
          <w:rFonts w:ascii="Times New Roman" w:hAnsi="Times New Roman" w:cs="Times New Roman"/>
          <w:noProof/>
          <w:sz w:val="24"/>
          <w:szCs w:val="24"/>
          <w:lang w:val="en-GB"/>
        </w:rPr>
        <w:t xml:space="preserve"> in generating profits</w:t>
      </w:r>
      <w:r w:rsidRPr="0036474B">
        <w:rPr>
          <w:rFonts w:ascii="Times New Roman" w:hAnsi="Times New Roman" w:cs="Times New Roman"/>
          <w:noProof/>
          <w:sz w:val="24"/>
          <w:szCs w:val="24"/>
          <w:lang w:val="en-GB"/>
        </w:rPr>
        <w:t>. Only banks that are stable and sound can be competitive and can</w:t>
      </w:r>
      <w:r w:rsidR="00104F35" w:rsidRPr="00064CC0">
        <w:rPr>
          <w:rFonts w:ascii="Times New Roman" w:hAnsi="Times New Roman" w:cs="Times New Roman"/>
          <w:noProof/>
          <w:sz w:val="24"/>
          <w:szCs w:val="24"/>
        </w:rPr>
        <w:t>—</w:t>
      </w:r>
      <w:r w:rsidRPr="0036474B">
        <w:rPr>
          <w:rFonts w:ascii="Times New Roman" w:hAnsi="Times New Roman" w:cs="Times New Roman"/>
          <w:noProof/>
          <w:sz w:val="24"/>
          <w:szCs w:val="24"/>
          <w:lang w:val="en-GB"/>
        </w:rPr>
        <w:t>in turn</w:t>
      </w:r>
      <w:r w:rsidR="00104F35" w:rsidRPr="00064CC0">
        <w:rPr>
          <w:rFonts w:ascii="Times New Roman" w:hAnsi="Times New Roman" w:cs="Times New Roman"/>
          <w:noProof/>
          <w:sz w:val="24"/>
          <w:szCs w:val="24"/>
        </w:rPr>
        <w:t>—</w:t>
      </w:r>
      <w:r w:rsidRPr="0036474B">
        <w:rPr>
          <w:rFonts w:ascii="Times New Roman" w:hAnsi="Times New Roman" w:cs="Times New Roman"/>
          <w:noProof/>
          <w:sz w:val="24"/>
          <w:szCs w:val="24"/>
          <w:lang w:val="en-GB"/>
        </w:rPr>
        <w:t>contribute to the competitiveness of the broader economy. The profitability and competitiveness of a bank is key to ensure its long-term viability and stability, as profits are the first source of capital for banks.</w:t>
      </w:r>
    </w:p>
    <w:p w14:paraId="08322520" w14:textId="7ADFBDB2" w:rsidR="00AA7F95" w:rsidRPr="0036474B" w:rsidRDefault="1CB60B2A" w:rsidP="00AA7F95">
      <w:pPr>
        <w:jc w:val="both"/>
        <w:rPr>
          <w:rFonts w:ascii="Times New Roman" w:hAnsi="Times New Roman" w:cs="Times New Roman"/>
          <w:noProof/>
          <w:color w:val="000000" w:themeColor="text1"/>
          <w:sz w:val="24"/>
          <w:szCs w:val="24"/>
          <w:lang w:val="en-GB"/>
        </w:rPr>
      </w:pPr>
      <w:r w:rsidRPr="0036474B">
        <w:rPr>
          <w:rFonts w:ascii="Times New Roman" w:hAnsi="Times New Roman" w:cs="Times New Roman"/>
          <w:b/>
          <w:bCs/>
          <w:noProof/>
          <w:color w:val="000000" w:themeColor="text1"/>
          <w:sz w:val="24"/>
          <w:szCs w:val="24"/>
          <w:lang w:val="en-GB"/>
        </w:rPr>
        <w:t>The EU banking sector is resilient, as shown by a series of indicators and as evidenced by the latest EU wide stress tests</w:t>
      </w:r>
      <w:r w:rsidR="001C47DC" w:rsidRPr="0036474B">
        <w:rPr>
          <w:rStyle w:val="FootnoteReference"/>
          <w:rFonts w:ascii="Times New Roman" w:hAnsi="Times New Roman" w:cs="Times New Roman"/>
          <w:b/>
          <w:bCs/>
          <w:noProof/>
          <w:color w:val="000000" w:themeColor="text1"/>
          <w:sz w:val="24"/>
          <w:szCs w:val="24"/>
          <w:lang w:val="en-GB"/>
        </w:rPr>
        <w:footnoteReference w:id="23"/>
      </w:r>
      <w:r w:rsidRPr="0036474B">
        <w:rPr>
          <w:rFonts w:ascii="Times New Roman" w:hAnsi="Times New Roman" w:cs="Times New Roman"/>
          <w:noProof/>
          <w:color w:val="000000" w:themeColor="text1"/>
          <w:sz w:val="24"/>
          <w:szCs w:val="24"/>
          <w:lang w:val="en-GB"/>
        </w:rPr>
        <w:t>. Liquidity ratios are overall stable and satisfactorily above minimum requirements</w:t>
      </w:r>
      <w:r w:rsidR="620629D1" w:rsidRPr="0036474B">
        <w:rPr>
          <w:rFonts w:ascii="Times New Roman" w:hAnsi="Times New Roman" w:cs="Times New Roman"/>
          <w:noProof/>
          <w:color w:val="000000" w:themeColor="text1"/>
          <w:sz w:val="24"/>
          <w:szCs w:val="24"/>
          <w:lang w:val="en-GB"/>
        </w:rPr>
        <w:t xml:space="preserve">, </w:t>
      </w:r>
      <w:r w:rsidRPr="0036474B">
        <w:rPr>
          <w:rFonts w:ascii="Times New Roman" w:hAnsi="Times New Roman" w:cs="Times New Roman"/>
          <w:noProof/>
          <w:color w:val="000000" w:themeColor="text1"/>
          <w:sz w:val="24"/>
          <w:szCs w:val="24"/>
          <w:lang w:val="en-GB"/>
        </w:rPr>
        <w:t xml:space="preserve">with LCR and NSFR standing at </w:t>
      </w:r>
      <w:r w:rsidR="227F6F8A" w:rsidRPr="0036474B">
        <w:rPr>
          <w:rFonts w:ascii="Times New Roman" w:hAnsi="Times New Roman" w:cs="Times New Roman"/>
          <w:noProof/>
          <w:color w:val="000000" w:themeColor="text1"/>
          <w:sz w:val="24"/>
          <w:szCs w:val="24"/>
          <w:lang w:val="en-GB"/>
        </w:rPr>
        <w:t>163</w:t>
      </w:r>
      <w:r w:rsidRPr="0036474B">
        <w:rPr>
          <w:rFonts w:ascii="Times New Roman" w:hAnsi="Times New Roman" w:cs="Times New Roman"/>
          <w:noProof/>
          <w:color w:val="000000" w:themeColor="text1"/>
          <w:sz w:val="24"/>
          <w:szCs w:val="24"/>
          <w:lang w:val="en-GB"/>
        </w:rPr>
        <w:t>% and 127%, respectively</w:t>
      </w:r>
      <w:r w:rsidR="513DBEA1" w:rsidRPr="0036474B">
        <w:rPr>
          <w:rFonts w:ascii="Times New Roman" w:hAnsi="Times New Roman" w:cs="Times New Roman"/>
          <w:noProof/>
          <w:color w:val="000000" w:themeColor="text1"/>
          <w:sz w:val="24"/>
          <w:szCs w:val="24"/>
          <w:lang w:val="en-GB"/>
        </w:rPr>
        <w:t>,</w:t>
      </w:r>
      <w:r w:rsidR="227F6F8A" w:rsidRPr="0036474B">
        <w:rPr>
          <w:rFonts w:ascii="Times New Roman" w:hAnsi="Times New Roman" w:cs="Times New Roman"/>
          <w:noProof/>
          <w:color w:val="000000" w:themeColor="text1"/>
          <w:sz w:val="24"/>
          <w:szCs w:val="24"/>
          <w:lang w:val="en-GB"/>
        </w:rPr>
        <w:t xml:space="preserve"> as of Q4 2025</w:t>
      </w:r>
      <w:r w:rsidR="00476BCD" w:rsidRPr="0036474B">
        <w:rPr>
          <w:rStyle w:val="FootnoteReference"/>
          <w:rFonts w:ascii="Times New Roman" w:hAnsi="Times New Roman" w:cs="Times New Roman"/>
          <w:noProof/>
          <w:color w:val="000000" w:themeColor="text1"/>
          <w:sz w:val="24"/>
          <w:szCs w:val="24"/>
          <w:lang w:val="en-GB"/>
        </w:rPr>
        <w:footnoteReference w:id="24"/>
      </w:r>
      <w:r w:rsidRPr="0036474B">
        <w:rPr>
          <w:rFonts w:ascii="Times New Roman" w:hAnsi="Times New Roman" w:cs="Times New Roman"/>
          <w:noProof/>
          <w:color w:val="000000" w:themeColor="text1"/>
          <w:sz w:val="24"/>
          <w:szCs w:val="24"/>
          <w:lang w:val="en-GB"/>
        </w:rPr>
        <w:t>. The results of the 2025 EU-wide stress test show that European banks remain resilient under an adverse scenario which combines increasing geopolitical and trade tensions, a severe EU and global recession and rising inflation – a very relevant scenario in the current geopolitical context. The CET1 ratio</w:t>
      </w:r>
      <w:r w:rsidR="32D37765" w:rsidRPr="0036474B">
        <w:rPr>
          <w:rFonts w:ascii="Times New Roman" w:hAnsi="Times New Roman" w:cs="Times New Roman"/>
          <w:noProof/>
          <w:color w:val="000000" w:themeColor="text1"/>
          <w:sz w:val="24"/>
          <w:szCs w:val="24"/>
          <w:lang w:val="en-GB"/>
        </w:rPr>
        <w:t xml:space="preserve"> of</w:t>
      </w:r>
      <w:r w:rsidR="67443383" w:rsidRPr="0036474B">
        <w:rPr>
          <w:rFonts w:ascii="Times New Roman" w:hAnsi="Times New Roman" w:cs="Times New Roman"/>
          <w:noProof/>
          <w:color w:val="000000" w:themeColor="text1"/>
          <w:sz w:val="24"/>
          <w:szCs w:val="24"/>
          <w:lang w:val="en-GB"/>
        </w:rPr>
        <w:t xml:space="preserve"> participating banks</w:t>
      </w:r>
      <w:r w:rsidRPr="0036474B">
        <w:rPr>
          <w:rFonts w:ascii="Times New Roman" w:hAnsi="Times New Roman" w:cs="Times New Roman"/>
          <w:noProof/>
          <w:color w:val="000000" w:themeColor="text1"/>
          <w:sz w:val="24"/>
          <w:szCs w:val="24"/>
          <w:lang w:val="en-GB"/>
        </w:rPr>
        <w:t xml:space="preserve"> </w:t>
      </w:r>
      <w:r w:rsidR="7F87C17A" w:rsidRPr="0036474B">
        <w:rPr>
          <w:rFonts w:ascii="Times New Roman" w:hAnsi="Times New Roman" w:cs="Times New Roman"/>
          <w:noProof/>
          <w:color w:val="000000" w:themeColor="text1"/>
          <w:sz w:val="24"/>
          <w:szCs w:val="24"/>
          <w:lang w:val="en-GB"/>
        </w:rPr>
        <w:t xml:space="preserve">stood at 15.8% on average </w:t>
      </w:r>
      <w:r w:rsidRPr="0036474B">
        <w:rPr>
          <w:rFonts w:ascii="Times New Roman" w:hAnsi="Times New Roman" w:cs="Times New Roman"/>
          <w:noProof/>
          <w:color w:val="000000" w:themeColor="text1"/>
          <w:sz w:val="24"/>
          <w:szCs w:val="24"/>
          <w:lang w:val="en-GB"/>
        </w:rPr>
        <w:t xml:space="preserve">at the beginning of the exercise, the highest starting point of all previous EBA stress test exercises. Despite the sizeable losses induced by the stress scenario, the average CET1 ratio at the end of the scenario was 12.1%. All 64 banks </w:t>
      </w:r>
      <w:r w:rsidR="02046839" w:rsidRPr="0036474B">
        <w:rPr>
          <w:rFonts w:ascii="Times New Roman" w:hAnsi="Times New Roman" w:cs="Times New Roman"/>
          <w:noProof/>
          <w:color w:val="000000" w:themeColor="text1"/>
          <w:sz w:val="24"/>
          <w:szCs w:val="24"/>
          <w:lang w:val="en-GB"/>
        </w:rPr>
        <w:t>in the stress test sample</w:t>
      </w:r>
      <w:r w:rsidRPr="0036474B">
        <w:rPr>
          <w:rFonts w:ascii="Times New Roman" w:hAnsi="Times New Roman" w:cs="Times New Roman"/>
          <w:noProof/>
          <w:color w:val="000000" w:themeColor="text1"/>
          <w:sz w:val="24"/>
          <w:szCs w:val="24"/>
          <w:lang w:val="en-GB"/>
        </w:rPr>
        <w:t xml:space="preserve"> remained above </w:t>
      </w:r>
      <w:r w:rsidR="28D6BE0B" w:rsidRPr="0036474B">
        <w:rPr>
          <w:rFonts w:ascii="Times New Roman" w:hAnsi="Times New Roman" w:cs="Times New Roman"/>
          <w:noProof/>
          <w:color w:val="000000" w:themeColor="text1"/>
          <w:sz w:val="24"/>
          <w:szCs w:val="24"/>
          <w:lang w:val="en-GB"/>
        </w:rPr>
        <w:t xml:space="preserve">minimum </w:t>
      </w:r>
      <w:r w:rsidRPr="0036474B">
        <w:rPr>
          <w:rFonts w:ascii="Times New Roman" w:hAnsi="Times New Roman" w:cs="Times New Roman"/>
          <w:noProof/>
          <w:color w:val="000000" w:themeColor="text1"/>
          <w:sz w:val="24"/>
          <w:szCs w:val="24"/>
          <w:lang w:val="en-GB"/>
        </w:rPr>
        <w:t xml:space="preserve">capital requirements except one that breached the leverage requirements, </w:t>
      </w:r>
      <w:r w:rsidR="72635F3B" w:rsidRPr="0036474B">
        <w:rPr>
          <w:rFonts w:ascii="Times New Roman" w:hAnsi="Times New Roman" w:cs="Times New Roman"/>
          <w:noProof/>
          <w:color w:val="000000" w:themeColor="text1"/>
          <w:sz w:val="24"/>
          <w:szCs w:val="24"/>
          <w:lang w:val="en-GB"/>
        </w:rPr>
        <w:t>while</w:t>
      </w:r>
      <w:r w:rsidRPr="0036474B">
        <w:rPr>
          <w:rFonts w:ascii="Times New Roman" w:hAnsi="Times New Roman" w:cs="Times New Roman"/>
          <w:noProof/>
          <w:color w:val="000000" w:themeColor="text1"/>
          <w:sz w:val="24"/>
          <w:szCs w:val="24"/>
          <w:lang w:val="en-GB"/>
        </w:rPr>
        <w:t xml:space="preserve"> 17 banks faced limits in their dividends’ distribution </w:t>
      </w:r>
      <w:r w:rsidR="72635F3B" w:rsidRPr="0036474B">
        <w:rPr>
          <w:rFonts w:ascii="Times New Roman" w:hAnsi="Times New Roman" w:cs="Times New Roman"/>
          <w:noProof/>
          <w:color w:val="000000" w:themeColor="text1"/>
          <w:sz w:val="24"/>
          <w:szCs w:val="24"/>
          <w:lang w:val="en-GB"/>
        </w:rPr>
        <w:t>– hitting</w:t>
      </w:r>
      <w:r w:rsidRPr="0036474B">
        <w:rPr>
          <w:rFonts w:ascii="Times New Roman" w:hAnsi="Times New Roman" w:cs="Times New Roman"/>
          <w:noProof/>
          <w:color w:val="000000" w:themeColor="text1"/>
          <w:sz w:val="24"/>
          <w:szCs w:val="24"/>
          <w:lang w:val="en-GB"/>
        </w:rPr>
        <w:t xml:space="preserve"> “the MDA trigger”</w:t>
      </w:r>
      <w:r w:rsidR="00AA7F95" w:rsidRPr="0036474B">
        <w:rPr>
          <w:rStyle w:val="FootnoteReference"/>
          <w:rFonts w:ascii="Times New Roman" w:hAnsi="Times New Roman" w:cs="Times New Roman"/>
          <w:noProof/>
          <w:color w:val="000000" w:themeColor="text1"/>
          <w:sz w:val="24"/>
          <w:szCs w:val="24"/>
          <w:lang w:val="en-GB"/>
        </w:rPr>
        <w:footnoteReference w:id="25"/>
      </w:r>
      <w:r w:rsidRPr="0036474B">
        <w:rPr>
          <w:rFonts w:ascii="Times New Roman" w:hAnsi="Times New Roman" w:cs="Times New Roman"/>
          <w:noProof/>
          <w:color w:val="000000" w:themeColor="text1"/>
          <w:sz w:val="24"/>
          <w:szCs w:val="24"/>
          <w:lang w:val="en-GB"/>
        </w:rPr>
        <w:t>. The results of the stress test underpinning the resilience of EU banks to the adverse stress scenario can be explained by three key factors: the solid capital position, the strong ability to generate income and profitability, and the good asset quality.</w:t>
      </w:r>
    </w:p>
    <w:p w14:paraId="20FC54D0" w14:textId="467F7C1F" w:rsidR="002849DF" w:rsidRPr="0036474B" w:rsidRDefault="0B986421" w:rsidP="002849DF">
      <w:pPr>
        <w:jc w:val="both"/>
        <w:rPr>
          <w:rFonts w:ascii="Times New Roman" w:hAnsi="Times New Roman" w:cs="Times New Roman"/>
          <w:noProof/>
          <w:sz w:val="24"/>
          <w:szCs w:val="24"/>
          <w:lang w:val="en-GB"/>
        </w:rPr>
      </w:pPr>
      <w:r w:rsidRPr="0036474B">
        <w:rPr>
          <w:rFonts w:ascii="Times New Roman" w:hAnsi="Times New Roman" w:cs="Times New Roman"/>
          <w:b/>
          <w:bCs/>
          <w:noProof/>
          <w:sz w:val="24"/>
          <w:szCs w:val="24"/>
          <w:lang w:val="en-GB"/>
        </w:rPr>
        <w:t>The banking turmoil of spring 2023 in the United States and Switzerland was a real-life stress test that proved the resilience of the EU banking sector in a moment of heightened market tensions</w:t>
      </w:r>
      <w:r w:rsidRPr="0036474B">
        <w:rPr>
          <w:rFonts w:ascii="Times New Roman" w:hAnsi="Times New Roman" w:cs="Times New Roman"/>
          <w:noProof/>
          <w:sz w:val="24"/>
          <w:szCs w:val="24"/>
          <w:lang w:val="en-GB"/>
        </w:rPr>
        <w:t xml:space="preserve">. In </w:t>
      </w:r>
      <w:r w:rsidR="005C1EAE">
        <w:rPr>
          <w:rFonts w:ascii="Times New Roman" w:hAnsi="Times New Roman" w:cs="Times New Roman"/>
          <w:noProof/>
          <w:sz w:val="24"/>
          <w:szCs w:val="24"/>
          <w:lang w:val="en-GB"/>
        </w:rPr>
        <w:t>Spring</w:t>
      </w:r>
      <w:r w:rsidR="005C1EAE" w:rsidRPr="0036474B">
        <w:rPr>
          <w:rFonts w:ascii="Times New Roman" w:hAnsi="Times New Roman" w:cs="Times New Roman"/>
          <w:noProof/>
          <w:sz w:val="24"/>
          <w:szCs w:val="24"/>
          <w:lang w:val="en-GB"/>
        </w:rPr>
        <w:t xml:space="preserve"> </w:t>
      </w:r>
      <w:r w:rsidRPr="0036474B">
        <w:rPr>
          <w:rFonts w:ascii="Times New Roman" w:hAnsi="Times New Roman" w:cs="Times New Roman"/>
          <w:noProof/>
          <w:sz w:val="24"/>
          <w:szCs w:val="24"/>
          <w:lang w:val="en-GB"/>
        </w:rPr>
        <w:t xml:space="preserve">2023, Silicon Valley Bank and </w:t>
      </w:r>
      <w:r w:rsidR="005C1EAE">
        <w:rPr>
          <w:rFonts w:ascii="Times New Roman" w:hAnsi="Times New Roman" w:cs="Times New Roman"/>
          <w:noProof/>
          <w:sz w:val="24"/>
          <w:szCs w:val="24"/>
          <w:lang w:val="en-GB"/>
        </w:rPr>
        <w:t>three</w:t>
      </w:r>
      <w:r w:rsidR="005C1EAE" w:rsidRPr="0036474B">
        <w:rPr>
          <w:rFonts w:ascii="Times New Roman" w:hAnsi="Times New Roman" w:cs="Times New Roman"/>
          <w:noProof/>
          <w:sz w:val="24"/>
          <w:szCs w:val="24"/>
          <w:lang w:val="en-GB"/>
        </w:rPr>
        <w:t xml:space="preserve"> </w:t>
      </w:r>
      <w:r w:rsidRPr="0036474B">
        <w:rPr>
          <w:rFonts w:ascii="Times New Roman" w:hAnsi="Times New Roman" w:cs="Times New Roman"/>
          <w:noProof/>
          <w:sz w:val="24"/>
          <w:szCs w:val="24"/>
          <w:lang w:val="en-GB"/>
        </w:rPr>
        <w:t>other US banks failed in succession</w:t>
      </w:r>
      <w:r w:rsidR="005C1EAE">
        <w:rPr>
          <w:rStyle w:val="FootnoteReference"/>
          <w:rFonts w:ascii="Times New Roman" w:hAnsi="Times New Roman" w:cs="Times New Roman"/>
          <w:noProof/>
          <w:sz w:val="24"/>
          <w:szCs w:val="24"/>
          <w:lang w:val="en-GB"/>
        </w:rPr>
        <w:footnoteReference w:id="26"/>
      </w:r>
      <w:r w:rsidRPr="0036474B">
        <w:rPr>
          <w:rFonts w:ascii="Times New Roman" w:hAnsi="Times New Roman" w:cs="Times New Roman"/>
          <w:noProof/>
          <w:sz w:val="24"/>
          <w:szCs w:val="24"/>
          <w:lang w:val="en-GB"/>
        </w:rPr>
        <w:t>. These events created tensions in financial markets that went beyond the US banking sector. Credit Suisse also experienced a fatal loss of market confidence that brought its collapse and government sponsored acquisition by UBS</w:t>
      </w:r>
      <w:r w:rsidR="007C3430">
        <w:rPr>
          <w:rStyle w:val="FootnoteReference"/>
          <w:rFonts w:ascii="Times New Roman" w:hAnsi="Times New Roman" w:cs="Times New Roman"/>
          <w:noProof/>
          <w:sz w:val="24"/>
          <w:szCs w:val="24"/>
          <w:lang w:val="en-GB"/>
        </w:rPr>
        <w:footnoteReference w:id="27"/>
      </w:r>
      <w:r w:rsidRPr="0036474B">
        <w:rPr>
          <w:rFonts w:ascii="Times New Roman" w:hAnsi="Times New Roman" w:cs="Times New Roman"/>
          <w:noProof/>
          <w:sz w:val="24"/>
          <w:szCs w:val="24"/>
          <w:lang w:val="en-GB"/>
        </w:rPr>
        <w:t xml:space="preserve">. Notwithstanding the heightened tensions in financial markets, </w:t>
      </w:r>
      <w:r w:rsidR="00B970FC">
        <w:rPr>
          <w:rFonts w:ascii="Times New Roman" w:hAnsi="Times New Roman" w:cs="Times New Roman"/>
          <w:noProof/>
          <w:sz w:val="24"/>
          <w:szCs w:val="24"/>
          <w:lang w:val="en-GB"/>
        </w:rPr>
        <w:t xml:space="preserve">following this series of bank failures is a </w:t>
      </w:r>
      <w:r w:rsidR="00EF099B">
        <w:rPr>
          <w:rFonts w:ascii="Times New Roman" w:hAnsi="Times New Roman" w:cs="Times New Roman"/>
          <w:noProof/>
          <w:sz w:val="24"/>
          <w:szCs w:val="24"/>
          <w:lang w:val="en-GB"/>
        </w:rPr>
        <w:t xml:space="preserve">complex </w:t>
      </w:r>
      <w:r w:rsidR="00EF099B" w:rsidRPr="00F07E31">
        <w:rPr>
          <w:rFonts w:ascii="Times New Roman" w:hAnsi="Times New Roman" w:cs="Times New Roman"/>
          <w:noProof/>
          <w:sz w:val="24"/>
          <w:szCs w:val="24"/>
          <w:lang w:val="en-GB"/>
        </w:rPr>
        <w:t xml:space="preserve">macro-financial </w:t>
      </w:r>
      <w:r w:rsidR="00EF099B">
        <w:rPr>
          <w:rFonts w:ascii="Times New Roman" w:hAnsi="Times New Roman" w:cs="Times New Roman"/>
          <w:noProof/>
          <w:sz w:val="24"/>
          <w:szCs w:val="24"/>
          <w:lang w:val="en-GB"/>
        </w:rPr>
        <w:t xml:space="preserve">environment, </w:t>
      </w:r>
      <w:r w:rsidRPr="0036474B">
        <w:rPr>
          <w:rFonts w:ascii="Times New Roman" w:hAnsi="Times New Roman" w:cs="Times New Roman"/>
          <w:noProof/>
          <w:sz w:val="24"/>
          <w:szCs w:val="24"/>
          <w:lang w:val="en-GB"/>
        </w:rPr>
        <w:t>the EU banking sector proved resilient as no EU bank entered into difficulties. EU public authorities had monitored any arising issues and communicated at key junctures of the banking turmoil</w:t>
      </w:r>
      <w:r w:rsidR="002849DF" w:rsidRPr="0036474B">
        <w:rPr>
          <w:rStyle w:val="FootnoteReference"/>
          <w:rFonts w:ascii="Times New Roman" w:hAnsi="Times New Roman" w:cs="Times New Roman"/>
          <w:noProof/>
          <w:sz w:val="24"/>
          <w:szCs w:val="24"/>
          <w:lang w:val="en-GB"/>
        </w:rPr>
        <w:footnoteReference w:id="28"/>
      </w:r>
      <w:r w:rsidRPr="0036474B">
        <w:rPr>
          <w:rFonts w:ascii="Times New Roman" w:hAnsi="Times New Roman" w:cs="Times New Roman"/>
          <w:noProof/>
          <w:sz w:val="24"/>
          <w:szCs w:val="24"/>
          <w:lang w:val="en-GB"/>
        </w:rPr>
        <w:t>.</w:t>
      </w:r>
    </w:p>
    <w:p w14:paraId="35D21E54" w14:textId="639C4C86" w:rsidR="007005B3" w:rsidRPr="0036474B" w:rsidRDefault="00AA7F95" w:rsidP="00B00C18">
      <w:pPr>
        <w:pStyle w:val="ListParagraph"/>
        <w:numPr>
          <w:ilvl w:val="2"/>
          <w:numId w:val="11"/>
        </w:numPr>
        <w:ind w:left="1077"/>
        <w:outlineLvl w:val="2"/>
        <w:rPr>
          <w:rFonts w:ascii="Times New Roman" w:hAnsi="Times New Roman" w:cs="Times New Roman"/>
          <w:b/>
          <w:noProof/>
          <w:sz w:val="24"/>
          <w:szCs w:val="24"/>
          <w:lang w:val="en-GB"/>
        </w:rPr>
      </w:pPr>
      <w:bookmarkStart w:id="20" w:name="_Toc234341727"/>
      <w:r w:rsidRPr="0036474B">
        <w:rPr>
          <w:rFonts w:ascii="Times New Roman" w:hAnsi="Times New Roman" w:cs="Times New Roman"/>
          <w:b/>
          <w:noProof/>
          <w:sz w:val="24"/>
          <w:szCs w:val="24"/>
          <w:lang w:val="en-GB"/>
        </w:rPr>
        <w:t xml:space="preserve">Capital </w:t>
      </w:r>
      <w:r w:rsidR="00EE740E">
        <w:rPr>
          <w:rFonts w:ascii="Times New Roman" w:hAnsi="Times New Roman" w:cs="Times New Roman"/>
          <w:b/>
          <w:noProof/>
          <w:sz w:val="24"/>
          <w:szCs w:val="24"/>
          <w:lang w:val="en-GB"/>
        </w:rPr>
        <w:t xml:space="preserve">increase </w:t>
      </w:r>
      <w:r w:rsidRPr="0036474B">
        <w:rPr>
          <w:rFonts w:ascii="Times New Roman" w:hAnsi="Times New Roman" w:cs="Times New Roman"/>
          <w:b/>
          <w:noProof/>
          <w:sz w:val="24"/>
          <w:szCs w:val="24"/>
          <w:lang w:val="en-GB"/>
        </w:rPr>
        <w:t xml:space="preserve">and asset quality </w:t>
      </w:r>
      <w:bookmarkEnd w:id="20"/>
      <w:r w:rsidR="00EE740E">
        <w:rPr>
          <w:rFonts w:ascii="Times New Roman" w:hAnsi="Times New Roman" w:cs="Times New Roman"/>
          <w:b/>
          <w:noProof/>
          <w:sz w:val="24"/>
          <w:szCs w:val="24"/>
          <w:lang w:val="en-GB"/>
        </w:rPr>
        <w:t>strengthening</w:t>
      </w:r>
    </w:p>
    <w:p w14:paraId="11FA7DB0" w14:textId="2F721A12" w:rsidR="00AA7F95" w:rsidRPr="0036474B" w:rsidRDefault="1CB60B2A" w:rsidP="00AA7F95">
      <w:pPr>
        <w:jc w:val="both"/>
        <w:rPr>
          <w:rFonts w:ascii="Times New Roman" w:hAnsi="Times New Roman" w:cs="Times New Roman"/>
          <w:noProof/>
          <w:sz w:val="24"/>
          <w:szCs w:val="24"/>
          <w:lang w:val="en-GB"/>
        </w:rPr>
      </w:pPr>
      <w:r w:rsidRPr="0036474B">
        <w:rPr>
          <w:rFonts w:ascii="Times New Roman" w:hAnsi="Times New Roman" w:cs="Times New Roman"/>
          <w:b/>
          <w:bCs/>
          <w:noProof/>
          <w:sz w:val="24"/>
          <w:szCs w:val="24"/>
          <w:lang w:val="en-GB"/>
        </w:rPr>
        <w:t xml:space="preserve">Today, EU banks are stable and well capitalised: their capital ratios are at all-time highs and have </w:t>
      </w:r>
      <w:r w:rsidR="6723D29B" w:rsidRPr="0036474B">
        <w:rPr>
          <w:rFonts w:ascii="Times New Roman" w:hAnsi="Times New Roman" w:cs="Times New Roman"/>
          <w:b/>
          <w:bCs/>
          <w:noProof/>
          <w:sz w:val="24"/>
          <w:szCs w:val="24"/>
          <w:lang w:val="en-GB"/>
        </w:rPr>
        <w:t>almost</w:t>
      </w:r>
      <w:r w:rsidR="5E4CA5AA" w:rsidRPr="0036474B">
        <w:rPr>
          <w:rFonts w:ascii="Times New Roman" w:hAnsi="Times New Roman" w:cs="Times New Roman"/>
          <w:b/>
          <w:bCs/>
          <w:noProof/>
          <w:sz w:val="24"/>
          <w:szCs w:val="24"/>
          <w:lang w:val="en-GB"/>
        </w:rPr>
        <w:t xml:space="preserve"> doubled</w:t>
      </w:r>
      <w:r w:rsidRPr="0036474B">
        <w:rPr>
          <w:rFonts w:ascii="Times New Roman" w:hAnsi="Times New Roman" w:cs="Times New Roman"/>
          <w:b/>
          <w:bCs/>
          <w:noProof/>
          <w:sz w:val="24"/>
          <w:szCs w:val="24"/>
          <w:lang w:val="en-GB"/>
        </w:rPr>
        <w:t xml:space="preserve"> compared to 2009 and </w:t>
      </w:r>
      <w:r w:rsidR="689BC186" w:rsidRPr="0036474B">
        <w:rPr>
          <w:rFonts w:ascii="Times New Roman" w:hAnsi="Times New Roman" w:cs="Times New Roman"/>
          <w:b/>
          <w:bCs/>
          <w:noProof/>
          <w:sz w:val="24"/>
          <w:szCs w:val="24"/>
          <w:lang w:val="en-GB"/>
        </w:rPr>
        <w:t xml:space="preserve">increased </w:t>
      </w:r>
      <w:r w:rsidRPr="0036474B">
        <w:rPr>
          <w:rFonts w:ascii="Times New Roman" w:hAnsi="Times New Roman" w:cs="Times New Roman"/>
          <w:b/>
          <w:bCs/>
          <w:noProof/>
          <w:sz w:val="24"/>
          <w:szCs w:val="24"/>
          <w:lang w:val="en-GB"/>
        </w:rPr>
        <w:t>by 30% compared to 2014 levels.</w:t>
      </w:r>
      <w:r w:rsidRPr="0036474B">
        <w:rPr>
          <w:rFonts w:ascii="Times New Roman" w:hAnsi="Times New Roman" w:cs="Times New Roman"/>
          <w:noProof/>
          <w:sz w:val="24"/>
          <w:szCs w:val="24"/>
          <w:lang w:val="en-GB"/>
        </w:rPr>
        <w:t xml:space="preserve"> In the first years following the GFC, EU banks made efforts to shore up their capital ratios by improving capital supply and asset quality. </w:t>
      </w:r>
      <w:r w:rsidRPr="0036474B">
        <w:rPr>
          <w:rFonts w:ascii="Times New Roman" w:hAnsi="Times New Roman" w:cs="Times New Roman"/>
          <w:noProof/>
          <w:sz w:val="24"/>
          <w:szCs w:val="24"/>
        </w:rPr>
        <w:t xml:space="preserve">The decade from 2014 to 2025 confirms a trend of a remarkable capital build-up from the context of vulnerable post-crisis base to levels that guarantee resilience of the sector. </w:t>
      </w:r>
      <w:r w:rsidRPr="0036474B">
        <w:rPr>
          <w:rFonts w:ascii="Times New Roman" w:hAnsi="Times New Roman" w:cs="Times New Roman"/>
          <w:noProof/>
          <w:sz w:val="24"/>
          <w:szCs w:val="24"/>
          <w:lang w:val="en-GB"/>
        </w:rPr>
        <w:t>Looking at</w:t>
      </w:r>
      <w:r w:rsidR="4217FD73" w:rsidRPr="0036474B">
        <w:rPr>
          <w:rFonts w:ascii="Times New Roman" w:hAnsi="Times New Roman" w:cs="Times New Roman"/>
          <w:noProof/>
          <w:sz w:val="24"/>
          <w:szCs w:val="24"/>
          <w:lang w:val="en-GB"/>
        </w:rPr>
        <w:t xml:space="preserve"> Tier</w:t>
      </w:r>
      <w:r w:rsidR="5829C866" w:rsidRPr="0036474B">
        <w:rPr>
          <w:rFonts w:ascii="Times New Roman" w:hAnsi="Times New Roman" w:cs="Times New Roman"/>
          <w:noProof/>
          <w:sz w:val="24"/>
          <w:szCs w:val="24"/>
          <w:lang w:val="en-GB"/>
        </w:rPr>
        <w:t xml:space="preserve"> 1 capital ratio</w:t>
      </w:r>
      <w:r w:rsidRPr="0036474B">
        <w:rPr>
          <w:rFonts w:ascii="Times New Roman" w:hAnsi="Times New Roman" w:cs="Times New Roman"/>
          <w:noProof/>
          <w:sz w:val="24"/>
          <w:szCs w:val="24"/>
          <w:lang w:val="en-GB"/>
        </w:rPr>
        <w:t xml:space="preserve">, EU banks’ </w:t>
      </w:r>
      <w:r w:rsidR="5829C866" w:rsidRPr="0036474B">
        <w:rPr>
          <w:rFonts w:ascii="Times New Roman" w:hAnsi="Times New Roman" w:cs="Times New Roman"/>
          <w:noProof/>
          <w:sz w:val="24"/>
          <w:szCs w:val="24"/>
          <w:lang w:val="en-GB"/>
        </w:rPr>
        <w:t xml:space="preserve">Tier </w:t>
      </w:r>
      <w:r w:rsidRPr="0036474B">
        <w:rPr>
          <w:rFonts w:ascii="Times New Roman" w:hAnsi="Times New Roman" w:cs="Times New Roman"/>
          <w:noProof/>
          <w:sz w:val="24"/>
          <w:szCs w:val="24"/>
          <w:lang w:val="en-GB"/>
        </w:rPr>
        <w:t xml:space="preserve">1 ratio at Q4 2025 stood on average at </w:t>
      </w:r>
      <w:r w:rsidR="2CFCD576" w:rsidRPr="0036474B">
        <w:rPr>
          <w:rFonts w:ascii="Times New Roman" w:hAnsi="Times New Roman" w:cs="Times New Roman"/>
          <w:noProof/>
          <w:sz w:val="24"/>
          <w:szCs w:val="24"/>
          <w:lang w:val="en-GB"/>
        </w:rPr>
        <w:t>17</w:t>
      </w:r>
      <w:r w:rsidRPr="0036474B">
        <w:rPr>
          <w:rFonts w:ascii="Times New Roman" w:hAnsi="Times New Roman" w:cs="Times New Roman"/>
          <w:noProof/>
          <w:sz w:val="24"/>
          <w:szCs w:val="24"/>
          <w:lang w:val="en-GB"/>
        </w:rPr>
        <w:t xml:space="preserve">%, increased by 400 bps from the 2014 level of </w:t>
      </w:r>
      <w:r w:rsidR="7209DCEA" w:rsidRPr="0036474B">
        <w:rPr>
          <w:rFonts w:ascii="Times New Roman" w:hAnsi="Times New Roman" w:cs="Times New Roman"/>
          <w:noProof/>
          <w:sz w:val="24"/>
          <w:szCs w:val="24"/>
          <w:lang w:val="en-GB"/>
        </w:rPr>
        <w:t>13</w:t>
      </w:r>
      <w:r w:rsidRPr="0036474B">
        <w:rPr>
          <w:rFonts w:ascii="Times New Roman" w:hAnsi="Times New Roman" w:cs="Times New Roman"/>
          <w:noProof/>
          <w:sz w:val="24"/>
          <w:szCs w:val="24"/>
          <w:lang w:val="en-GB"/>
        </w:rPr>
        <w:t xml:space="preserve">%, and by </w:t>
      </w:r>
      <w:r w:rsidR="32B7BF61" w:rsidRPr="0036474B">
        <w:rPr>
          <w:rFonts w:ascii="Times New Roman" w:hAnsi="Times New Roman" w:cs="Times New Roman"/>
          <w:noProof/>
          <w:sz w:val="24"/>
          <w:szCs w:val="24"/>
          <w:lang w:val="en-GB"/>
        </w:rPr>
        <w:t>755</w:t>
      </w:r>
      <w:r w:rsidR="51E9E23D" w:rsidRPr="0036474B">
        <w:rPr>
          <w:rFonts w:ascii="Times New Roman" w:hAnsi="Times New Roman" w:cs="Times New Roman"/>
          <w:noProof/>
          <w:sz w:val="24"/>
          <w:szCs w:val="24"/>
          <w:lang w:val="en-GB"/>
        </w:rPr>
        <w:t xml:space="preserve"> </w:t>
      </w:r>
      <w:r w:rsidRPr="0036474B">
        <w:rPr>
          <w:rFonts w:ascii="Times New Roman" w:hAnsi="Times New Roman" w:cs="Times New Roman"/>
          <w:noProof/>
          <w:sz w:val="24"/>
          <w:szCs w:val="24"/>
          <w:lang w:val="en-GB"/>
        </w:rPr>
        <w:t>bps from the 200</w:t>
      </w:r>
      <w:r w:rsidR="32B7BF61" w:rsidRPr="0036474B">
        <w:rPr>
          <w:rFonts w:ascii="Times New Roman" w:hAnsi="Times New Roman" w:cs="Times New Roman"/>
          <w:noProof/>
          <w:sz w:val="24"/>
          <w:szCs w:val="24"/>
          <w:lang w:val="en-GB"/>
        </w:rPr>
        <w:t>9</w:t>
      </w:r>
      <w:r w:rsidRPr="0036474B">
        <w:rPr>
          <w:rFonts w:ascii="Times New Roman" w:hAnsi="Times New Roman" w:cs="Times New Roman"/>
          <w:noProof/>
          <w:sz w:val="24"/>
          <w:szCs w:val="24"/>
          <w:lang w:val="en-GB"/>
        </w:rPr>
        <w:t xml:space="preserve"> level of </w:t>
      </w:r>
      <w:r w:rsidR="6D9ADDF2" w:rsidRPr="0036474B">
        <w:rPr>
          <w:rFonts w:ascii="Times New Roman" w:hAnsi="Times New Roman" w:cs="Times New Roman"/>
          <w:noProof/>
          <w:sz w:val="24"/>
          <w:szCs w:val="24"/>
          <w:lang w:val="en-GB"/>
        </w:rPr>
        <w:t>10</w:t>
      </w:r>
      <w:r w:rsidRPr="0036474B">
        <w:rPr>
          <w:rFonts w:ascii="Times New Roman" w:hAnsi="Times New Roman" w:cs="Times New Roman"/>
          <w:noProof/>
          <w:sz w:val="24"/>
          <w:szCs w:val="24"/>
          <w:lang w:val="en-GB"/>
        </w:rPr>
        <w:t>%. The picture is similar when looking at the</w:t>
      </w:r>
      <w:r w:rsidR="51E9E23D" w:rsidRPr="0036474B">
        <w:rPr>
          <w:rFonts w:ascii="Times New Roman" w:hAnsi="Times New Roman" w:cs="Times New Roman"/>
          <w:noProof/>
          <w:sz w:val="24"/>
          <w:szCs w:val="24"/>
          <w:lang w:val="en-GB"/>
        </w:rPr>
        <w:t xml:space="preserve"> CET 1 ratio</w:t>
      </w:r>
      <w:r w:rsidR="001F1048" w:rsidRPr="0036474B">
        <w:rPr>
          <w:rStyle w:val="FootnoteReference"/>
          <w:rFonts w:ascii="Times New Roman" w:hAnsi="Times New Roman" w:cs="Times New Roman"/>
          <w:noProof/>
          <w:sz w:val="24"/>
          <w:szCs w:val="24"/>
          <w:lang w:val="en-GB"/>
        </w:rPr>
        <w:footnoteReference w:id="29"/>
      </w:r>
      <w:r w:rsidR="51E9E23D" w:rsidRPr="0036474B">
        <w:rPr>
          <w:rFonts w:ascii="Times New Roman" w:hAnsi="Times New Roman" w:cs="Times New Roman"/>
          <w:noProof/>
          <w:sz w:val="24"/>
          <w:szCs w:val="24"/>
          <w:lang w:val="en-GB"/>
        </w:rPr>
        <w:t xml:space="preserve">, now at </w:t>
      </w:r>
      <w:r w:rsidR="1C71A1F4" w:rsidRPr="0036474B">
        <w:rPr>
          <w:rFonts w:ascii="Times New Roman" w:hAnsi="Times New Roman" w:cs="Times New Roman"/>
          <w:noProof/>
          <w:sz w:val="24"/>
          <w:szCs w:val="24"/>
          <w:lang w:val="en-GB"/>
        </w:rPr>
        <w:t>16</w:t>
      </w:r>
      <w:r w:rsidR="71509F74" w:rsidRPr="0036474B">
        <w:rPr>
          <w:rFonts w:ascii="Times New Roman" w:hAnsi="Times New Roman" w:cs="Times New Roman"/>
          <w:noProof/>
          <w:sz w:val="24"/>
          <w:szCs w:val="24"/>
          <w:lang w:val="en-GB"/>
        </w:rPr>
        <w:t>,</w:t>
      </w:r>
      <w:r w:rsidR="1C71A1F4" w:rsidRPr="0036474B">
        <w:rPr>
          <w:rFonts w:ascii="Times New Roman" w:hAnsi="Times New Roman" w:cs="Times New Roman"/>
          <w:noProof/>
          <w:sz w:val="24"/>
          <w:szCs w:val="24"/>
          <w:lang w:val="en-GB"/>
        </w:rPr>
        <w:t>3%</w:t>
      </w:r>
      <w:r w:rsidR="7ABBF7DF" w:rsidRPr="0036474B">
        <w:rPr>
          <w:rFonts w:ascii="Times New Roman" w:hAnsi="Times New Roman" w:cs="Times New Roman"/>
          <w:noProof/>
          <w:sz w:val="24"/>
          <w:szCs w:val="24"/>
          <w:lang w:val="en-GB"/>
        </w:rPr>
        <w:t xml:space="preserve"> </w:t>
      </w:r>
      <w:r w:rsidR="39CEC95A" w:rsidRPr="0036474B">
        <w:rPr>
          <w:rFonts w:ascii="Times New Roman" w:hAnsi="Times New Roman" w:cs="Times New Roman"/>
          <w:noProof/>
          <w:sz w:val="24"/>
          <w:szCs w:val="24"/>
          <w:lang w:val="en-GB"/>
        </w:rPr>
        <w:t xml:space="preserve">and increased by </w:t>
      </w:r>
      <w:r w:rsidR="314FC3EE" w:rsidRPr="0036474B">
        <w:rPr>
          <w:rFonts w:ascii="Times New Roman" w:hAnsi="Times New Roman" w:cs="Times New Roman"/>
          <w:noProof/>
          <w:sz w:val="24"/>
          <w:szCs w:val="24"/>
          <w:lang w:val="en-GB"/>
        </w:rPr>
        <w:t>400 bps and 730 bps</w:t>
      </w:r>
      <w:r w:rsidR="79764459" w:rsidRPr="0036474B">
        <w:rPr>
          <w:rFonts w:ascii="Times New Roman" w:hAnsi="Times New Roman" w:cs="Times New Roman"/>
          <w:noProof/>
          <w:sz w:val="24"/>
          <w:szCs w:val="24"/>
          <w:lang w:val="en-GB"/>
        </w:rPr>
        <w:t xml:space="preserve"> from its 2014 and 2009 levels</w:t>
      </w:r>
      <w:r w:rsidR="021A516D" w:rsidRPr="0036474B">
        <w:rPr>
          <w:rFonts w:ascii="Times New Roman" w:hAnsi="Times New Roman" w:cs="Times New Roman"/>
          <w:noProof/>
          <w:sz w:val="24"/>
          <w:szCs w:val="24"/>
          <w:lang w:val="en-GB"/>
        </w:rPr>
        <w:t>, and at</w:t>
      </w:r>
      <w:r w:rsidRPr="0036474B">
        <w:rPr>
          <w:rFonts w:ascii="Times New Roman" w:hAnsi="Times New Roman" w:cs="Times New Roman"/>
          <w:noProof/>
          <w:sz w:val="24"/>
          <w:szCs w:val="24"/>
          <w:lang w:val="en-GB"/>
        </w:rPr>
        <w:t xml:space="preserve"> total capital ratio (which considers also Additional Tier 1 and Tier 2 instruments), which stands today at 20</w:t>
      </w:r>
      <w:r w:rsidR="71509F74" w:rsidRPr="0036474B">
        <w:rPr>
          <w:rFonts w:ascii="Times New Roman" w:hAnsi="Times New Roman" w:cs="Times New Roman"/>
          <w:noProof/>
          <w:sz w:val="24"/>
          <w:szCs w:val="24"/>
          <w:lang w:val="en-GB"/>
        </w:rPr>
        <w:t>,</w:t>
      </w:r>
      <w:r w:rsidRPr="0036474B">
        <w:rPr>
          <w:rFonts w:ascii="Times New Roman" w:hAnsi="Times New Roman" w:cs="Times New Roman"/>
          <w:noProof/>
          <w:sz w:val="24"/>
          <w:szCs w:val="24"/>
          <w:lang w:val="en-GB"/>
        </w:rPr>
        <w:t>4% and was 16</w:t>
      </w:r>
      <w:r w:rsidR="71509F74" w:rsidRPr="0036474B">
        <w:rPr>
          <w:rFonts w:ascii="Times New Roman" w:hAnsi="Times New Roman" w:cs="Times New Roman"/>
          <w:noProof/>
          <w:sz w:val="24"/>
          <w:szCs w:val="24"/>
          <w:lang w:val="en-GB"/>
        </w:rPr>
        <w:t>,</w:t>
      </w:r>
      <w:r w:rsidRPr="0036474B">
        <w:rPr>
          <w:rFonts w:ascii="Times New Roman" w:hAnsi="Times New Roman" w:cs="Times New Roman"/>
          <w:noProof/>
          <w:sz w:val="24"/>
          <w:szCs w:val="24"/>
          <w:lang w:val="en-GB"/>
        </w:rPr>
        <w:t>2% in 2014 and 13% in 2009.</w:t>
      </w:r>
      <w:r w:rsidRPr="0036474B" w:rsidDel="00766F9A">
        <w:rPr>
          <w:rFonts w:ascii="Times New Roman" w:hAnsi="Times New Roman" w:cs="Times New Roman"/>
          <w:noProof/>
          <w:sz w:val="24"/>
          <w:szCs w:val="24"/>
          <w:lang w:val="en-GB"/>
        </w:rPr>
        <w:t xml:space="preserve"> </w:t>
      </w:r>
    </w:p>
    <w:p w14:paraId="51B47EF6" w14:textId="4150B4C8" w:rsidR="00AA7F95" w:rsidRPr="0036474B" w:rsidRDefault="1CB60B2A" w:rsidP="00AA7F95">
      <w:pPr>
        <w:jc w:val="both"/>
        <w:rPr>
          <w:rFonts w:ascii="Times New Roman" w:hAnsi="Times New Roman" w:cs="Times New Roman"/>
          <w:noProof/>
          <w:sz w:val="24"/>
          <w:szCs w:val="24"/>
        </w:rPr>
      </w:pPr>
      <w:r w:rsidRPr="0036474B">
        <w:rPr>
          <w:rFonts w:ascii="Times New Roman" w:hAnsi="Times New Roman" w:cs="Times New Roman"/>
          <w:b/>
          <w:bCs/>
          <w:noProof/>
          <w:sz w:val="24"/>
          <w:szCs w:val="24"/>
          <w:lang w:val="en-GB"/>
        </w:rPr>
        <w:t xml:space="preserve">The capital increase in EU banks </w:t>
      </w:r>
      <w:r w:rsidRPr="0036474B">
        <w:rPr>
          <w:rFonts w:ascii="Times New Roman" w:hAnsi="Times New Roman" w:cs="Times New Roman"/>
          <w:b/>
          <w:bCs/>
          <w:noProof/>
          <w:sz w:val="24"/>
          <w:szCs w:val="24"/>
        </w:rPr>
        <w:t xml:space="preserve">was </w:t>
      </w:r>
      <w:r w:rsidR="04AB1367" w:rsidRPr="0036474B">
        <w:rPr>
          <w:rFonts w:ascii="Times New Roman" w:hAnsi="Times New Roman" w:cs="Times New Roman"/>
          <w:b/>
          <w:bCs/>
          <w:noProof/>
          <w:sz w:val="24"/>
          <w:szCs w:val="24"/>
        </w:rPr>
        <w:t xml:space="preserve">encouraged by </w:t>
      </w:r>
      <w:r w:rsidR="005062CE" w:rsidRPr="0036474B">
        <w:rPr>
          <w:rFonts w:ascii="Times New Roman" w:hAnsi="Times New Roman" w:cs="Times New Roman"/>
          <w:b/>
          <w:bCs/>
          <w:noProof/>
          <w:sz w:val="24"/>
          <w:szCs w:val="24"/>
        </w:rPr>
        <w:t xml:space="preserve">a demanding regulatory framework and </w:t>
      </w:r>
      <w:r w:rsidR="04AB1367" w:rsidRPr="0036474B">
        <w:rPr>
          <w:rFonts w:ascii="Times New Roman" w:hAnsi="Times New Roman" w:cs="Times New Roman"/>
          <w:b/>
          <w:bCs/>
          <w:noProof/>
          <w:sz w:val="24"/>
          <w:szCs w:val="24"/>
        </w:rPr>
        <w:t xml:space="preserve">supervisory </w:t>
      </w:r>
      <w:r w:rsidR="2A496AF8" w:rsidRPr="0036474B">
        <w:rPr>
          <w:rFonts w:ascii="Times New Roman" w:hAnsi="Times New Roman" w:cs="Times New Roman"/>
          <w:b/>
          <w:bCs/>
          <w:noProof/>
          <w:sz w:val="24"/>
          <w:szCs w:val="24"/>
        </w:rPr>
        <w:t>conservativeness</w:t>
      </w:r>
      <w:r w:rsidR="04AB1367" w:rsidRPr="0036474B">
        <w:rPr>
          <w:rFonts w:ascii="Times New Roman" w:hAnsi="Times New Roman" w:cs="Times New Roman"/>
          <w:b/>
          <w:bCs/>
          <w:noProof/>
          <w:sz w:val="24"/>
          <w:szCs w:val="24"/>
        </w:rPr>
        <w:t xml:space="preserve"> which led to </w:t>
      </w:r>
      <w:r w:rsidRPr="0036474B">
        <w:rPr>
          <w:rFonts w:ascii="Times New Roman" w:hAnsi="Times New Roman" w:cs="Times New Roman"/>
          <w:b/>
          <w:bCs/>
          <w:noProof/>
          <w:sz w:val="24"/>
          <w:szCs w:val="24"/>
        </w:rPr>
        <w:t xml:space="preserve">a continuous </w:t>
      </w:r>
      <w:r w:rsidRPr="0036474B">
        <w:rPr>
          <w:rFonts w:ascii="Times New Roman" w:hAnsi="Times New Roman" w:cs="Times New Roman"/>
          <w:b/>
          <w:bCs/>
          <w:noProof/>
          <w:sz w:val="24"/>
          <w:szCs w:val="24"/>
          <w:lang w:val="en-GB"/>
        </w:rPr>
        <w:t>build-up over time, coming from equity issuances and retained earnings</w:t>
      </w:r>
      <w:r w:rsidRPr="0036474B">
        <w:rPr>
          <w:rFonts w:ascii="Times New Roman" w:hAnsi="Times New Roman" w:cs="Times New Roman"/>
          <w:noProof/>
          <w:sz w:val="24"/>
          <w:szCs w:val="24"/>
          <w:lang w:val="en-GB"/>
        </w:rPr>
        <w:t>. EU banks’ capital supply, looking both at CET 1</w:t>
      </w:r>
      <w:r w:rsidR="06C38A47" w:rsidRPr="0036474B">
        <w:rPr>
          <w:rFonts w:ascii="Times New Roman" w:hAnsi="Times New Roman" w:cs="Times New Roman"/>
          <w:noProof/>
          <w:sz w:val="24"/>
          <w:szCs w:val="24"/>
          <w:lang w:val="en-GB"/>
        </w:rPr>
        <w:t>, Tier 1</w:t>
      </w:r>
      <w:r w:rsidRPr="0036474B">
        <w:rPr>
          <w:rFonts w:ascii="Times New Roman" w:hAnsi="Times New Roman" w:cs="Times New Roman"/>
          <w:noProof/>
          <w:sz w:val="24"/>
          <w:szCs w:val="24"/>
          <w:lang w:val="en-GB"/>
        </w:rPr>
        <w:t xml:space="preserve"> and total capital, increased from 2010 onwards. The capital buildup is the result of supervisory </w:t>
      </w:r>
      <w:r w:rsidR="5129E09F" w:rsidRPr="0036474B">
        <w:rPr>
          <w:rFonts w:ascii="Times New Roman" w:hAnsi="Times New Roman" w:cs="Times New Roman"/>
          <w:noProof/>
          <w:sz w:val="24"/>
          <w:szCs w:val="24"/>
          <w:lang w:val="en-GB"/>
        </w:rPr>
        <w:t>pressures</w:t>
      </w:r>
      <w:r w:rsidRPr="0036474B">
        <w:rPr>
          <w:rFonts w:ascii="Times New Roman" w:hAnsi="Times New Roman" w:cs="Times New Roman"/>
          <w:noProof/>
          <w:sz w:val="24"/>
          <w:szCs w:val="24"/>
          <w:lang w:val="en-GB"/>
        </w:rPr>
        <w:t xml:space="preserve"> and EU banks’ ability to shore up their solvency profiles</w:t>
      </w:r>
      <w:r w:rsidRPr="0036474B" w:rsidDel="007418BC">
        <w:rPr>
          <w:rFonts w:ascii="Times New Roman" w:hAnsi="Times New Roman" w:cs="Times New Roman"/>
          <w:noProof/>
          <w:sz w:val="24"/>
          <w:szCs w:val="24"/>
          <w:lang w:val="en-GB"/>
        </w:rPr>
        <w:t xml:space="preserve"> </w:t>
      </w:r>
      <w:r w:rsidRPr="0036474B">
        <w:rPr>
          <w:rFonts w:ascii="Times New Roman" w:hAnsi="Times New Roman" w:cs="Times New Roman"/>
          <w:noProof/>
          <w:sz w:val="24"/>
          <w:szCs w:val="24"/>
          <w:lang w:val="en-GB"/>
        </w:rPr>
        <w:t>coming out of the GFC.</w:t>
      </w:r>
      <w:r w:rsidRPr="0036474B">
        <w:rPr>
          <w:rFonts w:ascii="Times New Roman" w:hAnsi="Times New Roman" w:cs="Times New Roman"/>
          <w:noProof/>
          <w:sz w:val="24"/>
          <w:szCs w:val="24"/>
        </w:rPr>
        <w:t xml:space="preserve"> Analysing the composition of the capital build since 2009, </w:t>
      </w:r>
      <w:r w:rsidR="48265F2A" w:rsidRPr="0036474B">
        <w:rPr>
          <w:rFonts w:ascii="Times New Roman" w:hAnsi="Times New Roman" w:cs="Times New Roman"/>
          <w:noProof/>
          <w:sz w:val="24"/>
          <w:szCs w:val="24"/>
        </w:rPr>
        <w:t>i</w:t>
      </w:r>
      <w:r w:rsidRPr="0036474B">
        <w:rPr>
          <w:rFonts w:ascii="Times New Roman" w:hAnsi="Times New Roman" w:cs="Times New Roman"/>
          <w:noProof/>
          <w:sz w:val="24"/>
          <w:szCs w:val="24"/>
        </w:rPr>
        <w:t>n the</w:t>
      </w:r>
      <w:r w:rsidR="2CC546D6" w:rsidRPr="0036474B">
        <w:rPr>
          <w:rFonts w:ascii="Times New Roman" w:hAnsi="Times New Roman" w:cs="Times New Roman"/>
          <w:noProof/>
          <w:sz w:val="24"/>
          <w:szCs w:val="24"/>
        </w:rPr>
        <w:t xml:space="preserve"> first half of</w:t>
      </w:r>
      <w:r w:rsidRPr="0036474B">
        <w:rPr>
          <w:rFonts w:ascii="Times New Roman" w:hAnsi="Times New Roman" w:cs="Times New Roman"/>
          <w:noProof/>
          <w:sz w:val="24"/>
          <w:szCs w:val="24"/>
        </w:rPr>
        <w:t xml:space="preserve"> the 2010s, capital accumulation was primarily driven by issuance and the injection of fresh capital in the system via equity raises and issuance of contingent convertible hybrid instruments</w:t>
      </w:r>
      <w:r w:rsidR="00AA7F95" w:rsidRPr="0036474B">
        <w:rPr>
          <w:rStyle w:val="FootnoteReference"/>
          <w:rFonts w:ascii="Times New Roman" w:hAnsi="Times New Roman" w:cs="Times New Roman"/>
          <w:noProof/>
          <w:sz w:val="24"/>
          <w:szCs w:val="24"/>
        </w:rPr>
        <w:footnoteReference w:id="30"/>
      </w:r>
      <w:r w:rsidRPr="0036474B">
        <w:rPr>
          <w:rFonts w:ascii="Times New Roman" w:hAnsi="Times New Roman" w:cs="Times New Roman"/>
          <w:noProof/>
          <w:sz w:val="24"/>
          <w:szCs w:val="24"/>
        </w:rPr>
        <w:t>. The process took time and efforts, constrained by chronically low profitability and investor scepticism about European bank valuations.</w:t>
      </w:r>
      <w:r w:rsidR="00112CE6" w:rsidRPr="4EB84919">
        <w:rPr>
          <w:rFonts w:ascii="Times New Roman" w:hAnsi="Times New Roman" w:cs="Times New Roman"/>
          <w:noProof/>
          <w:sz w:val="24"/>
          <w:szCs w:val="24"/>
        </w:rPr>
        <w:t xml:space="preserve"> </w:t>
      </w:r>
    </w:p>
    <w:p w14:paraId="6B4BD3F9" w14:textId="6B7F6F50" w:rsidR="00731E29" w:rsidRPr="0036474B" w:rsidRDefault="1CB60B2A" w:rsidP="00731E29">
      <w:pPr>
        <w:jc w:val="both"/>
        <w:rPr>
          <w:rFonts w:ascii="Times New Roman" w:hAnsi="Times New Roman" w:cs="Times New Roman"/>
          <w:i/>
          <w:iCs/>
          <w:noProof/>
          <w:sz w:val="24"/>
          <w:szCs w:val="24"/>
        </w:rPr>
      </w:pPr>
      <w:r w:rsidRPr="0036474B">
        <w:rPr>
          <w:rFonts w:ascii="Times New Roman" w:hAnsi="Times New Roman" w:cs="Times New Roman"/>
          <w:b/>
          <w:bCs/>
          <w:noProof/>
          <w:sz w:val="24"/>
          <w:szCs w:val="24"/>
          <w:lang w:val="en-GB"/>
        </w:rPr>
        <w:t>The 2010s decade</w:t>
      </w:r>
      <w:r w:rsidRPr="0036474B">
        <w:rPr>
          <w:rFonts w:ascii="Times New Roman" w:hAnsi="Times New Roman" w:cs="Times New Roman"/>
          <w:noProof/>
          <w:sz w:val="24"/>
          <w:szCs w:val="24"/>
          <w:lang w:val="en-GB"/>
        </w:rPr>
        <w:t xml:space="preserve"> </w:t>
      </w:r>
      <w:r w:rsidRPr="0036474B">
        <w:rPr>
          <w:rFonts w:ascii="Times New Roman" w:hAnsi="Times New Roman" w:cs="Times New Roman"/>
          <w:b/>
          <w:bCs/>
          <w:noProof/>
          <w:sz w:val="24"/>
          <w:szCs w:val="24"/>
          <w:lang w:val="en-GB"/>
        </w:rPr>
        <w:t>also featured waves of deleveraging and derisking that contributed substantially to the increase in capital ratios, even though at the cost of exits from certain activities and markets</w:t>
      </w:r>
      <w:r w:rsidR="0090178F">
        <w:rPr>
          <w:rFonts w:ascii="Times New Roman" w:hAnsi="Times New Roman" w:cs="Times New Roman"/>
          <w:b/>
          <w:bCs/>
          <w:noProof/>
          <w:sz w:val="24"/>
          <w:szCs w:val="24"/>
          <w:lang w:val="en-GB"/>
        </w:rPr>
        <w:t>, including cutting cross-border activities</w:t>
      </w:r>
      <w:r w:rsidRPr="0036474B">
        <w:rPr>
          <w:rFonts w:ascii="Times New Roman" w:hAnsi="Times New Roman" w:cs="Times New Roman"/>
          <w:b/>
          <w:bCs/>
          <w:noProof/>
          <w:sz w:val="24"/>
          <w:szCs w:val="24"/>
          <w:lang w:val="en-GB"/>
        </w:rPr>
        <w:t xml:space="preserve">. </w:t>
      </w:r>
      <w:r w:rsidRPr="0036474B">
        <w:rPr>
          <w:rFonts w:ascii="Times New Roman" w:hAnsi="Times New Roman" w:cs="Times New Roman"/>
          <w:noProof/>
          <w:sz w:val="24"/>
          <w:szCs w:val="24"/>
          <w:lang w:val="en-GB"/>
        </w:rPr>
        <w:t xml:space="preserve">Over the first years of crisis, </w:t>
      </w:r>
      <w:r w:rsidRPr="0036474B">
        <w:rPr>
          <w:rFonts w:ascii="Times New Roman" w:hAnsi="Times New Roman" w:cs="Times New Roman"/>
          <w:noProof/>
          <w:sz w:val="24"/>
          <w:szCs w:val="24"/>
        </w:rPr>
        <w:t xml:space="preserve">deleveraging had largely been driven by equity increases – as banks located in the euro area issued </w:t>
      </w:r>
      <w:r w:rsidR="73CA1666" w:rsidRPr="0036474B">
        <w:rPr>
          <w:rFonts w:ascii="Times New Roman" w:hAnsi="Times New Roman" w:cs="Times New Roman"/>
          <w:noProof/>
          <w:sz w:val="24"/>
          <w:szCs w:val="24"/>
        </w:rPr>
        <w:t xml:space="preserve">EUR </w:t>
      </w:r>
      <w:r w:rsidRPr="0036474B">
        <w:rPr>
          <w:rFonts w:ascii="Times New Roman" w:hAnsi="Times New Roman" w:cs="Times New Roman"/>
          <w:noProof/>
          <w:sz w:val="24"/>
          <w:szCs w:val="24"/>
        </w:rPr>
        <w:t>133 billion in quoted shares from December 2008 to March 2013, while assets remained close to 2008 levels</w:t>
      </w:r>
      <w:r w:rsidR="00AA7F95" w:rsidRPr="0036474B">
        <w:rPr>
          <w:rStyle w:val="FootnoteReference"/>
          <w:rFonts w:ascii="Times New Roman" w:hAnsi="Times New Roman" w:cs="Times New Roman"/>
          <w:noProof/>
          <w:sz w:val="24"/>
          <w:szCs w:val="24"/>
        </w:rPr>
        <w:footnoteReference w:id="31"/>
      </w:r>
      <w:r w:rsidRPr="0036474B">
        <w:rPr>
          <w:rFonts w:ascii="Times New Roman" w:hAnsi="Times New Roman" w:cs="Times New Roman"/>
          <w:noProof/>
          <w:sz w:val="24"/>
          <w:szCs w:val="24"/>
        </w:rPr>
        <w:t>. From May 2012 to 2014, EU banks reduced their consolidated balance sheets by over EUR 5 trillion (of which EUR 4</w:t>
      </w:r>
      <w:r w:rsidR="07674B00" w:rsidRPr="0036474B">
        <w:rPr>
          <w:rFonts w:ascii="Times New Roman" w:hAnsi="Times New Roman" w:cs="Times New Roman"/>
          <w:noProof/>
          <w:sz w:val="24"/>
          <w:szCs w:val="24"/>
        </w:rPr>
        <w:t>,</w:t>
      </w:r>
      <w:r w:rsidRPr="0036474B">
        <w:rPr>
          <w:rFonts w:ascii="Times New Roman" w:hAnsi="Times New Roman" w:cs="Times New Roman"/>
          <w:noProof/>
          <w:sz w:val="24"/>
          <w:szCs w:val="24"/>
        </w:rPr>
        <w:t xml:space="preserve">3 trillion of euro area assets), with great variation across banks. Around half of this decline came from a reduction in derivative positions, which has made the most significant contribution to balance sheet shrinkage on aggregate. The second driving factor was a reduction in loans to the non-financial private sector (including asset transfers) specifically affecting countries under </w:t>
      </w:r>
      <w:r w:rsidR="0082782A" w:rsidRPr="0036474B">
        <w:rPr>
          <w:rFonts w:ascii="Times New Roman" w:hAnsi="Times New Roman" w:cs="Times New Roman"/>
          <w:noProof/>
          <w:sz w:val="24"/>
          <w:szCs w:val="24"/>
        </w:rPr>
        <w:t>macro financial</w:t>
      </w:r>
      <w:r w:rsidRPr="0036474B">
        <w:rPr>
          <w:rFonts w:ascii="Times New Roman" w:hAnsi="Times New Roman" w:cs="Times New Roman"/>
          <w:noProof/>
          <w:sz w:val="24"/>
          <w:szCs w:val="24"/>
        </w:rPr>
        <w:t xml:space="preserve"> stress</w:t>
      </w:r>
      <w:r w:rsidR="00841BF6">
        <w:rPr>
          <w:rStyle w:val="FootnoteReference"/>
          <w:rFonts w:ascii="Times New Roman" w:hAnsi="Times New Roman" w:cs="Times New Roman"/>
          <w:noProof/>
          <w:sz w:val="24"/>
          <w:szCs w:val="24"/>
        </w:rPr>
        <w:footnoteReference w:id="32"/>
      </w:r>
      <w:r w:rsidRPr="0036474B">
        <w:rPr>
          <w:rFonts w:ascii="Times New Roman" w:hAnsi="Times New Roman" w:cs="Times New Roman"/>
          <w:noProof/>
          <w:sz w:val="24"/>
          <w:szCs w:val="24"/>
        </w:rPr>
        <w:t xml:space="preserve">. Contextual to the deleveraging, EU banks were faced with </w:t>
      </w:r>
      <w:r w:rsidR="66F87346" w:rsidRPr="0036474B">
        <w:rPr>
          <w:rFonts w:ascii="Times New Roman" w:hAnsi="Times New Roman" w:cs="Times New Roman"/>
          <w:noProof/>
          <w:sz w:val="24"/>
          <w:szCs w:val="24"/>
        </w:rPr>
        <w:t>a deterioration</w:t>
      </w:r>
      <w:r w:rsidRPr="0036474B">
        <w:rPr>
          <w:rFonts w:ascii="Times New Roman" w:hAnsi="Times New Roman" w:cs="Times New Roman"/>
          <w:noProof/>
          <w:sz w:val="24"/>
          <w:szCs w:val="24"/>
        </w:rPr>
        <w:t xml:space="preserve"> of asset quality. In countries worse hit by the crisis, non-performing loans (NPL) ratios were increasing to all</w:t>
      </w:r>
      <w:r w:rsidR="2370B6AD" w:rsidRPr="0036474B">
        <w:rPr>
          <w:rFonts w:ascii="Times New Roman" w:hAnsi="Times New Roman" w:cs="Times New Roman"/>
          <w:noProof/>
          <w:sz w:val="24"/>
          <w:szCs w:val="24"/>
        </w:rPr>
        <w:t>-</w:t>
      </w:r>
      <w:r w:rsidRPr="0036474B">
        <w:rPr>
          <w:rFonts w:ascii="Times New Roman" w:hAnsi="Times New Roman" w:cs="Times New Roman"/>
          <w:noProof/>
          <w:sz w:val="24"/>
          <w:szCs w:val="24"/>
        </w:rPr>
        <w:t xml:space="preserve">time highs to the peaks of </w:t>
      </w:r>
      <w:r w:rsidR="78AB487F" w:rsidRPr="0036474B">
        <w:rPr>
          <w:rFonts w:ascii="Times New Roman" w:hAnsi="Times New Roman" w:cs="Times New Roman"/>
          <w:noProof/>
          <w:sz w:val="24"/>
          <w:szCs w:val="24"/>
        </w:rPr>
        <w:t>2013-2014</w:t>
      </w:r>
      <w:r w:rsidRPr="0036474B">
        <w:rPr>
          <w:rFonts w:ascii="Times New Roman" w:hAnsi="Times New Roman" w:cs="Times New Roman"/>
          <w:noProof/>
          <w:sz w:val="24"/>
          <w:szCs w:val="24"/>
        </w:rPr>
        <w:t>. Following deleveraging and balance sheet derisking efforts</w:t>
      </w:r>
      <w:r w:rsidRPr="0036474B">
        <w:rPr>
          <w:rFonts w:ascii="Times New Roman" w:hAnsi="Times New Roman" w:cs="Times New Roman"/>
          <w:noProof/>
          <w:sz w:val="24"/>
          <w:szCs w:val="24"/>
          <w:lang w:val="en-GB"/>
        </w:rPr>
        <w:t>, in the years between 2014 and 2018 EU banks gradually reduc</w:t>
      </w:r>
      <w:r w:rsidR="4BF67F44" w:rsidRPr="0036474B">
        <w:rPr>
          <w:rFonts w:ascii="Times New Roman" w:hAnsi="Times New Roman" w:cs="Times New Roman"/>
          <w:noProof/>
          <w:sz w:val="24"/>
          <w:szCs w:val="24"/>
          <w:lang w:val="en-GB"/>
        </w:rPr>
        <w:t>ed</w:t>
      </w:r>
      <w:r w:rsidRPr="0036474B">
        <w:rPr>
          <w:rFonts w:ascii="Times New Roman" w:hAnsi="Times New Roman" w:cs="Times New Roman"/>
          <w:noProof/>
          <w:sz w:val="24"/>
          <w:szCs w:val="24"/>
          <w:lang w:val="en-GB"/>
        </w:rPr>
        <w:t xml:space="preserve"> their stock of NPLs and exit</w:t>
      </w:r>
      <w:r w:rsidR="478D0F43" w:rsidRPr="0036474B">
        <w:rPr>
          <w:rFonts w:ascii="Times New Roman" w:hAnsi="Times New Roman" w:cs="Times New Roman"/>
          <w:noProof/>
          <w:sz w:val="24"/>
          <w:szCs w:val="24"/>
          <w:lang w:val="en-GB"/>
        </w:rPr>
        <w:t>ed</w:t>
      </w:r>
      <w:r w:rsidRPr="0036474B">
        <w:rPr>
          <w:rFonts w:ascii="Times New Roman" w:hAnsi="Times New Roman" w:cs="Times New Roman"/>
          <w:noProof/>
          <w:sz w:val="24"/>
          <w:szCs w:val="24"/>
          <w:lang w:val="en-GB"/>
        </w:rPr>
        <w:t xml:space="preserve"> lines of business that either were perceived as excessively risky or were not profitable enough – hence not generating enough risk-adjusted capital.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470988" w:rsidRPr="00064CC0" w14:paraId="4E4C54BB" w14:textId="77777777" w:rsidTr="008E3BD5">
        <w:tc>
          <w:tcPr>
            <w:tcW w:w="9016" w:type="dxa"/>
          </w:tcPr>
          <w:p w14:paraId="4387385A" w14:textId="1898B531" w:rsidR="00A318E9" w:rsidRPr="001752EA" w:rsidRDefault="00A318E9" w:rsidP="001752EA">
            <w:pPr>
              <w:pStyle w:val="Caption"/>
              <w:keepNext/>
              <w:jc w:val="both"/>
              <w:rPr>
                <w:rFonts w:ascii="Times New Roman" w:hAnsi="Times New Roman" w:cs="Times New Roman"/>
                <w:noProof/>
                <w:color w:val="auto"/>
                <w:sz w:val="24"/>
                <w:szCs w:val="24"/>
              </w:rPr>
            </w:pPr>
            <w:r w:rsidRPr="001752EA">
              <w:rPr>
                <w:rFonts w:ascii="Times New Roman" w:hAnsi="Times New Roman" w:cs="Times New Roman"/>
                <w:noProof/>
                <w:color w:val="auto"/>
                <w:sz w:val="24"/>
                <w:szCs w:val="24"/>
              </w:rPr>
              <w:t xml:space="preserve">Figure </w:t>
            </w:r>
            <w:r w:rsidR="00F0664D">
              <w:rPr>
                <w:rFonts w:ascii="Times New Roman" w:hAnsi="Times New Roman" w:cs="Times New Roman"/>
                <w:noProof/>
                <w:color w:val="auto"/>
                <w:sz w:val="24"/>
                <w:szCs w:val="24"/>
              </w:rPr>
              <w:t>8</w:t>
            </w:r>
            <w:r w:rsidRPr="001752EA">
              <w:rPr>
                <w:rFonts w:ascii="Times New Roman" w:hAnsi="Times New Roman" w:cs="Times New Roman"/>
                <w:noProof/>
                <w:color w:val="auto"/>
                <w:sz w:val="24"/>
                <w:szCs w:val="24"/>
              </w:rPr>
              <w:t xml:space="preserve"> - CET 1 ratio of EU banks, SSM sample (as of 2015) and EU G-SIBs (changing composition). CET 1 capital for years before 2013 refers to Tier 1 capital excluding hybrid instruments.</w:t>
            </w:r>
          </w:p>
          <w:p w14:paraId="5EBB30CF" w14:textId="0A3F7058" w:rsidR="00470988" w:rsidRPr="0036474B" w:rsidRDefault="00470988" w:rsidP="00AA7F95">
            <w:pPr>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eastAsia="en-GB"/>
              </w:rPr>
              <w:drawing>
                <wp:inline distT="0" distB="0" distL="0" distR="0" wp14:anchorId="3EC58535" wp14:editId="3A9426A9">
                  <wp:extent cx="4334510" cy="3072765"/>
                  <wp:effectExtent l="0" t="0" r="8890" b="0"/>
                  <wp:docPr id="21271280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34510" cy="3072765"/>
                          </a:xfrm>
                          <a:prstGeom prst="rect">
                            <a:avLst/>
                          </a:prstGeom>
                          <a:noFill/>
                        </pic:spPr>
                      </pic:pic>
                    </a:graphicData>
                  </a:graphic>
                </wp:inline>
              </w:drawing>
            </w:r>
          </w:p>
        </w:tc>
      </w:tr>
      <w:tr w:rsidR="00470988" w:rsidRPr="00064CC0" w14:paraId="0D766D6B" w14:textId="77777777" w:rsidTr="008E3BD5">
        <w:tc>
          <w:tcPr>
            <w:tcW w:w="9016" w:type="dxa"/>
          </w:tcPr>
          <w:p w14:paraId="4A16E9A7" w14:textId="77777777" w:rsidR="00117094" w:rsidRPr="0036474B" w:rsidRDefault="00117094" w:rsidP="00AA7F95">
            <w:pPr>
              <w:jc w:val="both"/>
              <w:rPr>
                <w:rFonts w:ascii="Times New Roman" w:hAnsi="Times New Roman" w:cs="Times New Roman"/>
                <w:i/>
                <w:iCs/>
                <w:noProof/>
                <w:sz w:val="24"/>
                <w:szCs w:val="24"/>
              </w:rPr>
            </w:pPr>
          </w:p>
          <w:p w14:paraId="615B7A79" w14:textId="2EA292D7" w:rsidR="00470988" w:rsidRPr="0036474B" w:rsidRDefault="00937228" w:rsidP="00AA7F95">
            <w:pPr>
              <w:jc w:val="both"/>
              <w:rPr>
                <w:rFonts w:ascii="Times New Roman" w:hAnsi="Times New Roman" w:cs="Times New Roman"/>
                <w:i/>
                <w:iCs/>
                <w:noProof/>
                <w:sz w:val="24"/>
                <w:szCs w:val="24"/>
                <w:lang w:val="en-GB"/>
              </w:rPr>
            </w:pPr>
            <w:r w:rsidRPr="0036474B">
              <w:rPr>
                <w:rFonts w:ascii="Times New Roman" w:hAnsi="Times New Roman" w:cs="Times New Roman"/>
                <w:i/>
                <w:iCs/>
                <w:noProof/>
                <w:sz w:val="24"/>
                <w:szCs w:val="24"/>
              </w:rPr>
              <w:t>Source: ECB, EBA</w:t>
            </w:r>
          </w:p>
        </w:tc>
      </w:tr>
    </w:tbl>
    <w:p w14:paraId="0C555728" w14:textId="77777777" w:rsidR="001B0904" w:rsidRPr="0036474B" w:rsidRDefault="001B0904" w:rsidP="00AA7F95">
      <w:pPr>
        <w:jc w:val="both"/>
        <w:rPr>
          <w:rFonts w:ascii="Times New Roman" w:hAnsi="Times New Roman" w:cs="Times New Roman"/>
          <w:noProof/>
          <w:sz w:val="24"/>
          <w:szCs w:val="24"/>
        </w:rPr>
      </w:pPr>
    </w:p>
    <w:p w14:paraId="3F5CD3D9" w14:textId="73DA60E6" w:rsidR="00AA7F95" w:rsidRPr="0036474B" w:rsidRDefault="00AA7F95" w:rsidP="00AA7F95">
      <w:pPr>
        <w:jc w:val="both"/>
        <w:rPr>
          <w:rFonts w:ascii="Times New Roman" w:hAnsi="Times New Roman" w:cs="Times New Roman"/>
          <w:noProof/>
          <w:sz w:val="24"/>
          <w:szCs w:val="24"/>
          <w:lang w:val="en-GB"/>
        </w:rPr>
      </w:pPr>
      <w:r w:rsidRPr="0036474B">
        <w:rPr>
          <w:rFonts w:ascii="Times New Roman" w:hAnsi="Times New Roman" w:cs="Times New Roman"/>
          <w:b/>
          <w:bCs/>
          <w:noProof/>
          <w:sz w:val="24"/>
          <w:szCs w:val="24"/>
          <w:lang w:val="en-GB"/>
        </w:rPr>
        <w:t>Over the past 10 years, EU banks have improved their asset quality</w:t>
      </w:r>
      <w:r w:rsidRPr="0036474B">
        <w:rPr>
          <w:rFonts w:ascii="Times New Roman" w:hAnsi="Times New Roman" w:cs="Times New Roman"/>
          <w:noProof/>
          <w:sz w:val="24"/>
          <w:szCs w:val="24"/>
          <w:lang w:val="en-GB"/>
        </w:rPr>
        <w:t>. In 2014, NPLs were a macro-financial problem and a drag on the EU banking sector, with the non-performing loans amounting to 6</w:t>
      </w:r>
      <w:r w:rsidR="00C63A90" w:rsidRPr="0036474B">
        <w:rPr>
          <w:rFonts w:ascii="Times New Roman" w:hAnsi="Times New Roman" w:cs="Times New Roman"/>
          <w:noProof/>
          <w:sz w:val="24"/>
          <w:szCs w:val="24"/>
          <w:lang w:val="en-GB"/>
        </w:rPr>
        <w:t>,</w:t>
      </w:r>
      <w:r w:rsidRPr="0036474B">
        <w:rPr>
          <w:rFonts w:ascii="Times New Roman" w:hAnsi="Times New Roman" w:cs="Times New Roman"/>
          <w:noProof/>
          <w:sz w:val="24"/>
          <w:szCs w:val="24"/>
          <w:lang w:val="en-GB"/>
        </w:rPr>
        <w:t xml:space="preserve">5% of the total loans and advances (the so-called NPL ratio) – see Figure </w:t>
      </w:r>
      <w:r w:rsidR="00DD3428">
        <w:rPr>
          <w:rFonts w:ascii="Times New Roman" w:hAnsi="Times New Roman" w:cs="Times New Roman"/>
          <w:noProof/>
          <w:sz w:val="24"/>
          <w:szCs w:val="24"/>
          <w:lang w:val="en-GB"/>
        </w:rPr>
        <w:t>9</w:t>
      </w:r>
      <w:r w:rsidRPr="0036474B">
        <w:rPr>
          <w:rFonts w:ascii="Times New Roman" w:hAnsi="Times New Roman" w:cs="Times New Roman"/>
          <w:noProof/>
          <w:sz w:val="24"/>
          <w:szCs w:val="24"/>
          <w:lang w:val="en-GB"/>
        </w:rPr>
        <w:t>. On the back of the balance sheet derisking efforts and the improved internal capacity of banks to manage impaired assets, the picture is much different today. The NPL ratio remained stable at 1</w:t>
      </w:r>
      <w:r w:rsidR="006B4305" w:rsidRPr="0036474B">
        <w:rPr>
          <w:rFonts w:ascii="Times New Roman" w:hAnsi="Times New Roman" w:cs="Times New Roman"/>
          <w:noProof/>
          <w:sz w:val="24"/>
          <w:szCs w:val="24"/>
          <w:lang w:val="en-GB"/>
        </w:rPr>
        <w:t>,</w:t>
      </w:r>
      <w:r w:rsidRPr="0036474B">
        <w:rPr>
          <w:rFonts w:ascii="Times New Roman" w:hAnsi="Times New Roman" w:cs="Times New Roman"/>
          <w:noProof/>
          <w:sz w:val="24"/>
          <w:szCs w:val="24"/>
          <w:lang w:val="en-GB"/>
        </w:rPr>
        <w:t>8% as of Q4 2025 and the EU banking sector has proven able to weather the C</w:t>
      </w:r>
      <w:r w:rsidR="00512209" w:rsidRPr="0036474B">
        <w:rPr>
          <w:rFonts w:ascii="Times New Roman" w:hAnsi="Times New Roman" w:cs="Times New Roman"/>
          <w:noProof/>
          <w:sz w:val="24"/>
          <w:szCs w:val="24"/>
          <w:lang w:val="en-GB"/>
        </w:rPr>
        <w:t>OVID</w:t>
      </w:r>
      <w:r w:rsidRPr="0036474B">
        <w:rPr>
          <w:rFonts w:ascii="Times New Roman" w:hAnsi="Times New Roman" w:cs="Times New Roman"/>
          <w:noProof/>
          <w:sz w:val="24"/>
          <w:szCs w:val="24"/>
          <w:lang w:val="en-GB"/>
        </w:rPr>
        <w:t xml:space="preserve"> crisis, the inflation spike and the energy crisis maintaining a high credit quality. Looking at the credit risk in banks’ portfolios, </w:t>
      </w:r>
      <w:r w:rsidR="00C6302B" w:rsidRPr="0036474B">
        <w:rPr>
          <w:rFonts w:ascii="Times New Roman" w:hAnsi="Times New Roman" w:cs="Times New Roman"/>
          <w:noProof/>
          <w:sz w:val="24"/>
          <w:szCs w:val="24"/>
          <w:lang w:val="en-GB"/>
        </w:rPr>
        <w:t xml:space="preserve">the picture looks </w:t>
      </w:r>
      <w:r w:rsidR="005F4927" w:rsidRPr="0036474B">
        <w:rPr>
          <w:rFonts w:ascii="Times New Roman" w:hAnsi="Times New Roman" w:cs="Times New Roman"/>
          <w:noProof/>
          <w:sz w:val="24"/>
          <w:szCs w:val="24"/>
          <w:lang w:val="en-GB"/>
        </w:rPr>
        <w:t xml:space="preserve">broadly under control even though </w:t>
      </w:r>
      <w:r w:rsidRPr="0036474B">
        <w:rPr>
          <w:rFonts w:ascii="Times New Roman" w:hAnsi="Times New Roman" w:cs="Times New Roman"/>
          <w:noProof/>
          <w:sz w:val="24"/>
          <w:szCs w:val="24"/>
          <w:lang w:val="en-GB"/>
        </w:rPr>
        <w:t xml:space="preserve">Stage 2 loans (i.e. underperforming loans according to IFRS 9) have </w:t>
      </w:r>
      <w:r w:rsidR="002926D8" w:rsidRPr="0036474B">
        <w:rPr>
          <w:rFonts w:ascii="Times New Roman" w:hAnsi="Times New Roman" w:cs="Times New Roman"/>
          <w:noProof/>
          <w:sz w:val="24"/>
          <w:szCs w:val="24"/>
          <w:lang w:val="en-GB"/>
        </w:rPr>
        <w:t>increased</w:t>
      </w:r>
      <w:r w:rsidRPr="0036474B">
        <w:rPr>
          <w:rFonts w:ascii="Times New Roman" w:hAnsi="Times New Roman" w:cs="Times New Roman"/>
          <w:noProof/>
          <w:sz w:val="24"/>
          <w:szCs w:val="24"/>
          <w:lang w:val="en-GB"/>
        </w:rPr>
        <w:t xml:space="preserve"> over the past 5 years (from 8% to 9</w:t>
      </w:r>
      <w:r w:rsidR="00556ED4" w:rsidRPr="0036474B">
        <w:rPr>
          <w:rFonts w:ascii="Times New Roman" w:hAnsi="Times New Roman" w:cs="Times New Roman"/>
          <w:noProof/>
          <w:sz w:val="24"/>
          <w:szCs w:val="24"/>
          <w:lang w:val="en-GB"/>
        </w:rPr>
        <w:t>,</w:t>
      </w:r>
      <w:r w:rsidRPr="0036474B">
        <w:rPr>
          <w:rFonts w:ascii="Times New Roman" w:hAnsi="Times New Roman" w:cs="Times New Roman"/>
          <w:noProof/>
          <w:sz w:val="24"/>
          <w:szCs w:val="24"/>
          <w:lang w:val="en-GB"/>
        </w:rPr>
        <w:t>5%)</w:t>
      </w:r>
      <w:r w:rsidR="002926D8" w:rsidRPr="0036474B">
        <w:rPr>
          <w:rFonts w:ascii="Times New Roman" w:hAnsi="Times New Roman" w:cs="Times New Roman"/>
          <w:noProof/>
          <w:sz w:val="24"/>
          <w:szCs w:val="24"/>
          <w:lang w:val="en-GB"/>
        </w:rPr>
        <w:t xml:space="preserve"> and vulnerabilities may arise from an uncertain macroeconomic </w:t>
      </w:r>
      <w:r w:rsidR="0023416E" w:rsidRPr="0036474B">
        <w:rPr>
          <w:rFonts w:ascii="Times New Roman" w:hAnsi="Times New Roman" w:cs="Times New Roman"/>
          <w:noProof/>
          <w:sz w:val="24"/>
          <w:szCs w:val="24"/>
          <w:lang w:val="en-GB"/>
        </w:rPr>
        <w:t xml:space="preserve">and geopolitical </w:t>
      </w:r>
      <w:r w:rsidR="002926D8" w:rsidRPr="0036474B">
        <w:rPr>
          <w:rFonts w:ascii="Times New Roman" w:hAnsi="Times New Roman" w:cs="Times New Roman"/>
          <w:noProof/>
          <w:sz w:val="24"/>
          <w:szCs w:val="24"/>
          <w:lang w:val="en-GB"/>
        </w:rPr>
        <w:t>outlook</w:t>
      </w:r>
      <w:r w:rsidRPr="0036474B">
        <w:rPr>
          <w:rFonts w:ascii="Times New Roman" w:hAnsi="Times New Roman" w:cs="Times New Roman"/>
          <w:noProof/>
          <w:sz w:val="24"/>
          <w:szCs w:val="24"/>
          <w:lang w:val="en-GB"/>
        </w:rPr>
        <w:t>.</w:t>
      </w:r>
    </w:p>
    <w:tbl>
      <w:tblPr>
        <w:tblStyle w:val="TableGrid51"/>
        <w:tblW w:w="0" w:type="auto"/>
        <w:tblLook w:val="04A0" w:firstRow="1" w:lastRow="0" w:firstColumn="1" w:lastColumn="0" w:noHBand="0" w:noVBand="1"/>
      </w:tblPr>
      <w:tblGrid>
        <w:gridCol w:w="9026"/>
      </w:tblGrid>
      <w:tr w:rsidR="00A766FE" w:rsidRPr="00064CC0" w14:paraId="44296AD6" w14:textId="77777777" w:rsidTr="00906AB8">
        <w:tc>
          <w:tcPr>
            <w:tcW w:w="9026" w:type="dxa"/>
          </w:tcPr>
          <w:p w14:paraId="59BA1B1A" w14:textId="116E17AA" w:rsidR="00A318E9" w:rsidRPr="001752EA" w:rsidRDefault="00A318E9" w:rsidP="001752EA">
            <w:pPr>
              <w:pStyle w:val="Caption"/>
              <w:keepNext/>
              <w:rPr>
                <w:rFonts w:ascii="Times New Roman" w:hAnsi="Times New Roman" w:cs="Times New Roman"/>
                <w:noProof/>
                <w:color w:val="auto"/>
                <w:sz w:val="24"/>
                <w:szCs w:val="24"/>
              </w:rPr>
            </w:pPr>
            <w:r w:rsidRPr="001752EA">
              <w:rPr>
                <w:rFonts w:ascii="Times New Roman" w:hAnsi="Times New Roman" w:cs="Times New Roman"/>
                <w:noProof/>
                <w:color w:val="auto"/>
                <w:sz w:val="24"/>
                <w:szCs w:val="24"/>
              </w:rPr>
              <w:t xml:space="preserve">Figure </w:t>
            </w:r>
            <w:r>
              <w:rPr>
                <w:rFonts w:ascii="Times New Roman" w:hAnsi="Times New Roman" w:cs="Times New Roman"/>
                <w:noProof/>
                <w:color w:val="auto"/>
                <w:sz w:val="24"/>
                <w:szCs w:val="24"/>
              </w:rPr>
              <w:t>9</w:t>
            </w:r>
            <w:r w:rsidRPr="001752EA">
              <w:rPr>
                <w:rFonts w:ascii="Times New Roman" w:hAnsi="Times New Roman" w:cs="Times New Roman"/>
                <w:noProof/>
                <w:color w:val="auto"/>
                <w:sz w:val="24"/>
                <w:szCs w:val="24"/>
              </w:rPr>
              <w:t xml:space="preserve"> - Non-performing loans in the EU</w:t>
            </w:r>
          </w:p>
          <w:p w14:paraId="174EC6B2" w14:textId="53506A4D" w:rsidR="00A766FE" w:rsidRPr="0036474B" w:rsidRDefault="00906AB8">
            <w:pPr>
              <w:pStyle w:val="Caption"/>
              <w:keepNext/>
              <w:keepLines/>
              <w:rPr>
                <w:rFonts w:ascii="Times New Roman" w:hAnsi="Times New Roman" w:cs="Times New Roman"/>
                <w:noProof/>
                <w:sz w:val="24"/>
                <w:szCs w:val="24"/>
                <w:lang w:val="en-IE"/>
              </w:rPr>
            </w:pPr>
            <w:r w:rsidRPr="0036474B">
              <w:rPr>
                <w:rFonts w:ascii="Times New Roman" w:hAnsi="Times New Roman" w:cs="Times New Roman"/>
                <w:noProof/>
                <w:sz w:val="24"/>
                <w:szCs w:val="24"/>
                <w:lang w:val="en-GB" w:eastAsia="en-GB"/>
              </w:rPr>
              <w:drawing>
                <wp:inline distT="0" distB="0" distL="0" distR="0" wp14:anchorId="4F0AFC11" wp14:editId="7374E7D2">
                  <wp:extent cx="5731510" cy="2870200"/>
                  <wp:effectExtent l="0" t="0" r="2540" b="6350"/>
                  <wp:docPr id="788673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673386" name=""/>
                          <pic:cNvPicPr/>
                        </pic:nvPicPr>
                        <pic:blipFill>
                          <a:blip r:embed="rId25"/>
                          <a:stretch>
                            <a:fillRect/>
                          </a:stretch>
                        </pic:blipFill>
                        <pic:spPr>
                          <a:xfrm>
                            <a:off x="0" y="0"/>
                            <a:ext cx="5731510" cy="2870200"/>
                          </a:xfrm>
                          <a:prstGeom prst="rect">
                            <a:avLst/>
                          </a:prstGeom>
                        </pic:spPr>
                      </pic:pic>
                    </a:graphicData>
                  </a:graphic>
                </wp:inline>
              </w:drawing>
            </w:r>
          </w:p>
        </w:tc>
      </w:tr>
      <w:tr w:rsidR="00A766FE" w:rsidRPr="00064CC0" w14:paraId="76DFDFF6" w14:textId="77777777" w:rsidTr="0048521B">
        <w:tc>
          <w:tcPr>
            <w:tcW w:w="9026" w:type="dxa"/>
          </w:tcPr>
          <w:p w14:paraId="03F47B39" w14:textId="77777777" w:rsidR="00A766FE" w:rsidRPr="0036474B" w:rsidRDefault="00A766FE" w:rsidP="00463402">
            <w:pPr>
              <w:pStyle w:val="EFSIRChartNotes"/>
              <w:keepNext/>
              <w:keepLines/>
              <w:spacing w:after="0"/>
              <w:rPr>
                <w:i/>
                <w:noProof/>
                <w:sz w:val="24"/>
                <w:szCs w:val="24"/>
                <w:lang w:val="en-IE"/>
              </w:rPr>
            </w:pPr>
            <w:r w:rsidRPr="0036474B">
              <w:rPr>
                <w:i/>
                <w:noProof/>
                <w:sz w:val="24"/>
                <w:szCs w:val="24"/>
                <w:lang w:val="en-IE"/>
              </w:rPr>
              <w:t>Source: ECB.</w:t>
            </w:r>
          </w:p>
          <w:p w14:paraId="5527E743" w14:textId="6ED0AFEE" w:rsidR="00A766FE" w:rsidRPr="0036474B" w:rsidRDefault="00A766FE" w:rsidP="00463402">
            <w:pPr>
              <w:pStyle w:val="EFSIRChartNotes"/>
              <w:spacing w:after="0"/>
              <w:jc w:val="both"/>
              <w:rPr>
                <w:noProof/>
                <w:sz w:val="24"/>
                <w:szCs w:val="24"/>
                <w:lang w:val="en-IE"/>
              </w:rPr>
            </w:pPr>
            <w:r w:rsidRPr="0036474B">
              <w:rPr>
                <w:i/>
                <w:noProof/>
                <w:sz w:val="24"/>
                <w:szCs w:val="24"/>
                <w:lang w:val="en-IE"/>
              </w:rPr>
              <w:t xml:space="preserve">Note: </w:t>
            </w:r>
            <w:r w:rsidR="002C39FC" w:rsidRPr="0036474B">
              <w:rPr>
                <w:i/>
                <w:noProof/>
                <w:sz w:val="24"/>
                <w:szCs w:val="24"/>
                <w:lang w:val="en-IE"/>
              </w:rPr>
              <w:t xml:space="preserve">Non-performing loans, domestic and (non-EU) foreign subsidiaries and branches, FINREP reporters in EUR (billion) and </w:t>
            </w:r>
            <w:r w:rsidR="00227621" w:rsidRPr="0036474B">
              <w:rPr>
                <w:i/>
                <w:noProof/>
                <w:sz w:val="24"/>
                <w:szCs w:val="24"/>
                <w:lang w:val="en-IE"/>
              </w:rPr>
              <w:t>NPL ratio, domestic and (non-EU) foreign subsidiaries and branches, FINREP reporters, EU, quarterly data.</w:t>
            </w:r>
          </w:p>
        </w:tc>
      </w:tr>
    </w:tbl>
    <w:p w14:paraId="15B603C0" w14:textId="77777777" w:rsidR="00A60C0B" w:rsidRPr="0036474B" w:rsidRDefault="00A60C0B" w:rsidP="000A2E4A">
      <w:pPr>
        <w:keepNext/>
        <w:jc w:val="both"/>
        <w:rPr>
          <w:rFonts w:ascii="Times New Roman" w:hAnsi="Times New Roman" w:cs="Times New Roman"/>
          <w:noProof/>
          <w:sz w:val="24"/>
          <w:szCs w:val="24"/>
          <w:lang w:val="en-GB"/>
        </w:rPr>
      </w:pPr>
    </w:p>
    <w:p w14:paraId="0489A150" w14:textId="16F23498" w:rsidR="00541EE5" w:rsidRPr="0036474B" w:rsidRDefault="00541EE5" w:rsidP="00B00C18">
      <w:pPr>
        <w:pStyle w:val="ListParagraph"/>
        <w:numPr>
          <w:ilvl w:val="2"/>
          <w:numId w:val="11"/>
        </w:numPr>
        <w:ind w:left="1077"/>
        <w:outlineLvl w:val="2"/>
        <w:rPr>
          <w:rFonts w:ascii="Times New Roman" w:hAnsi="Times New Roman" w:cs="Times New Roman"/>
          <w:b/>
          <w:bCs/>
          <w:noProof/>
          <w:sz w:val="24"/>
          <w:szCs w:val="24"/>
          <w:lang w:val="en-GB"/>
        </w:rPr>
      </w:pPr>
      <w:bookmarkStart w:id="21" w:name="_Toc234341728"/>
      <w:r w:rsidRPr="0036474B">
        <w:rPr>
          <w:rFonts w:ascii="Times New Roman" w:hAnsi="Times New Roman" w:cs="Times New Roman"/>
          <w:b/>
          <w:bCs/>
          <w:noProof/>
          <w:sz w:val="24"/>
          <w:szCs w:val="24"/>
          <w:lang w:val="en-GB"/>
        </w:rPr>
        <w:t xml:space="preserve">Profitability </w:t>
      </w:r>
      <w:bookmarkEnd w:id="21"/>
      <w:r w:rsidR="004D150D">
        <w:rPr>
          <w:rFonts w:ascii="Times New Roman" w:hAnsi="Times New Roman" w:cs="Times New Roman"/>
          <w:b/>
          <w:bCs/>
          <w:noProof/>
          <w:sz w:val="24"/>
          <w:szCs w:val="24"/>
          <w:lang w:val="en-GB"/>
        </w:rPr>
        <w:t>improvements</w:t>
      </w:r>
    </w:p>
    <w:p w14:paraId="6A9976FC" w14:textId="255E941E" w:rsidR="00541EE5" w:rsidRPr="0036474B" w:rsidRDefault="39E46412" w:rsidP="00541EE5">
      <w:pPr>
        <w:jc w:val="both"/>
        <w:rPr>
          <w:rFonts w:ascii="Times New Roman" w:hAnsi="Times New Roman" w:cs="Times New Roman"/>
          <w:noProof/>
          <w:sz w:val="24"/>
          <w:szCs w:val="24"/>
          <w:lang w:val="en-GB"/>
        </w:rPr>
      </w:pPr>
      <w:r w:rsidRPr="0036474B">
        <w:rPr>
          <w:rFonts w:ascii="Times New Roman" w:hAnsi="Times New Roman" w:cs="Times New Roman"/>
          <w:b/>
          <w:bCs/>
          <w:noProof/>
          <w:sz w:val="24"/>
          <w:szCs w:val="24"/>
          <w:lang w:val="en-GB"/>
        </w:rPr>
        <w:t>In addition to being well capitalised and resilient, today’s EU banking sector is profitable – yet, financial market valuations are still treating EU banks at a discount compared to past performances and to US peers.</w:t>
      </w:r>
      <w:r w:rsidRPr="0036474B">
        <w:rPr>
          <w:rFonts w:ascii="Times New Roman" w:hAnsi="Times New Roman" w:cs="Times New Roman"/>
          <w:noProof/>
          <w:sz w:val="24"/>
          <w:szCs w:val="24"/>
          <w:lang w:val="en-GB"/>
        </w:rPr>
        <w:t xml:space="preserve"> Since the </w:t>
      </w:r>
      <w:r w:rsidR="5AFB7986" w:rsidRPr="0036474B">
        <w:rPr>
          <w:rFonts w:ascii="Times New Roman" w:hAnsi="Times New Roman" w:cs="Times New Roman"/>
          <w:noProof/>
          <w:sz w:val="24"/>
          <w:szCs w:val="24"/>
          <w:lang w:val="en-GB"/>
        </w:rPr>
        <w:t>GFC</w:t>
      </w:r>
      <w:r w:rsidRPr="0036474B">
        <w:rPr>
          <w:rFonts w:ascii="Times New Roman" w:hAnsi="Times New Roman" w:cs="Times New Roman"/>
          <w:noProof/>
          <w:sz w:val="24"/>
          <w:szCs w:val="24"/>
          <w:lang w:val="en-GB"/>
        </w:rPr>
        <w:t xml:space="preserve">, the sector has struggled to recover and has recorded years of low profitability, linked to both macro-financial and idiosyncratic factors. In the years between the GFC and </w:t>
      </w:r>
      <w:r w:rsidR="5D518415" w:rsidRPr="0036474B">
        <w:rPr>
          <w:rFonts w:ascii="Times New Roman" w:hAnsi="Times New Roman" w:cs="Times New Roman"/>
          <w:noProof/>
          <w:sz w:val="24"/>
          <w:szCs w:val="24"/>
          <w:lang w:val="en-GB"/>
        </w:rPr>
        <w:t>e</w:t>
      </w:r>
      <w:r w:rsidRPr="0036474B">
        <w:rPr>
          <w:rFonts w:ascii="Times New Roman" w:hAnsi="Times New Roman" w:cs="Times New Roman"/>
          <w:noProof/>
          <w:sz w:val="24"/>
          <w:szCs w:val="24"/>
          <w:lang w:val="en-GB"/>
        </w:rPr>
        <w:t>uro area sovereign debt crisis and until 2016, EU banks had a return on equity (RoE)</w:t>
      </w:r>
      <w:r w:rsidRPr="0036474B">
        <w:rPr>
          <w:rStyle w:val="FootnoteReference"/>
          <w:rFonts w:ascii="Times New Roman" w:hAnsi="Times New Roman" w:cs="Times New Roman"/>
          <w:noProof/>
          <w:sz w:val="24"/>
          <w:szCs w:val="24"/>
          <w:lang w:val="en-GB"/>
        </w:rPr>
        <w:t xml:space="preserve"> </w:t>
      </w:r>
      <w:r w:rsidR="00541EE5" w:rsidRPr="0036474B">
        <w:rPr>
          <w:rStyle w:val="FootnoteReference"/>
          <w:rFonts w:ascii="Times New Roman" w:hAnsi="Times New Roman" w:cs="Times New Roman"/>
          <w:noProof/>
          <w:sz w:val="24"/>
          <w:szCs w:val="24"/>
          <w:lang w:val="en-GB"/>
        </w:rPr>
        <w:footnoteReference w:id="33"/>
      </w:r>
      <w:r w:rsidRPr="0036474B">
        <w:rPr>
          <w:rFonts w:ascii="Times New Roman" w:hAnsi="Times New Roman" w:cs="Times New Roman"/>
          <w:noProof/>
          <w:sz w:val="24"/>
          <w:szCs w:val="24"/>
          <w:lang w:val="en-GB"/>
        </w:rPr>
        <w:t xml:space="preserve"> between 3% and 4%. In the years between 2017 and 2021</w:t>
      </w:r>
      <w:r w:rsidR="605942F6" w:rsidRPr="0036474B">
        <w:rPr>
          <w:rFonts w:ascii="Times New Roman" w:hAnsi="Times New Roman" w:cs="Times New Roman"/>
          <w:noProof/>
          <w:sz w:val="24"/>
          <w:szCs w:val="24"/>
          <w:lang w:val="en-GB"/>
        </w:rPr>
        <w:t>,</w:t>
      </w:r>
      <w:r w:rsidRPr="0036474B">
        <w:rPr>
          <w:rFonts w:ascii="Times New Roman" w:hAnsi="Times New Roman" w:cs="Times New Roman"/>
          <w:noProof/>
          <w:sz w:val="24"/>
          <w:szCs w:val="24"/>
          <w:lang w:val="en-GB"/>
        </w:rPr>
        <w:t xml:space="preserve"> the RoE of the EU banking sector was around 6%, with the exception of 2020 where it stood at 0.5% due to the increase in loan-loss provisions resulting from the C</w:t>
      </w:r>
      <w:r w:rsidR="22563501" w:rsidRPr="0036474B">
        <w:rPr>
          <w:rFonts w:ascii="Times New Roman" w:hAnsi="Times New Roman" w:cs="Times New Roman"/>
          <w:noProof/>
          <w:sz w:val="24"/>
          <w:szCs w:val="24"/>
          <w:lang w:val="en-GB"/>
        </w:rPr>
        <w:t>OVID</w:t>
      </w:r>
      <w:r w:rsidRPr="0036474B">
        <w:rPr>
          <w:rFonts w:ascii="Times New Roman" w:hAnsi="Times New Roman" w:cs="Times New Roman"/>
          <w:noProof/>
          <w:sz w:val="24"/>
          <w:szCs w:val="24"/>
          <w:lang w:val="en-GB"/>
        </w:rPr>
        <w:t xml:space="preserve"> pandemic. </w:t>
      </w:r>
      <w:r w:rsidR="7F0F13EC" w:rsidRPr="0036474B">
        <w:rPr>
          <w:rFonts w:ascii="Times New Roman" w:hAnsi="Times New Roman" w:cs="Times New Roman"/>
          <w:noProof/>
          <w:sz w:val="24"/>
          <w:szCs w:val="24"/>
          <w:lang w:val="en-GB"/>
        </w:rPr>
        <w:t xml:space="preserve">All along these years, </w:t>
      </w:r>
      <w:r w:rsidR="40A5D703" w:rsidRPr="0036474B">
        <w:rPr>
          <w:rFonts w:ascii="Times New Roman" w:hAnsi="Times New Roman" w:cs="Times New Roman"/>
          <w:noProof/>
          <w:sz w:val="24"/>
          <w:szCs w:val="24"/>
          <w:lang w:val="en-GB"/>
        </w:rPr>
        <w:t>the</w:t>
      </w:r>
      <w:r w:rsidR="016DB214" w:rsidRPr="0036474B">
        <w:rPr>
          <w:rFonts w:ascii="Times New Roman" w:hAnsi="Times New Roman" w:cs="Times New Roman"/>
          <w:noProof/>
          <w:sz w:val="24"/>
          <w:szCs w:val="24"/>
          <w:lang w:val="en-GB"/>
        </w:rPr>
        <w:t xml:space="preserve"> RoE </w:t>
      </w:r>
      <w:r w:rsidR="40A5D703" w:rsidRPr="0036474B">
        <w:rPr>
          <w:rFonts w:ascii="Times New Roman" w:hAnsi="Times New Roman" w:cs="Times New Roman"/>
          <w:noProof/>
          <w:sz w:val="24"/>
          <w:szCs w:val="24"/>
          <w:lang w:val="en-GB"/>
        </w:rPr>
        <w:t xml:space="preserve">of EU’s banking sector was </w:t>
      </w:r>
      <w:r w:rsidR="75AA09A4" w:rsidRPr="0036474B">
        <w:rPr>
          <w:rFonts w:ascii="Times New Roman" w:hAnsi="Times New Roman" w:cs="Times New Roman"/>
          <w:noProof/>
          <w:sz w:val="24"/>
          <w:szCs w:val="24"/>
          <w:lang w:val="en-GB"/>
        </w:rPr>
        <w:t xml:space="preserve">below </w:t>
      </w:r>
      <w:r w:rsidR="14DC996D" w:rsidRPr="0036474B">
        <w:rPr>
          <w:rFonts w:ascii="Times New Roman" w:hAnsi="Times New Roman" w:cs="Times New Roman"/>
          <w:noProof/>
          <w:sz w:val="24"/>
          <w:szCs w:val="24"/>
          <w:lang w:val="en-GB"/>
        </w:rPr>
        <w:t>its</w:t>
      </w:r>
      <w:r w:rsidR="75AA09A4" w:rsidRPr="0036474B">
        <w:rPr>
          <w:rFonts w:ascii="Times New Roman" w:hAnsi="Times New Roman" w:cs="Times New Roman"/>
          <w:noProof/>
          <w:sz w:val="24"/>
          <w:szCs w:val="24"/>
          <w:lang w:val="en-GB"/>
        </w:rPr>
        <w:t xml:space="preserve"> </w:t>
      </w:r>
      <w:r w:rsidR="7F0F13EC" w:rsidRPr="0036474B">
        <w:rPr>
          <w:rFonts w:ascii="Times New Roman" w:hAnsi="Times New Roman" w:cs="Times New Roman"/>
          <w:noProof/>
          <w:sz w:val="24"/>
          <w:szCs w:val="24"/>
          <w:lang w:val="en-GB"/>
        </w:rPr>
        <w:t xml:space="preserve">cost of equity </w:t>
      </w:r>
      <w:r w:rsidR="5F4F86A2" w:rsidRPr="0036474B">
        <w:rPr>
          <w:rFonts w:ascii="Times New Roman" w:hAnsi="Times New Roman" w:cs="Times New Roman"/>
          <w:noProof/>
          <w:sz w:val="24"/>
          <w:szCs w:val="24"/>
          <w:lang w:val="en-GB"/>
        </w:rPr>
        <w:t>– meaning t</w:t>
      </w:r>
      <w:r w:rsidR="45649556" w:rsidRPr="0036474B">
        <w:rPr>
          <w:rFonts w:ascii="Times New Roman" w:hAnsi="Times New Roman" w:cs="Times New Roman"/>
          <w:noProof/>
          <w:sz w:val="24"/>
          <w:szCs w:val="24"/>
          <w:lang w:val="en-GB"/>
        </w:rPr>
        <w:t xml:space="preserve">hat EU banks were delivering </w:t>
      </w:r>
      <w:r w:rsidR="7A52160B" w:rsidRPr="0036474B">
        <w:rPr>
          <w:rFonts w:ascii="Times New Roman" w:hAnsi="Times New Roman" w:cs="Times New Roman"/>
          <w:noProof/>
          <w:sz w:val="24"/>
          <w:szCs w:val="24"/>
          <w:lang w:val="en-GB"/>
        </w:rPr>
        <w:t xml:space="preserve">to their investors </w:t>
      </w:r>
      <w:r w:rsidR="4112B538" w:rsidRPr="0036474B">
        <w:rPr>
          <w:rFonts w:ascii="Times New Roman" w:hAnsi="Times New Roman" w:cs="Times New Roman"/>
          <w:noProof/>
          <w:sz w:val="24"/>
          <w:szCs w:val="24"/>
          <w:lang w:val="en-GB"/>
        </w:rPr>
        <w:t>less than the</w:t>
      </w:r>
      <w:r w:rsidR="58DD8252" w:rsidRPr="0036474B">
        <w:rPr>
          <w:rFonts w:ascii="Times New Roman" w:hAnsi="Times New Roman" w:cs="Times New Roman"/>
          <w:noProof/>
          <w:sz w:val="24"/>
          <w:szCs w:val="24"/>
          <w:lang w:val="en-GB"/>
        </w:rPr>
        <w:t>ir expected rate of return</w:t>
      </w:r>
      <w:r w:rsidR="6D635BAC" w:rsidRPr="0036474B">
        <w:rPr>
          <w:rFonts w:ascii="Times New Roman" w:hAnsi="Times New Roman" w:cs="Times New Roman"/>
          <w:noProof/>
          <w:sz w:val="24"/>
          <w:szCs w:val="24"/>
          <w:lang w:val="en-GB"/>
        </w:rPr>
        <w:t>.</w:t>
      </w:r>
      <w:r w:rsidR="4112B538" w:rsidRPr="0036474B">
        <w:rPr>
          <w:rFonts w:ascii="Times New Roman" w:hAnsi="Times New Roman" w:cs="Times New Roman"/>
          <w:noProof/>
          <w:sz w:val="24"/>
          <w:szCs w:val="24"/>
          <w:lang w:val="en-GB"/>
        </w:rPr>
        <w:t xml:space="preserve"> </w:t>
      </w:r>
      <w:r w:rsidRPr="0036474B">
        <w:rPr>
          <w:rFonts w:ascii="Times New Roman" w:hAnsi="Times New Roman" w:cs="Times New Roman"/>
          <w:noProof/>
          <w:sz w:val="24"/>
          <w:szCs w:val="24"/>
          <w:lang w:val="en-GB"/>
        </w:rPr>
        <w:t>Today (as of Q4 2025), the RoE of EU banks stands at 10</w:t>
      </w:r>
      <w:r w:rsidR="00A078A0" w:rsidRPr="0036474B">
        <w:rPr>
          <w:rFonts w:ascii="Times New Roman" w:hAnsi="Times New Roman" w:cs="Times New Roman"/>
          <w:noProof/>
          <w:sz w:val="24"/>
          <w:szCs w:val="24"/>
          <w:lang w:val="en-GB"/>
        </w:rPr>
        <w:t>.</w:t>
      </w:r>
      <w:r w:rsidRPr="0036474B">
        <w:rPr>
          <w:rFonts w:ascii="Times New Roman" w:hAnsi="Times New Roman" w:cs="Times New Roman"/>
          <w:noProof/>
          <w:sz w:val="24"/>
          <w:szCs w:val="24"/>
          <w:lang w:val="en-GB"/>
        </w:rPr>
        <w:t>5%, which is in line with the performance of 2024 and 2023 (10</w:t>
      </w:r>
      <w:r w:rsidR="00A078A0" w:rsidRPr="0036474B">
        <w:rPr>
          <w:rFonts w:ascii="Times New Roman" w:hAnsi="Times New Roman" w:cs="Times New Roman"/>
          <w:noProof/>
          <w:sz w:val="24"/>
          <w:szCs w:val="24"/>
          <w:lang w:val="en-GB"/>
        </w:rPr>
        <w:t>.</w:t>
      </w:r>
      <w:r w:rsidRPr="0036474B">
        <w:rPr>
          <w:rFonts w:ascii="Times New Roman" w:hAnsi="Times New Roman" w:cs="Times New Roman"/>
          <w:noProof/>
          <w:sz w:val="24"/>
          <w:szCs w:val="24"/>
          <w:lang w:val="en-GB"/>
        </w:rPr>
        <w:t>5% and 10</w:t>
      </w:r>
      <w:r w:rsidR="00A078A0" w:rsidRPr="0036474B">
        <w:rPr>
          <w:rFonts w:ascii="Times New Roman" w:hAnsi="Times New Roman" w:cs="Times New Roman"/>
          <w:noProof/>
          <w:sz w:val="24"/>
          <w:szCs w:val="24"/>
          <w:lang w:val="en-GB"/>
        </w:rPr>
        <w:t>.</w:t>
      </w:r>
      <w:r w:rsidRPr="0036474B">
        <w:rPr>
          <w:rFonts w:ascii="Times New Roman" w:hAnsi="Times New Roman" w:cs="Times New Roman"/>
          <w:noProof/>
          <w:sz w:val="24"/>
          <w:szCs w:val="24"/>
          <w:lang w:val="en-GB"/>
        </w:rPr>
        <w:t>4%, respectively). Hence, EU banks’ profitability is a</w:t>
      </w:r>
      <w:r w:rsidRPr="0036474B">
        <w:rPr>
          <w:rFonts w:ascii="Times New Roman" w:hAnsi="Times New Roman" w:cs="Times New Roman"/>
          <w:noProof/>
          <w:sz w:val="24"/>
          <w:szCs w:val="24"/>
        </w:rPr>
        <w:t>t record highs, with earnings surpassing pre-2008 financial crisis peaks</w:t>
      </w:r>
      <w:r w:rsidR="00870B5C">
        <w:rPr>
          <w:rStyle w:val="FootnoteReference"/>
          <w:rFonts w:ascii="Times New Roman" w:hAnsi="Times New Roman" w:cs="Times New Roman"/>
          <w:noProof/>
          <w:sz w:val="24"/>
          <w:szCs w:val="24"/>
        </w:rPr>
        <w:footnoteReference w:id="34"/>
      </w:r>
      <w:r w:rsidRPr="0036474B">
        <w:rPr>
          <w:rFonts w:ascii="Times New Roman" w:hAnsi="Times New Roman" w:cs="Times New Roman"/>
          <w:noProof/>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66"/>
        <w:gridCol w:w="2560"/>
      </w:tblGrid>
      <w:tr w:rsidR="00DD6249" w:rsidRPr="00064CC0" w14:paraId="0D83266A" w14:textId="77777777" w:rsidTr="4EB84919">
        <w:tc>
          <w:tcPr>
            <w:tcW w:w="4508" w:type="dxa"/>
          </w:tcPr>
          <w:p w14:paraId="4919EB64" w14:textId="77777777" w:rsidR="00DD6249" w:rsidRPr="0036474B" w:rsidRDefault="00167E63" w:rsidP="00541EE5">
            <w:pPr>
              <w:keepNext/>
              <w:jc w:val="both"/>
              <w:rPr>
                <w:rFonts w:ascii="Times New Roman" w:hAnsi="Times New Roman" w:cs="Times New Roman"/>
                <w:i/>
                <w:iCs/>
                <w:noProof/>
                <w:sz w:val="24"/>
                <w:szCs w:val="24"/>
              </w:rPr>
            </w:pPr>
            <w:r w:rsidRPr="0036474B">
              <w:rPr>
                <w:rFonts w:ascii="Times New Roman" w:hAnsi="Times New Roman" w:cs="Times New Roman"/>
                <w:i/>
                <w:iCs/>
                <w:noProof/>
                <w:sz w:val="24"/>
                <w:szCs w:val="24"/>
                <w:lang w:val="en-GB" w:eastAsia="en-GB"/>
              </w:rPr>
              <w:drawing>
                <wp:inline distT="0" distB="0" distL="0" distR="0" wp14:anchorId="62166D6F" wp14:editId="2B9E9B5C">
                  <wp:extent cx="3968750" cy="3072765"/>
                  <wp:effectExtent l="0" t="0" r="0" b="0"/>
                  <wp:docPr id="3136401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68750" cy="3072765"/>
                          </a:xfrm>
                          <a:prstGeom prst="rect">
                            <a:avLst/>
                          </a:prstGeom>
                          <a:noFill/>
                        </pic:spPr>
                      </pic:pic>
                    </a:graphicData>
                  </a:graphic>
                </wp:inline>
              </w:drawing>
            </w:r>
          </w:p>
          <w:p w14:paraId="05F99548" w14:textId="7EBAE140" w:rsidR="00336520" w:rsidRPr="0036474B" w:rsidRDefault="00336520" w:rsidP="00541EE5">
            <w:pPr>
              <w:keepNext/>
              <w:jc w:val="both"/>
              <w:rPr>
                <w:rFonts w:ascii="Times New Roman" w:hAnsi="Times New Roman" w:cs="Times New Roman"/>
                <w:i/>
                <w:iCs/>
                <w:noProof/>
                <w:sz w:val="24"/>
                <w:szCs w:val="24"/>
              </w:rPr>
            </w:pPr>
          </w:p>
        </w:tc>
        <w:tc>
          <w:tcPr>
            <w:tcW w:w="4508" w:type="dxa"/>
          </w:tcPr>
          <w:p w14:paraId="32B2693F" w14:textId="3B6D3A7C" w:rsidR="00DD6249" w:rsidRPr="0036474B" w:rsidRDefault="004E161A" w:rsidP="00541EE5">
            <w:pPr>
              <w:keepNext/>
              <w:jc w:val="both"/>
              <w:rPr>
                <w:rFonts w:ascii="Times New Roman" w:hAnsi="Times New Roman" w:cs="Times New Roman"/>
                <w:i/>
                <w:iCs/>
                <w:noProof/>
                <w:sz w:val="24"/>
                <w:szCs w:val="24"/>
              </w:rPr>
            </w:pPr>
            <w:r w:rsidRPr="0036474B">
              <w:rPr>
                <w:rFonts w:ascii="Times New Roman" w:hAnsi="Times New Roman" w:cs="Times New Roman"/>
                <w:i/>
                <w:iCs/>
                <w:noProof/>
                <w:sz w:val="24"/>
                <w:szCs w:val="24"/>
              </w:rPr>
              <w:t xml:space="preserve">Figure </w:t>
            </w:r>
            <w:r w:rsidR="003F70CA">
              <w:rPr>
                <w:rFonts w:ascii="Times New Roman" w:hAnsi="Times New Roman" w:cs="Times New Roman"/>
                <w:i/>
                <w:iCs/>
                <w:noProof/>
                <w:sz w:val="24"/>
                <w:szCs w:val="24"/>
              </w:rPr>
              <w:t>1</w:t>
            </w:r>
            <w:r w:rsidR="00DD3428">
              <w:rPr>
                <w:rFonts w:ascii="Times New Roman" w:hAnsi="Times New Roman" w:cs="Times New Roman"/>
                <w:i/>
                <w:iCs/>
                <w:noProof/>
                <w:sz w:val="24"/>
                <w:szCs w:val="24"/>
              </w:rPr>
              <w:t>0</w:t>
            </w:r>
            <w:r w:rsidR="003F70CA" w:rsidRPr="0036474B">
              <w:rPr>
                <w:rFonts w:ascii="Times New Roman" w:hAnsi="Times New Roman" w:cs="Times New Roman"/>
                <w:i/>
                <w:iCs/>
                <w:noProof/>
                <w:sz w:val="24"/>
                <w:szCs w:val="24"/>
              </w:rPr>
              <w:t xml:space="preserve"> </w:t>
            </w:r>
            <w:r w:rsidRPr="0036474B">
              <w:rPr>
                <w:rFonts w:ascii="Times New Roman" w:hAnsi="Times New Roman" w:cs="Times New Roman"/>
                <w:i/>
                <w:iCs/>
                <w:noProof/>
                <w:sz w:val="24"/>
                <w:szCs w:val="24"/>
              </w:rPr>
              <w:t xml:space="preserve">– </w:t>
            </w:r>
            <w:r w:rsidR="009D6562" w:rsidRPr="0036474B">
              <w:rPr>
                <w:rFonts w:ascii="Times New Roman" w:hAnsi="Times New Roman" w:cs="Times New Roman"/>
                <w:i/>
                <w:iCs/>
                <w:noProof/>
                <w:sz w:val="24"/>
                <w:szCs w:val="24"/>
              </w:rPr>
              <w:t>Return on equity</w:t>
            </w:r>
            <w:r w:rsidR="00F97846" w:rsidRPr="0036474B">
              <w:rPr>
                <w:rFonts w:ascii="Times New Roman" w:hAnsi="Times New Roman" w:cs="Times New Roman"/>
                <w:i/>
                <w:iCs/>
                <w:noProof/>
                <w:sz w:val="24"/>
                <w:szCs w:val="24"/>
              </w:rPr>
              <w:t xml:space="preserve"> (in percentage points)</w:t>
            </w:r>
            <w:r w:rsidRPr="0036474B">
              <w:rPr>
                <w:rFonts w:ascii="Times New Roman" w:hAnsi="Times New Roman" w:cs="Times New Roman"/>
                <w:i/>
                <w:iCs/>
                <w:noProof/>
                <w:sz w:val="24"/>
                <w:szCs w:val="24"/>
              </w:rPr>
              <w:t xml:space="preserve"> of EU banks, SSM Sis and EU G-SIBs. </w:t>
            </w:r>
          </w:p>
          <w:p w14:paraId="449E9877" w14:textId="77777777" w:rsidR="003F70CA" w:rsidRDefault="003F70CA" w:rsidP="00541EE5">
            <w:pPr>
              <w:keepNext/>
              <w:jc w:val="both"/>
              <w:rPr>
                <w:rFonts w:ascii="Times New Roman" w:hAnsi="Times New Roman" w:cs="Times New Roman"/>
                <w:i/>
                <w:iCs/>
                <w:noProof/>
                <w:sz w:val="24"/>
                <w:szCs w:val="24"/>
              </w:rPr>
            </w:pPr>
          </w:p>
          <w:p w14:paraId="52E09A0F" w14:textId="4605CC02" w:rsidR="009D6562" w:rsidRPr="0036474B" w:rsidRDefault="009D6562" w:rsidP="00541EE5">
            <w:pPr>
              <w:keepNext/>
              <w:jc w:val="both"/>
              <w:rPr>
                <w:rFonts w:ascii="Times New Roman" w:hAnsi="Times New Roman" w:cs="Times New Roman"/>
                <w:i/>
                <w:iCs/>
                <w:noProof/>
                <w:sz w:val="24"/>
                <w:szCs w:val="24"/>
              </w:rPr>
            </w:pPr>
            <w:r w:rsidRPr="0036474B">
              <w:rPr>
                <w:rFonts w:ascii="Times New Roman" w:hAnsi="Times New Roman" w:cs="Times New Roman"/>
                <w:i/>
                <w:iCs/>
                <w:noProof/>
                <w:sz w:val="24"/>
                <w:szCs w:val="24"/>
              </w:rPr>
              <w:t>Source: ECB, EBA</w:t>
            </w:r>
          </w:p>
        </w:tc>
      </w:tr>
      <w:tr w:rsidR="00DD6249" w:rsidRPr="00064CC0" w14:paraId="6A75AD85" w14:textId="77777777" w:rsidTr="4EB84919">
        <w:tc>
          <w:tcPr>
            <w:tcW w:w="4508" w:type="dxa"/>
          </w:tcPr>
          <w:p w14:paraId="7B6578BC" w14:textId="30AA37AC" w:rsidR="00DD6249" w:rsidRPr="0036474B" w:rsidRDefault="00336520" w:rsidP="00541EE5">
            <w:pPr>
              <w:keepNext/>
              <w:jc w:val="both"/>
              <w:rPr>
                <w:rFonts w:ascii="Times New Roman" w:hAnsi="Times New Roman" w:cs="Times New Roman"/>
                <w:noProof/>
                <w:sz w:val="24"/>
                <w:szCs w:val="24"/>
              </w:rPr>
            </w:pPr>
            <w:r w:rsidRPr="0036474B">
              <w:rPr>
                <w:rFonts w:ascii="Times New Roman" w:hAnsi="Times New Roman" w:cs="Times New Roman"/>
                <w:noProof/>
                <w:sz w:val="24"/>
                <w:szCs w:val="24"/>
                <w:lang w:val="en-GB" w:eastAsia="en-GB"/>
              </w:rPr>
              <w:drawing>
                <wp:inline distT="0" distB="0" distL="0" distR="0" wp14:anchorId="0D268DC4" wp14:editId="1B19483C">
                  <wp:extent cx="3943900" cy="2857899"/>
                  <wp:effectExtent l="0" t="0" r="0" b="0"/>
                  <wp:docPr id="1859967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967068" name=""/>
                          <pic:cNvPicPr/>
                        </pic:nvPicPr>
                        <pic:blipFill>
                          <a:blip r:embed="rId27"/>
                          <a:stretch>
                            <a:fillRect/>
                          </a:stretch>
                        </pic:blipFill>
                        <pic:spPr>
                          <a:xfrm>
                            <a:off x="0" y="0"/>
                            <a:ext cx="3943900" cy="2857899"/>
                          </a:xfrm>
                          <a:prstGeom prst="rect">
                            <a:avLst/>
                          </a:prstGeom>
                        </pic:spPr>
                      </pic:pic>
                    </a:graphicData>
                  </a:graphic>
                </wp:inline>
              </w:drawing>
            </w:r>
          </w:p>
        </w:tc>
        <w:tc>
          <w:tcPr>
            <w:tcW w:w="4508" w:type="dxa"/>
          </w:tcPr>
          <w:p w14:paraId="77F81406" w14:textId="77777777" w:rsidR="00336520" w:rsidRPr="0036474B" w:rsidRDefault="00336520" w:rsidP="00C7659E">
            <w:pPr>
              <w:keepNext/>
              <w:jc w:val="both"/>
              <w:rPr>
                <w:rFonts w:ascii="Times New Roman" w:hAnsi="Times New Roman" w:cs="Times New Roman"/>
                <w:i/>
                <w:iCs/>
                <w:noProof/>
                <w:sz w:val="24"/>
                <w:szCs w:val="24"/>
              </w:rPr>
            </w:pPr>
          </w:p>
          <w:p w14:paraId="72E15475" w14:textId="2FD914CA" w:rsidR="00216ADD" w:rsidRPr="0036474B" w:rsidRDefault="1B1A522F" w:rsidP="00C7659E">
            <w:pPr>
              <w:keepNext/>
              <w:jc w:val="both"/>
              <w:rPr>
                <w:rFonts w:ascii="Times New Roman" w:hAnsi="Times New Roman" w:cs="Times New Roman"/>
                <w:i/>
                <w:iCs/>
                <w:noProof/>
                <w:sz w:val="24"/>
                <w:szCs w:val="24"/>
              </w:rPr>
            </w:pPr>
            <w:r w:rsidRPr="4EB84919">
              <w:rPr>
                <w:rFonts w:ascii="Times New Roman" w:hAnsi="Times New Roman" w:cs="Times New Roman"/>
                <w:i/>
                <w:iCs/>
                <w:noProof/>
                <w:sz w:val="24"/>
                <w:szCs w:val="24"/>
              </w:rPr>
              <w:t xml:space="preserve">Figure </w:t>
            </w:r>
            <w:r w:rsidR="003F70CA">
              <w:rPr>
                <w:rFonts w:ascii="Times New Roman" w:hAnsi="Times New Roman" w:cs="Times New Roman"/>
                <w:i/>
                <w:iCs/>
                <w:noProof/>
                <w:sz w:val="24"/>
                <w:szCs w:val="24"/>
              </w:rPr>
              <w:t>1</w:t>
            </w:r>
            <w:r w:rsidR="00DD3428">
              <w:rPr>
                <w:rFonts w:ascii="Times New Roman" w:hAnsi="Times New Roman" w:cs="Times New Roman"/>
                <w:i/>
                <w:iCs/>
                <w:noProof/>
                <w:sz w:val="24"/>
                <w:szCs w:val="24"/>
              </w:rPr>
              <w:t>1</w:t>
            </w:r>
            <w:r w:rsidR="003F70CA" w:rsidRPr="4EB84919">
              <w:rPr>
                <w:rFonts w:ascii="Times New Roman" w:hAnsi="Times New Roman" w:cs="Times New Roman"/>
                <w:i/>
                <w:iCs/>
                <w:noProof/>
                <w:sz w:val="24"/>
                <w:szCs w:val="24"/>
              </w:rPr>
              <w:t xml:space="preserve"> </w:t>
            </w:r>
            <w:r w:rsidRPr="4EB84919">
              <w:rPr>
                <w:rFonts w:ascii="Times New Roman" w:hAnsi="Times New Roman" w:cs="Times New Roman"/>
                <w:i/>
                <w:iCs/>
                <w:noProof/>
                <w:sz w:val="24"/>
                <w:szCs w:val="24"/>
              </w:rPr>
              <w:t xml:space="preserve">– Return on equity and cost of equity </w:t>
            </w:r>
            <w:r w:rsidR="6A4C0B6A" w:rsidRPr="4EB84919">
              <w:rPr>
                <w:rFonts w:ascii="Times New Roman" w:hAnsi="Times New Roman" w:cs="Times New Roman"/>
                <w:i/>
                <w:iCs/>
                <w:noProof/>
                <w:sz w:val="24"/>
                <w:szCs w:val="24"/>
              </w:rPr>
              <w:t xml:space="preserve">(in percentage points) </w:t>
            </w:r>
            <w:r w:rsidRPr="4EB84919">
              <w:rPr>
                <w:rFonts w:ascii="Times New Roman" w:hAnsi="Times New Roman" w:cs="Times New Roman"/>
                <w:i/>
                <w:iCs/>
                <w:noProof/>
                <w:sz w:val="24"/>
                <w:szCs w:val="24"/>
              </w:rPr>
              <w:t xml:space="preserve">of listed euro area banks. </w:t>
            </w:r>
            <w:r w:rsidR="3E86C4BE" w:rsidRPr="4EB84919">
              <w:rPr>
                <w:rFonts w:ascii="Times New Roman" w:hAnsi="Times New Roman" w:cs="Times New Roman"/>
                <w:i/>
                <w:iCs/>
                <w:noProof/>
                <w:sz w:val="24"/>
                <w:szCs w:val="24"/>
              </w:rPr>
              <w:t>The cost of equity of euro area banks is estimated based on Altavilla et al</w:t>
            </w:r>
            <w:r w:rsidR="42BB4E01" w:rsidRPr="4EB84919">
              <w:rPr>
                <w:rFonts w:ascii="Times New Roman" w:hAnsi="Times New Roman" w:cs="Times New Roman"/>
                <w:i/>
                <w:iCs/>
                <w:noProof/>
                <w:sz w:val="24"/>
                <w:szCs w:val="24"/>
              </w:rPr>
              <w:t xml:space="preserve"> (2021)</w:t>
            </w:r>
            <w:r w:rsidR="00057B1E" w:rsidRPr="4EB84919">
              <w:rPr>
                <w:rStyle w:val="FootnoteReference"/>
                <w:rFonts w:ascii="Times New Roman" w:hAnsi="Times New Roman" w:cs="Times New Roman"/>
                <w:i/>
                <w:iCs/>
                <w:noProof/>
                <w:sz w:val="24"/>
                <w:szCs w:val="24"/>
              </w:rPr>
              <w:footnoteReference w:id="35"/>
            </w:r>
            <w:r w:rsidR="3D10D6AE" w:rsidRPr="4EB84919">
              <w:rPr>
                <w:rFonts w:ascii="Times New Roman" w:hAnsi="Times New Roman" w:cs="Times New Roman"/>
                <w:i/>
                <w:iCs/>
                <w:noProof/>
                <w:sz w:val="24"/>
                <w:szCs w:val="24"/>
              </w:rPr>
              <w:t>.</w:t>
            </w:r>
          </w:p>
          <w:p w14:paraId="2D7B1C72" w14:textId="77777777" w:rsidR="003F70CA" w:rsidRDefault="003F70CA" w:rsidP="00C7659E">
            <w:pPr>
              <w:keepNext/>
              <w:jc w:val="both"/>
              <w:rPr>
                <w:rFonts w:ascii="Times New Roman" w:hAnsi="Times New Roman" w:cs="Times New Roman"/>
                <w:i/>
                <w:iCs/>
                <w:noProof/>
                <w:sz w:val="24"/>
                <w:szCs w:val="24"/>
              </w:rPr>
            </w:pPr>
          </w:p>
          <w:p w14:paraId="479F2A03" w14:textId="562F4210" w:rsidR="000E5376" w:rsidRPr="0036474B" w:rsidRDefault="000E5376" w:rsidP="00C7659E">
            <w:pPr>
              <w:keepNext/>
              <w:jc w:val="both"/>
              <w:rPr>
                <w:rFonts w:ascii="Times New Roman" w:hAnsi="Times New Roman" w:cs="Times New Roman"/>
                <w:i/>
                <w:iCs/>
                <w:noProof/>
                <w:sz w:val="24"/>
                <w:szCs w:val="24"/>
              </w:rPr>
            </w:pPr>
            <w:r w:rsidRPr="0036474B">
              <w:rPr>
                <w:rFonts w:ascii="Times New Roman" w:hAnsi="Times New Roman" w:cs="Times New Roman"/>
                <w:i/>
                <w:iCs/>
                <w:noProof/>
                <w:sz w:val="24"/>
                <w:szCs w:val="24"/>
              </w:rPr>
              <w:t>Source: ECB</w:t>
            </w:r>
          </w:p>
          <w:p w14:paraId="7ED5C864" w14:textId="73A743CF" w:rsidR="00DD6249" w:rsidRPr="0036474B" w:rsidRDefault="00DD6249" w:rsidP="00541EE5">
            <w:pPr>
              <w:keepNext/>
              <w:jc w:val="both"/>
              <w:rPr>
                <w:rFonts w:ascii="Times New Roman" w:hAnsi="Times New Roman" w:cs="Times New Roman"/>
                <w:noProof/>
                <w:sz w:val="24"/>
                <w:szCs w:val="24"/>
              </w:rPr>
            </w:pPr>
          </w:p>
        </w:tc>
      </w:tr>
    </w:tbl>
    <w:p w14:paraId="18400E5E" w14:textId="77777777" w:rsidR="00541EE5" w:rsidRPr="0036474B" w:rsidRDefault="00541EE5" w:rsidP="00541EE5">
      <w:pPr>
        <w:rPr>
          <w:rFonts w:ascii="Times New Roman" w:hAnsi="Times New Roman" w:cs="Times New Roman"/>
          <w:noProof/>
          <w:sz w:val="24"/>
          <w:szCs w:val="24"/>
        </w:rPr>
      </w:pPr>
    </w:p>
    <w:p w14:paraId="30243FA7" w14:textId="118BDCC6" w:rsidR="00541EE5" w:rsidRPr="0036474B" w:rsidRDefault="000576E7" w:rsidP="00541EE5">
      <w:pPr>
        <w:jc w:val="both"/>
        <w:rPr>
          <w:rFonts w:ascii="Times New Roman" w:hAnsi="Times New Roman" w:cs="Times New Roman"/>
          <w:b/>
          <w:bCs/>
          <w:i/>
          <w:iCs/>
          <w:noProof/>
          <w:sz w:val="24"/>
          <w:szCs w:val="24"/>
          <w:lang w:val="en-GB"/>
        </w:rPr>
      </w:pPr>
      <w:r w:rsidRPr="0036474B">
        <w:rPr>
          <w:rFonts w:ascii="Times New Roman" w:hAnsi="Times New Roman" w:cs="Times New Roman"/>
          <w:b/>
          <w:bCs/>
          <w:i/>
          <w:iCs/>
          <w:noProof/>
          <w:sz w:val="24"/>
          <w:szCs w:val="24"/>
          <w:lang w:val="en-GB"/>
        </w:rPr>
        <w:t>I</w:t>
      </w:r>
      <w:r w:rsidR="00541EE5" w:rsidRPr="0036474B">
        <w:rPr>
          <w:rFonts w:ascii="Times New Roman" w:hAnsi="Times New Roman" w:cs="Times New Roman"/>
          <w:b/>
          <w:bCs/>
          <w:i/>
          <w:iCs/>
          <w:noProof/>
          <w:sz w:val="24"/>
          <w:szCs w:val="24"/>
          <w:lang w:val="en-GB"/>
        </w:rPr>
        <w:t>nterest income dynamics</w:t>
      </w:r>
    </w:p>
    <w:p w14:paraId="336B1967" w14:textId="1E60D7FB" w:rsidR="00541EE5" w:rsidRPr="0036474B" w:rsidRDefault="00541EE5" w:rsidP="00541EE5">
      <w:pPr>
        <w:jc w:val="both"/>
        <w:rPr>
          <w:rFonts w:ascii="Times New Roman" w:hAnsi="Times New Roman" w:cs="Times New Roman"/>
          <w:noProof/>
          <w:sz w:val="24"/>
          <w:szCs w:val="24"/>
          <w:lang w:val="en-GB"/>
        </w:rPr>
      </w:pPr>
      <w:r w:rsidRPr="0036474B">
        <w:rPr>
          <w:rFonts w:ascii="Times New Roman" w:hAnsi="Times New Roman" w:cs="Times New Roman"/>
          <w:b/>
          <w:bCs/>
          <w:noProof/>
          <w:sz w:val="24"/>
          <w:szCs w:val="24"/>
          <w:lang w:val="en-GB"/>
        </w:rPr>
        <w:t xml:space="preserve">The trajectory of net interest income (NII) over the past three years (2022 to 2025) has been the dominant driver of the remarkable improvement in </w:t>
      </w:r>
      <w:r w:rsidR="00AF7535" w:rsidRPr="0036474B">
        <w:rPr>
          <w:rFonts w:ascii="Times New Roman" w:hAnsi="Times New Roman" w:cs="Times New Roman"/>
          <w:b/>
          <w:bCs/>
          <w:noProof/>
          <w:sz w:val="24"/>
          <w:szCs w:val="24"/>
          <w:lang w:val="en-GB"/>
        </w:rPr>
        <w:t>E</w:t>
      </w:r>
      <w:r w:rsidR="00097F1A" w:rsidRPr="0036474B">
        <w:rPr>
          <w:rFonts w:ascii="Times New Roman" w:hAnsi="Times New Roman" w:cs="Times New Roman"/>
          <w:b/>
          <w:bCs/>
          <w:noProof/>
          <w:sz w:val="24"/>
          <w:szCs w:val="24"/>
          <w:lang w:val="en-GB"/>
        </w:rPr>
        <w:t>U</w:t>
      </w:r>
      <w:r w:rsidRPr="0036474B">
        <w:rPr>
          <w:rFonts w:ascii="Times New Roman" w:hAnsi="Times New Roman" w:cs="Times New Roman"/>
          <w:b/>
          <w:bCs/>
          <w:noProof/>
          <w:sz w:val="24"/>
          <w:szCs w:val="24"/>
          <w:lang w:val="en-GB"/>
        </w:rPr>
        <w:t xml:space="preserve"> bank</w:t>
      </w:r>
      <w:r w:rsidR="00097F1A" w:rsidRPr="0036474B">
        <w:rPr>
          <w:rFonts w:ascii="Times New Roman" w:hAnsi="Times New Roman" w:cs="Times New Roman"/>
          <w:b/>
          <w:bCs/>
          <w:noProof/>
          <w:sz w:val="24"/>
          <w:szCs w:val="24"/>
          <w:lang w:val="en-GB"/>
        </w:rPr>
        <w:t>s’</w:t>
      </w:r>
      <w:r w:rsidRPr="0036474B">
        <w:rPr>
          <w:rFonts w:ascii="Times New Roman" w:hAnsi="Times New Roman" w:cs="Times New Roman"/>
          <w:b/>
          <w:bCs/>
          <w:noProof/>
          <w:sz w:val="24"/>
          <w:szCs w:val="24"/>
          <w:lang w:val="en-GB"/>
        </w:rPr>
        <w:t xml:space="preserve"> profitability</w:t>
      </w:r>
      <w:r w:rsidRPr="0036474B">
        <w:rPr>
          <w:rFonts w:ascii="Times New Roman" w:hAnsi="Times New Roman" w:cs="Times New Roman"/>
          <w:noProof/>
          <w:sz w:val="24"/>
          <w:szCs w:val="24"/>
          <w:lang w:val="en-GB"/>
        </w:rPr>
        <w:t xml:space="preserve">. Net interest income is a key component of EU banks’ revenue structure as it accounts for 50% to 60% of the EU banking sector’s total income. As a response to the inflation spike that took off at the end 2021, the ECB </w:t>
      </w:r>
      <w:r w:rsidR="000F02D4" w:rsidRPr="0036474B">
        <w:rPr>
          <w:rFonts w:ascii="Times New Roman" w:hAnsi="Times New Roman" w:cs="Times New Roman"/>
          <w:noProof/>
          <w:sz w:val="24"/>
          <w:szCs w:val="24"/>
          <w:lang w:val="en-GB"/>
        </w:rPr>
        <w:t>(together with other EU central banks)</w:t>
      </w:r>
      <w:r w:rsidRPr="0036474B">
        <w:rPr>
          <w:rFonts w:ascii="Times New Roman" w:hAnsi="Times New Roman" w:cs="Times New Roman"/>
          <w:noProof/>
          <w:sz w:val="24"/>
          <w:szCs w:val="24"/>
          <w:lang w:val="en-GB"/>
        </w:rPr>
        <w:t xml:space="preserve"> rapidly increase</w:t>
      </w:r>
      <w:r w:rsidR="739754EB" w:rsidRPr="0036474B">
        <w:rPr>
          <w:rFonts w:ascii="Times New Roman" w:hAnsi="Times New Roman" w:cs="Times New Roman"/>
          <w:noProof/>
          <w:sz w:val="24"/>
          <w:szCs w:val="24"/>
          <w:lang w:val="en-GB"/>
        </w:rPr>
        <w:t>d</w:t>
      </w:r>
      <w:r w:rsidRPr="0036474B">
        <w:rPr>
          <w:rFonts w:ascii="Times New Roman" w:hAnsi="Times New Roman" w:cs="Times New Roman"/>
          <w:noProof/>
          <w:sz w:val="24"/>
          <w:szCs w:val="24"/>
          <w:lang w:val="en-GB"/>
        </w:rPr>
        <w:t xml:space="preserve"> its key interest rates in the attempt to tame inflation. The monetary policy tightening cycle that began in 2022 delivered a substantial boost to NII, as lending rates repriced upward faster than deposit remuneration, enhancing EU banks’ net interest margin – see Figure </w:t>
      </w:r>
      <w:r w:rsidR="0040777F">
        <w:rPr>
          <w:rFonts w:ascii="Times New Roman" w:hAnsi="Times New Roman" w:cs="Times New Roman"/>
          <w:noProof/>
          <w:sz w:val="24"/>
          <w:szCs w:val="24"/>
          <w:lang w:val="en-GB"/>
        </w:rPr>
        <w:t>1</w:t>
      </w:r>
      <w:r w:rsidR="00DD3428">
        <w:rPr>
          <w:rFonts w:ascii="Times New Roman" w:hAnsi="Times New Roman" w:cs="Times New Roman"/>
          <w:noProof/>
          <w:sz w:val="24"/>
          <w:szCs w:val="24"/>
          <w:lang w:val="en-GB"/>
        </w:rPr>
        <w:t>2</w:t>
      </w:r>
      <w:r w:rsidRPr="0036474B">
        <w:rPr>
          <w:rFonts w:ascii="Times New Roman" w:hAnsi="Times New Roman" w:cs="Times New Roman"/>
          <w:noProof/>
          <w:sz w:val="24"/>
          <w:szCs w:val="24"/>
          <w:lang w:val="en-GB"/>
        </w:rPr>
        <w:t>. Looking in detail, the enhancement of interest margin can be observed driving the increase in NII since the start of 2022, as the banking sector was anticipating a monetary policy tightening that started in July 2022.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1"/>
        <w:gridCol w:w="2215"/>
      </w:tblGrid>
      <w:tr w:rsidR="00432EDF" w:rsidRPr="00064CC0" w14:paraId="3D93E919" w14:textId="751E9B50" w:rsidTr="00432EDF">
        <w:tc>
          <w:tcPr>
            <w:tcW w:w="6801" w:type="dxa"/>
          </w:tcPr>
          <w:p w14:paraId="2EBA5677" w14:textId="77777777" w:rsidR="00432EDF" w:rsidRPr="0036474B" w:rsidRDefault="00432EDF">
            <w:pPr>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eastAsia="en-GB"/>
              </w:rPr>
              <w:drawing>
                <wp:inline distT="0" distB="0" distL="0" distR="0" wp14:anchorId="7C3F8F6F" wp14:editId="60751B56">
                  <wp:extent cx="4181475" cy="3084208"/>
                  <wp:effectExtent l="0" t="0" r="0" b="1905"/>
                  <wp:docPr id="192934377" name="Picture 4" descr="Chart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hart 1, Chart elemen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86467" cy="3087890"/>
                          </a:xfrm>
                          <a:prstGeom prst="rect">
                            <a:avLst/>
                          </a:prstGeom>
                          <a:noFill/>
                          <a:ln>
                            <a:noFill/>
                          </a:ln>
                        </pic:spPr>
                      </pic:pic>
                    </a:graphicData>
                  </a:graphic>
                </wp:inline>
              </w:drawing>
            </w:r>
          </w:p>
        </w:tc>
        <w:tc>
          <w:tcPr>
            <w:tcW w:w="2215" w:type="dxa"/>
          </w:tcPr>
          <w:p w14:paraId="4C1DA960" w14:textId="77777777" w:rsidR="00432EDF" w:rsidRPr="0036474B" w:rsidRDefault="00432EDF">
            <w:pPr>
              <w:jc w:val="both"/>
              <w:rPr>
                <w:rFonts w:ascii="Times New Roman" w:hAnsi="Times New Roman" w:cs="Times New Roman"/>
                <w:i/>
                <w:iCs/>
                <w:noProof/>
                <w:sz w:val="24"/>
                <w:szCs w:val="24"/>
              </w:rPr>
            </w:pPr>
          </w:p>
          <w:p w14:paraId="51480D3C" w14:textId="759F5878" w:rsidR="003F70CA" w:rsidRPr="00E6181B" w:rsidRDefault="003F70CA" w:rsidP="003F70CA">
            <w:pPr>
              <w:pStyle w:val="Caption"/>
              <w:keepNext/>
              <w:jc w:val="both"/>
              <w:rPr>
                <w:rFonts w:ascii="Times New Roman" w:hAnsi="Times New Roman" w:cs="Times New Roman"/>
                <w:noProof/>
                <w:color w:val="auto"/>
                <w:sz w:val="24"/>
                <w:szCs w:val="24"/>
              </w:rPr>
            </w:pPr>
            <w:r w:rsidRPr="00E6181B">
              <w:rPr>
                <w:rFonts w:ascii="Times New Roman" w:hAnsi="Times New Roman" w:cs="Times New Roman"/>
                <w:noProof/>
                <w:color w:val="auto"/>
                <w:sz w:val="24"/>
                <w:szCs w:val="24"/>
              </w:rPr>
              <w:t xml:space="preserve">Figure </w:t>
            </w:r>
            <w:r w:rsidR="00EB50F5">
              <w:rPr>
                <w:rFonts w:ascii="Times New Roman" w:hAnsi="Times New Roman" w:cs="Times New Roman"/>
                <w:noProof/>
                <w:color w:val="auto"/>
                <w:sz w:val="24"/>
                <w:szCs w:val="24"/>
              </w:rPr>
              <w:t>1</w:t>
            </w:r>
            <w:r w:rsidR="00DD3428">
              <w:rPr>
                <w:rFonts w:ascii="Times New Roman" w:hAnsi="Times New Roman" w:cs="Times New Roman"/>
                <w:noProof/>
                <w:color w:val="auto"/>
                <w:sz w:val="24"/>
                <w:szCs w:val="24"/>
              </w:rPr>
              <w:t>2</w:t>
            </w:r>
            <w:r w:rsidRPr="00E6181B">
              <w:rPr>
                <w:rFonts w:ascii="Times New Roman" w:hAnsi="Times New Roman" w:cs="Times New Roman"/>
                <w:noProof/>
                <w:color w:val="auto"/>
                <w:sz w:val="24"/>
                <w:szCs w:val="24"/>
              </w:rPr>
              <w:t xml:space="preserve"> - Net interest income (NII) dynamics.</w:t>
            </w:r>
          </w:p>
          <w:p w14:paraId="32394C44" w14:textId="509FC30F" w:rsidR="00432EDF" w:rsidRPr="0036474B" w:rsidRDefault="00432EDF" w:rsidP="00432EDF">
            <w:pPr>
              <w:jc w:val="both"/>
              <w:rPr>
                <w:rFonts w:ascii="Times New Roman" w:hAnsi="Times New Roman" w:cs="Times New Roman"/>
                <w:i/>
                <w:iCs/>
                <w:noProof/>
                <w:sz w:val="24"/>
                <w:szCs w:val="24"/>
              </w:rPr>
            </w:pPr>
            <w:r w:rsidRPr="0036474B">
              <w:rPr>
                <w:rFonts w:ascii="Times New Roman" w:hAnsi="Times New Roman" w:cs="Times New Roman"/>
                <w:i/>
                <w:iCs/>
                <w:noProof/>
                <w:color w:val="000000" w:themeColor="text1"/>
                <w:sz w:val="24"/>
                <w:szCs w:val="24"/>
              </w:rPr>
              <w:t>Source: ECB and Supervisory Reporting</w:t>
            </w:r>
          </w:p>
        </w:tc>
      </w:tr>
    </w:tbl>
    <w:p w14:paraId="2A505235" w14:textId="77777777" w:rsidR="00541EE5" w:rsidRPr="0036474B" w:rsidRDefault="00541EE5" w:rsidP="00541EE5">
      <w:pPr>
        <w:jc w:val="both"/>
        <w:rPr>
          <w:rFonts w:ascii="Times New Roman" w:hAnsi="Times New Roman" w:cs="Times New Roman"/>
          <w:noProof/>
          <w:sz w:val="24"/>
          <w:szCs w:val="24"/>
        </w:rPr>
      </w:pPr>
    </w:p>
    <w:p w14:paraId="666E81D6" w14:textId="3DBC7FDE" w:rsidR="00541EE5" w:rsidRPr="0036474B" w:rsidRDefault="39E46412" w:rsidP="00541EE5">
      <w:pPr>
        <w:jc w:val="both"/>
        <w:rPr>
          <w:rFonts w:ascii="Times New Roman" w:hAnsi="Times New Roman" w:cs="Times New Roman"/>
          <w:noProof/>
          <w:sz w:val="24"/>
          <w:szCs w:val="24"/>
        </w:rPr>
      </w:pPr>
      <w:r w:rsidRPr="0036474B">
        <w:rPr>
          <w:rFonts w:ascii="Times New Roman" w:hAnsi="Times New Roman" w:cs="Times New Roman"/>
          <w:b/>
          <w:bCs/>
          <w:noProof/>
          <w:sz w:val="24"/>
          <w:szCs w:val="24"/>
        </w:rPr>
        <w:t>EU banks’ net interest margins benefited from a quick pass-through on interest earning assets</w:t>
      </w:r>
      <w:r w:rsidR="002419B9" w:rsidRPr="0036474B">
        <w:rPr>
          <w:rStyle w:val="FootnoteReference"/>
          <w:rFonts w:ascii="Times New Roman" w:hAnsi="Times New Roman" w:cs="Times New Roman"/>
          <w:b/>
          <w:bCs/>
          <w:noProof/>
          <w:sz w:val="24"/>
          <w:szCs w:val="24"/>
        </w:rPr>
        <w:footnoteReference w:id="36"/>
      </w:r>
      <w:r w:rsidRPr="0036474B">
        <w:rPr>
          <w:rFonts w:ascii="Times New Roman" w:hAnsi="Times New Roman" w:cs="Times New Roman"/>
          <w:b/>
          <w:bCs/>
          <w:noProof/>
          <w:sz w:val="24"/>
          <w:szCs w:val="24"/>
        </w:rPr>
        <w:t xml:space="preserve"> and on a favourable outlook to keep their financing expenses under control. </w:t>
      </w:r>
      <w:r w:rsidRPr="0036474B">
        <w:rPr>
          <w:rFonts w:ascii="Times New Roman" w:hAnsi="Times New Roman" w:cs="Times New Roman"/>
          <w:noProof/>
          <w:sz w:val="24"/>
          <w:szCs w:val="24"/>
        </w:rPr>
        <w:t>In particular, in 2022</w:t>
      </w:r>
      <w:r w:rsidR="30934EE4" w:rsidRPr="0036474B">
        <w:rPr>
          <w:rFonts w:ascii="Times New Roman" w:hAnsi="Times New Roman" w:cs="Times New Roman"/>
          <w:noProof/>
          <w:sz w:val="24"/>
          <w:szCs w:val="24"/>
        </w:rPr>
        <w:t>,</w:t>
      </w:r>
      <w:r w:rsidRPr="0036474B">
        <w:rPr>
          <w:rFonts w:ascii="Times New Roman" w:hAnsi="Times New Roman" w:cs="Times New Roman"/>
          <w:noProof/>
          <w:sz w:val="24"/>
          <w:szCs w:val="24"/>
        </w:rPr>
        <w:t xml:space="preserve"> the average loan-deposit spread on the front book (i.e. the new loans granted by a bank) started increasing, tripling from 1</w:t>
      </w:r>
      <w:r w:rsidR="5D216086" w:rsidRPr="0036474B">
        <w:rPr>
          <w:rFonts w:ascii="Times New Roman" w:hAnsi="Times New Roman" w:cs="Times New Roman"/>
          <w:noProof/>
          <w:sz w:val="24"/>
          <w:szCs w:val="24"/>
        </w:rPr>
        <w:t>,</w:t>
      </w:r>
      <w:r w:rsidRPr="0036474B">
        <w:rPr>
          <w:rFonts w:ascii="Times New Roman" w:hAnsi="Times New Roman" w:cs="Times New Roman"/>
          <w:noProof/>
          <w:sz w:val="24"/>
          <w:szCs w:val="24"/>
        </w:rPr>
        <w:t>5</w:t>
      </w:r>
      <w:r w:rsidR="5D216086" w:rsidRPr="0036474B">
        <w:rPr>
          <w:rFonts w:ascii="Times New Roman" w:hAnsi="Times New Roman" w:cs="Times New Roman"/>
          <w:noProof/>
          <w:sz w:val="24"/>
          <w:szCs w:val="24"/>
        </w:rPr>
        <w:t xml:space="preserve">% </w:t>
      </w:r>
      <w:r w:rsidRPr="0036474B">
        <w:rPr>
          <w:rFonts w:ascii="Times New Roman" w:hAnsi="Times New Roman" w:cs="Times New Roman"/>
          <w:noProof/>
          <w:sz w:val="24"/>
          <w:szCs w:val="24"/>
        </w:rPr>
        <w:t>to more than 4</w:t>
      </w:r>
      <w:r w:rsidR="5D216086" w:rsidRPr="0036474B">
        <w:rPr>
          <w:rFonts w:ascii="Times New Roman" w:hAnsi="Times New Roman" w:cs="Times New Roman"/>
          <w:noProof/>
          <w:sz w:val="24"/>
          <w:szCs w:val="24"/>
        </w:rPr>
        <w:t>%</w:t>
      </w:r>
      <w:r w:rsidRPr="0036474B">
        <w:rPr>
          <w:rFonts w:ascii="Times New Roman" w:hAnsi="Times New Roman" w:cs="Times New Roman"/>
          <w:noProof/>
          <w:sz w:val="24"/>
          <w:szCs w:val="24"/>
        </w:rPr>
        <w:t xml:space="preserve"> in 2023</w:t>
      </w:r>
      <w:r w:rsidR="00A043E3">
        <w:rPr>
          <w:rFonts w:ascii="Times New Roman" w:hAnsi="Times New Roman" w:cs="Times New Roman"/>
          <w:noProof/>
          <w:sz w:val="24"/>
          <w:szCs w:val="24"/>
        </w:rPr>
        <w:t xml:space="preserve"> – see Figure 1</w:t>
      </w:r>
      <w:r w:rsidR="00440B62">
        <w:rPr>
          <w:rFonts w:ascii="Times New Roman" w:hAnsi="Times New Roman" w:cs="Times New Roman"/>
          <w:noProof/>
          <w:sz w:val="24"/>
          <w:szCs w:val="24"/>
        </w:rPr>
        <w:t>3</w:t>
      </w:r>
      <w:r w:rsidRPr="0036474B">
        <w:rPr>
          <w:rFonts w:ascii="Times New Roman" w:hAnsi="Times New Roman" w:cs="Times New Roman"/>
          <w:noProof/>
          <w:sz w:val="24"/>
          <w:szCs w:val="24"/>
        </w:rPr>
        <w:t xml:space="preserve">. In addition, banks benefitted from favourable financing conditions, keeping under control their interest expenses. On financial markets, banks’ cost of capital decreased as yields have continued to decline and credit spreads compressed to the lowest level since the start of the hiking cycle (with the exception of covered bonds), particularly tight for the most junior instruments – see Figure </w:t>
      </w:r>
      <w:r w:rsidR="0040777F">
        <w:rPr>
          <w:rFonts w:ascii="Times New Roman" w:hAnsi="Times New Roman" w:cs="Times New Roman"/>
          <w:noProof/>
          <w:sz w:val="24"/>
          <w:szCs w:val="24"/>
        </w:rPr>
        <w:t>1</w:t>
      </w:r>
      <w:r w:rsidR="00440B62">
        <w:rPr>
          <w:rFonts w:ascii="Times New Roman" w:hAnsi="Times New Roman" w:cs="Times New Roman"/>
          <w:noProof/>
          <w:sz w:val="24"/>
          <w:szCs w:val="24"/>
        </w:rPr>
        <w:t>4</w:t>
      </w:r>
      <w:r w:rsidRPr="0036474B">
        <w:rPr>
          <w:rFonts w:ascii="Times New Roman" w:hAnsi="Times New Roman" w:cs="Times New Roman"/>
          <w:noProof/>
          <w:sz w:val="24"/>
          <w:szCs w:val="24"/>
        </w:rPr>
        <w:t>. On the deposits side, EU banks have seen inflows of deposits over the past 3 years</w:t>
      </w:r>
      <w:r w:rsidR="3E3659D5" w:rsidRPr="0036474B">
        <w:rPr>
          <w:rFonts w:ascii="Times New Roman" w:hAnsi="Times New Roman" w:cs="Times New Roman"/>
          <w:noProof/>
          <w:sz w:val="24"/>
          <w:szCs w:val="24"/>
        </w:rPr>
        <w:t xml:space="preserve">, </w:t>
      </w:r>
      <w:r w:rsidRPr="0036474B">
        <w:rPr>
          <w:rFonts w:ascii="Times New Roman" w:hAnsi="Times New Roman" w:cs="Times New Roman"/>
          <w:noProof/>
          <w:sz w:val="24"/>
          <w:szCs w:val="24"/>
        </w:rPr>
        <w:t>with the exception of the second half of 2023</w:t>
      </w:r>
      <w:r w:rsidR="33CF7BBB" w:rsidRPr="0036474B">
        <w:rPr>
          <w:rFonts w:ascii="Times New Roman" w:hAnsi="Times New Roman" w:cs="Times New Roman"/>
          <w:noProof/>
          <w:sz w:val="24"/>
          <w:szCs w:val="24"/>
        </w:rPr>
        <w:t xml:space="preserve">: </w:t>
      </w:r>
      <w:r w:rsidR="1B7DE334" w:rsidRPr="0036474B">
        <w:rPr>
          <w:rFonts w:ascii="Times New Roman" w:hAnsi="Times New Roman" w:cs="Times New Roman"/>
          <w:noProof/>
          <w:sz w:val="24"/>
          <w:szCs w:val="24"/>
        </w:rPr>
        <w:t xml:space="preserve">the trend extended further a relatively cheap financing source, </w:t>
      </w:r>
      <w:r w:rsidR="64F9B33E" w:rsidRPr="0036474B">
        <w:rPr>
          <w:rFonts w:ascii="Times New Roman" w:hAnsi="Times New Roman" w:cs="Times New Roman"/>
          <w:noProof/>
          <w:sz w:val="24"/>
          <w:szCs w:val="24"/>
        </w:rPr>
        <w:t>showing on one hand</w:t>
      </w:r>
      <w:r w:rsidR="1B7DE334" w:rsidRPr="0036474B">
        <w:rPr>
          <w:rFonts w:ascii="Times New Roman" w:hAnsi="Times New Roman" w:cs="Times New Roman"/>
          <w:noProof/>
          <w:sz w:val="24"/>
          <w:szCs w:val="24"/>
        </w:rPr>
        <w:t xml:space="preserve"> </w:t>
      </w:r>
      <w:r w:rsidR="64F9B33E" w:rsidRPr="0036474B">
        <w:rPr>
          <w:rFonts w:ascii="Times New Roman" w:hAnsi="Times New Roman" w:cs="Times New Roman"/>
          <w:noProof/>
          <w:sz w:val="24"/>
          <w:szCs w:val="24"/>
        </w:rPr>
        <w:t xml:space="preserve">a rather low sensitivity of deposit rates to policy interest rates – see Figure </w:t>
      </w:r>
      <w:r w:rsidR="00E70AAD">
        <w:rPr>
          <w:rFonts w:ascii="Times New Roman" w:hAnsi="Times New Roman" w:cs="Times New Roman"/>
          <w:noProof/>
          <w:sz w:val="24"/>
          <w:szCs w:val="24"/>
        </w:rPr>
        <w:t>1</w:t>
      </w:r>
      <w:r w:rsidR="00440B62">
        <w:rPr>
          <w:rFonts w:ascii="Times New Roman" w:hAnsi="Times New Roman" w:cs="Times New Roman"/>
          <w:noProof/>
          <w:sz w:val="24"/>
          <w:szCs w:val="24"/>
        </w:rPr>
        <w:t>5</w:t>
      </w:r>
      <w:r w:rsidR="111E420E" w:rsidRPr="0036474B">
        <w:rPr>
          <w:rFonts w:ascii="Times New Roman" w:hAnsi="Times New Roman" w:cs="Times New Roman"/>
          <w:noProof/>
          <w:sz w:val="24"/>
          <w:szCs w:val="24"/>
        </w:rPr>
        <w:t xml:space="preserve"> – </w:t>
      </w:r>
      <w:r w:rsidR="1B7DE334" w:rsidRPr="0036474B">
        <w:rPr>
          <w:rFonts w:ascii="Times New Roman" w:hAnsi="Times New Roman" w:cs="Times New Roman"/>
          <w:noProof/>
          <w:sz w:val="24"/>
          <w:szCs w:val="24"/>
        </w:rPr>
        <w:t>though</w:t>
      </w:r>
      <w:r w:rsidR="79A54801" w:rsidRPr="0036474B">
        <w:rPr>
          <w:rFonts w:ascii="Times New Roman" w:hAnsi="Times New Roman" w:cs="Times New Roman"/>
          <w:noProof/>
          <w:sz w:val="24"/>
          <w:szCs w:val="24"/>
        </w:rPr>
        <w:t>,</w:t>
      </w:r>
      <w:r w:rsidR="1B7DE334" w:rsidRPr="0036474B">
        <w:rPr>
          <w:rFonts w:ascii="Times New Roman" w:hAnsi="Times New Roman" w:cs="Times New Roman"/>
          <w:noProof/>
          <w:sz w:val="24"/>
          <w:szCs w:val="24"/>
        </w:rPr>
        <w:t xml:space="preserve"> </w:t>
      </w:r>
      <w:r w:rsidR="111E420E" w:rsidRPr="0036474B">
        <w:rPr>
          <w:rFonts w:ascii="Times New Roman" w:hAnsi="Times New Roman" w:cs="Times New Roman"/>
          <w:noProof/>
          <w:sz w:val="24"/>
          <w:szCs w:val="24"/>
        </w:rPr>
        <w:t>on the other hand</w:t>
      </w:r>
      <w:r w:rsidR="79A54801" w:rsidRPr="0036474B">
        <w:rPr>
          <w:rFonts w:ascii="Times New Roman" w:hAnsi="Times New Roman" w:cs="Times New Roman"/>
          <w:noProof/>
          <w:sz w:val="24"/>
          <w:szCs w:val="24"/>
        </w:rPr>
        <w:t>,</w:t>
      </w:r>
      <w:r w:rsidR="111E420E" w:rsidRPr="0036474B">
        <w:rPr>
          <w:rFonts w:ascii="Times New Roman" w:hAnsi="Times New Roman" w:cs="Times New Roman"/>
          <w:noProof/>
          <w:sz w:val="24"/>
          <w:szCs w:val="24"/>
        </w:rPr>
        <w:t xml:space="preserve"> </w:t>
      </w:r>
      <w:r w:rsidR="1B7DE334" w:rsidRPr="0036474B">
        <w:rPr>
          <w:rFonts w:ascii="Times New Roman" w:hAnsi="Times New Roman" w:cs="Times New Roman"/>
          <w:noProof/>
          <w:sz w:val="24"/>
          <w:szCs w:val="24"/>
        </w:rPr>
        <w:t>a noticeable share of</w:t>
      </w:r>
      <w:r w:rsidR="64BB5A13" w:rsidRPr="0036474B">
        <w:rPr>
          <w:rFonts w:ascii="Times New Roman" w:hAnsi="Times New Roman" w:cs="Times New Roman"/>
          <w:noProof/>
          <w:sz w:val="24"/>
          <w:szCs w:val="24"/>
        </w:rPr>
        <w:t xml:space="preserve"> depositors shifted from </w:t>
      </w:r>
      <w:r w:rsidR="1C30B2C4" w:rsidRPr="0036474B">
        <w:rPr>
          <w:rFonts w:ascii="Times New Roman" w:hAnsi="Times New Roman" w:cs="Times New Roman"/>
          <w:noProof/>
          <w:sz w:val="24"/>
          <w:szCs w:val="24"/>
        </w:rPr>
        <w:t>non-remunerated</w:t>
      </w:r>
      <w:r w:rsidR="64BB5A13" w:rsidRPr="0036474B">
        <w:rPr>
          <w:rFonts w:ascii="Times New Roman" w:hAnsi="Times New Roman" w:cs="Times New Roman"/>
          <w:noProof/>
          <w:sz w:val="24"/>
          <w:szCs w:val="24"/>
        </w:rPr>
        <w:t xml:space="preserve"> overnight deposits to remunerated term deposits</w:t>
      </w:r>
      <w:r w:rsidR="731A3458" w:rsidRPr="0036474B">
        <w:rPr>
          <w:rFonts w:ascii="Times New Roman" w:hAnsi="Times New Roman" w:cs="Times New Roman"/>
          <w:noProof/>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541EE5" w:rsidRPr="00064CC0" w14:paraId="6DFC60F5" w14:textId="77777777" w:rsidTr="005D300F">
        <w:tc>
          <w:tcPr>
            <w:tcW w:w="4508" w:type="dxa"/>
          </w:tcPr>
          <w:p w14:paraId="55D3E2CE" w14:textId="77777777" w:rsidR="00A06998" w:rsidRPr="0036474B" w:rsidRDefault="00A06998" w:rsidP="00A06998">
            <w:pPr>
              <w:jc w:val="both"/>
              <w:rPr>
                <w:rFonts w:ascii="Times New Roman" w:hAnsi="Times New Roman" w:cs="Times New Roman"/>
                <w:i/>
                <w:iCs/>
                <w:noProof/>
                <w:color w:val="000000" w:themeColor="text1"/>
                <w:sz w:val="24"/>
                <w:szCs w:val="24"/>
              </w:rPr>
            </w:pPr>
            <w:r w:rsidRPr="0036474B">
              <w:rPr>
                <w:rFonts w:ascii="Times New Roman" w:hAnsi="Times New Roman" w:cs="Times New Roman"/>
                <w:i/>
                <w:iCs/>
                <w:noProof/>
                <w:color w:val="000000" w:themeColor="text1"/>
                <w:sz w:val="24"/>
                <w:szCs w:val="24"/>
              </w:rPr>
              <w:t xml:space="preserve">Figure </w:t>
            </w:r>
            <w:r>
              <w:rPr>
                <w:rFonts w:ascii="Times New Roman" w:hAnsi="Times New Roman" w:cs="Times New Roman"/>
                <w:i/>
                <w:iCs/>
                <w:noProof/>
                <w:color w:val="000000" w:themeColor="text1"/>
                <w:sz w:val="24"/>
                <w:szCs w:val="24"/>
              </w:rPr>
              <w:t>13</w:t>
            </w:r>
            <w:r w:rsidRPr="0036474B">
              <w:rPr>
                <w:rFonts w:ascii="Times New Roman" w:hAnsi="Times New Roman" w:cs="Times New Roman"/>
                <w:i/>
                <w:iCs/>
                <w:noProof/>
                <w:color w:val="000000" w:themeColor="text1"/>
                <w:sz w:val="24"/>
                <w:szCs w:val="24"/>
              </w:rPr>
              <w:t xml:space="preserve"> – EU Banks loan-deposit spreads on outstanding amounts (in blue) and on new business (in yellow); and net interest margin (in blue). </w:t>
            </w:r>
          </w:p>
          <w:p w14:paraId="3877CCA1" w14:textId="77777777" w:rsidR="00541EE5" w:rsidRPr="0036474B" w:rsidRDefault="00541EE5">
            <w:pPr>
              <w:jc w:val="both"/>
              <w:rPr>
                <w:rFonts w:ascii="Times New Roman" w:hAnsi="Times New Roman" w:cs="Times New Roman"/>
                <w:noProof/>
                <w:sz w:val="24"/>
                <w:szCs w:val="24"/>
                <w:lang w:val="en-GB"/>
              </w:rPr>
            </w:pPr>
            <w:r w:rsidRPr="0036474B">
              <w:rPr>
                <w:rFonts w:ascii="Times New Roman" w:hAnsi="Times New Roman" w:cs="Times New Roman"/>
                <w:b/>
                <w:bCs/>
                <w:noProof/>
                <w:sz w:val="24"/>
                <w:szCs w:val="24"/>
                <w:lang w:val="en-GB" w:eastAsia="en-GB"/>
              </w:rPr>
              <w:drawing>
                <wp:inline distT="0" distB="0" distL="0" distR="0" wp14:anchorId="02DED6A9" wp14:editId="70DCC7FE">
                  <wp:extent cx="1708031" cy="2932155"/>
                  <wp:effectExtent l="0" t="0" r="6985" b="1905"/>
                  <wp:docPr id="967408460" name="Picture 1" descr="A graph with lin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006755" name="Picture 1" descr="A graph with lines and numbers&#10;&#10;AI-generated content may be incorrect."/>
                          <pic:cNvPicPr/>
                        </pic:nvPicPr>
                        <pic:blipFill rotWithShape="1">
                          <a:blip r:embed="rId29"/>
                          <a:srcRect l="1" t="26495" r="3659"/>
                          <a:stretch>
                            <a:fillRect/>
                          </a:stretch>
                        </pic:blipFill>
                        <pic:spPr bwMode="auto">
                          <a:xfrm>
                            <a:off x="0" y="0"/>
                            <a:ext cx="1711395" cy="2937930"/>
                          </a:xfrm>
                          <a:prstGeom prst="rect">
                            <a:avLst/>
                          </a:prstGeom>
                          <a:ln>
                            <a:noFill/>
                          </a:ln>
                          <a:extLst>
                            <a:ext uri="{53640926-AAD7-44D8-BBD7-CCE9431645EC}">
                              <a14:shadowObscured xmlns:a14="http://schemas.microsoft.com/office/drawing/2010/main"/>
                            </a:ext>
                          </a:extLst>
                        </pic:spPr>
                      </pic:pic>
                    </a:graphicData>
                  </a:graphic>
                </wp:inline>
              </w:drawing>
            </w:r>
          </w:p>
        </w:tc>
        <w:tc>
          <w:tcPr>
            <w:tcW w:w="4508" w:type="dxa"/>
          </w:tcPr>
          <w:p w14:paraId="54374E8A" w14:textId="77777777" w:rsidR="00A06998" w:rsidRPr="0036474B" w:rsidRDefault="00A06998" w:rsidP="00A06998">
            <w:pPr>
              <w:pStyle w:val="Caption"/>
              <w:spacing w:after="0"/>
              <w:rPr>
                <w:rFonts w:ascii="Times New Roman" w:hAnsi="Times New Roman" w:cs="Times New Roman"/>
                <w:noProof/>
                <w:color w:val="000000" w:themeColor="text1"/>
                <w:sz w:val="24"/>
                <w:szCs w:val="24"/>
              </w:rPr>
            </w:pPr>
            <w:r w:rsidRPr="0036474B">
              <w:rPr>
                <w:rFonts w:ascii="Times New Roman" w:hAnsi="Times New Roman" w:cs="Times New Roman"/>
                <w:noProof/>
                <w:color w:val="000000" w:themeColor="text1"/>
                <w:sz w:val="24"/>
                <w:szCs w:val="24"/>
              </w:rPr>
              <w:t xml:space="preserve">Figure </w:t>
            </w:r>
            <w:r>
              <w:rPr>
                <w:rFonts w:ascii="Times New Roman" w:hAnsi="Times New Roman" w:cs="Times New Roman"/>
                <w:noProof/>
                <w:color w:val="000000" w:themeColor="text1"/>
                <w:sz w:val="24"/>
                <w:szCs w:val="24"/>
              </w:rPr>
              <w:t>14</w:t>
            </w:r>
            <w:r w:rsidRPr="0036474B">
              <w:rPr>
                <w:rFonts w:ascii="Times New Roman" w:hAnsi="Times New Roman" w:cs="Times New Roman"/>
                <w:noProof/>
                <w:color w:val="000000" w:themeColor="text1"/>
                <w:sz w:val="24"/>
                <w:szCs w:val="24"/>
              </w:rPr>
              <w:t xml:space="preserve"> – Secondary bond markets bond yields and spreads of euro area banks. </w:t>
            </w:r>
          </w:p>
          <w:p w14:paraId="66F206D1" w14:textId="77777777" w:rsidR="00541EE5" w:rsidRPr="0036474B" w:rsidRDefault="00541EE5">
            <w:pPr>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eastAsia="en-GB"/>
              </w:rPr>
              <w:drawing>
                <wp:inline distT="0" distB="0" distL="0" distR="0" wp14:anchorId="0C80090F" wp14:editId="7BBB3EE8">
                  <wp:extent cx="2527540" cy="2867847"/>
                  <wp:effectExtent l="0" t="0" r="6350" b="8890"/>
                  <wp:docPr id="1569097207"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097207" name="Picture 1" descr="A screenshot of a graph&#10;&#10;AI-generated content may be incorrect."/>
                          <pic:cNvPicPr/>
                        </pic:nvPicPr>
                        <pic:blipFill rotWithShape="1">
                          <a:blip r:embed="rId30"/>
                          <a:srcRect l="7235" t="20962" r="3181" b="4560"/>
                          <a:stretch>
                            <a:fillRect/>
                          </a:stretch>
                        </pic:blipFill>
                        <pic:spPr bwMode="auto">
                          <a:xfrm>
                            <a:off x="0" y="0"/>
                            <a:ext cx="2554004" cy="2897874"/>
                          </a:xfrm>
                          <a:prstGeom prst="rect">
                            <a:avLst/>
                          </a:prstGeom>
                          <a:ln>
                            <a:noFill/>
                          </a:ln>
                          <a:extLst>
                            <a:ext uri="{53640926-AAD7-44D8-BBD7-CCE9431645EC}">
                              <a14:shadowObscured xmlns:a14="http://schemas.microsoft.com/office/drawing/2010/main"/>
                            </a:ext>
                          </a:extLst>
                        </pic:spPr>
                      </pic:pic>
                    </a:graphicData>
                  </a:graphic>
                </wp:inline>
              </w:drawing>
            </w:r>
          </w:p>
        </w:tc>
      </w:tr>
      <w:tr w:rsidR="00541EE5" w:rsidRPr="00064CC0" w14:paraId="7610B6E1" w14:textId="77777777" w:rsidTr="005D300F">
        <w:tc>
          <w:tcPr>
            <w:tcW w:w="4508" w:type="dxa"/>
          </w:tcPr>
          <w:p w14:paraId="26E0716B" w14:textId="367BFBA8" w:rsidR="00541EE5" w:rsidRPr="0036474B" w:rsidRDefault="00541EE5">
            <w:pPr>
              <w:jc w:val="both"/>
              <w:rPr>
                <w:rFonts w:ascii="Times New Roman" w:hAnsi="Times New Roman" w:cs="Times New Roman"/>
                <w:noProof/>
                <w:color w:val="000000" w:themeColor="text1"/>
                <w:sz w:val="24"/>
                <w:szCs w:val="24"/>
                <w:lang w:val="en-GB"/>
              </w:rPr>
            </w:pPr>
            <w:r w:rsidRPr="0036474B">
              <w:rPr>
                <w:rFonts w:ascii="Times New Roman" w:hAnsi="Times New Roman" w:cs="Times New Roman"/>
                <w:i/>
                <w:iCs/>
                <w:noProof/>
                <w:color w:val="000000" w:themeColor="text1"/>
                <w:sz w:val="24"/>
                <w:szCs w:val="24"/>
              </w:rPr>
              <w:t>Source: ECB</w:t>
            </w:r>
            <w:r w:rsidRPr="0036474B">
              <w:rPr>
                <w:rFonts w:ascii="Times New Roman" w:hAnsi="Times New Roman" w:cs="Times New Roman"/>
                <w:i/>
                <w:iCs/>
                <w:noProof/>
                <w:color w:val="000000" w:themeColor="text1"/>
                <w:sz w:val="24"/>
                <w:szCs w:val="24"/>
                <w:lang w:val="en-GB"/>
              </w:rPr>
              <w:t xml:space="preserve"> </w:t>
            </w:r>
          </w:p>
        </w:tc>
        <w:tc>
          <w:tcPr>
            <w:tcW w:w="4508" w:type="dxa"/>
          </w:tcPr>
          <w:p w14:paraId="46D50AEB" w14:textId="5DAFFC6B" w:rsidR="00541EE5" w:rsidRPr="0036474B" w:rsidRDefault="00541EE5" w:rsidP="00656DB7">
            <w:pPr>
              <w:pStyle w:val="Caption"/>
              <w:spacing w:after="0"/>
              <w:rPr>
                <w:rFonts w:ascii="Times New Roman" w:hAnsi="Times New Roman" w:cs="Times New Roman"/>
                <w:noProof/>
                <w:color w:val="000000" w:themeColor="text1"/>
                <w:sz w:val="24"/>
                <w:szCs w:val="24"/>
              </w:rPr>
            </w:pPr>
            <w:r w:rsidRPr="0036474B">
              <w:rPr>
                <w:rFonts w:ascii="Times New Roman" w:hAnsi="Times New Roman" w:cs="Times New Roman"/>
                <w:noProof/>
                <w:color w:val="000000" w:themeColor="text1"/>
                <w:sz w:val="24"/>
                <w:szCs w:val="24"/>
              </w:rPr>
              <w:t>Source: ECB</w:t>
            </w:r>
            <w:r w:rsidR="00473C69" w:rsidRPr="0036474B">
              <w:rPr>
                <w:rFonts w:ascii="Times New Roman" w:hAnsi="Times New Roman" w:cs="Times New Roman"/>
                <w:noProof/>
                <w:color w:val="000000" w:themeColor="text1"/>
                <w:sz w:val="24"/>
                <w:szCs w:val="24"/>
              </w:rPr>
              <w:br/>
              <w:t>Note: left hand chart</w:t>
            </w:r>
            <w:r w:rsidR="004E233C" w:rsidRPr="0036474B">
              <w:rPr>
                <w:rFonts w:ascii="Times New Roman" w:hAnsi="Times New Roman" w:cs="Times New Roman"/>
                <w:noProof/>
                <w:color w:val="000000" w:themeColor="text1"/>
                <w:sz w:val="24"/>
                <w:szCs w:val="24"/>
              </w:rPr>
              <w:t xml:space="preserve"> in percentages; right hand chart in basis points</w:t>
            </w:r>
          </w:p>
        </w:tc>
      </w:tr>
    </w:tbl>
    <w:p w14:paraId="7A44C9F3" w14:textId="4C51F484" w:rsidR="00541EE5" w:rsidRPr="0036474B" w:rsidRDefault="00541EE5" w:rsidP="00541EE5">
      <w:pPr>
        <w:pStyle w:val="Caption"/>
        <w:keepNext/>
        <w:rPr>
          <w:rFonts w:ascii="Times New Roman" w:hAnsi="Times New Roman" w:cs="Times New Roman"/>
          <w:noProof/>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541EE5" w:rsidRPr="00064CC0" w14:paraId="0FA3258A" w14:textId="77777777" w:rsidTr="00D846E2">
        <w:tc>
          <w:tcPr>
            <w:tcW w:w="9016" w:type="dxa"/>
          </w:tcPr>
          <w:p w14:paraId="46168E8A" w14:textId="13505400" w:rsidR="00F93686" w:rsidRPr="0036474B" w:rsidRDefault="00F93686">
            <w:pPr>
              <w:pStyle w:val="Caption"/>
              <w:keepNext/>
              <w:rPr>
                <w:rFonts w:ascii="Times New Roman" w:hAnsi="Times New Roman" w:cs="Times New Roman"/>
                <w:noProof/>
                <w:sz w:val="24"/>
                <w:szCs w:val="24"/>
              </w:rPr>
            </w:pPr>
            <w:r w:rsidRPr="0036474B">
              <w:rPr>
                <w:rFonts w:ascii="Times New Roman" w:hAnsi="Times New Roman" w:cs="Times New Roman"/>
                <w:noProof/>
                <w:color w:val="000000" w:themeColor="text1"/>
                <w:sz w:val="24"/>
                <w:szCs w:val="24"/>
              </w:rPr>
              <w:t xml:space="preserve">Figure </w:t>
            </w:r>
            <w:r w:rsidR="00F6254C">
              <w:rPr>
                <w:rFonts w:ascii="Times New Roman" w:hAnsi="Times New Roman" w:cs="Times New Roman"/>
                <w:noProof/>
                <w:color w:val="000000" w:themeColor="text1"/>
                <w:sz w:val="24"/>
                <w:szCs w:val="24"/>
              </w:rPr>
              <w:t>1</w:t>
            </w:r>
            <w:r w:rsidR="00E30532">
              <w:rPr>
                <w:rFonts w:ascii="Times New Roman" w:hAnsi="Times New Roman" w:cs="Times New Roman"/>
                <w:noProof/>
                <w:color w:val="000000" w:themeColor="text1"/>
                <w:sz w:val="24"/>
                <w:szCs w:val="24"/>
              </w:rPr>
              <w:t>5</w:t>
            </w:r>
            <w:r w:rsidRPr="0036474B">
              <w:rPr>
                <w:rFonts w:ascii="Times New Roman" w:hAnsi="Times New Roman" w:cs="Times New Roman"/>
                <w:noProof/>
                <w:color w:val="000000" w:themeColor="text1"/>
                <w:sz w:val="24"/>
                <w:szCs w:val="24"/>
              </w:rPr>
              <w:t xml:space="preserve"> – Deposits and passthrough rates. </w:t>
            </w:r>
            <w:r w:rsidR="00023FDB" w:rsidRPr="0036474B">
              <w:rPr>
                <w:rFonts w:ascii="Times New Roman" w:hAnsi="Times New Roman" w:cs="Times New Roman"/>
                <w:noProof/>
                <w:color w:val="000000" w:themeColor="text1"/>
                <w:sz w:val="24"/>
                <w:szCs w:val="24"/>
              </w:rPr>
              <w:br/>
            </w:r>
            <w:r w:rsidRPr="0036474B">
              <w:rPr>
                <w:rFonts w:ascii="Times New Roman" w:hAnsi="Times New Roman" w:cs="Times New Roman"/>
                <w:noProof/>
                <w:color w:val="000000" w:themeColor="text1"/>
                <w:sz w:val="24"/>
                <w:szCs w:val="24"/>
              </w:rPr>
              <w:t>Panel a) Quarterly deposit flows and annual growth; Panel b) Deposit</w:t>
            </w:r>
            <w:r w:rsidR="000A5FFD" w:rsidRPr="0036474B">
              <w:rPr>
                <w:rFonts w:ascii="Times New Roman" w:hAnsi="Times New Roman" w:cs="Times New Roman"/>
                <w:noProof/>
                <w:color w:val="000000" w:themeColor="text1"/>
                <w:sz w:val="24"/>
                <w:szCs w:val="24"/>
              </w:rPr>
              <w:t xml:space="preserve"> betas across past cycles</w:t>
            </w:r>
            <w:r w:rsidR="00637CA5" w:rsidRPr="0036474B">
              <w:rPr>
                <w:rFonts w:ascii="Times New Roman" w:hAnsi="Times New Roman" w:cs="Times New Roman"/>
                <w:noProof/>
                <w:color w:val="000000" w:themeColor="text1"/>
                <w:sz w:val="24"/>
                <w:szCs w:val="24"/>
              </w:rPr>
              <w:t>; Panel c)</w:t>
            </w:r>
            <w:r w:rsidR="005233D5" w:rsidRPr="0036474B">
              <w:rPr>
                <w:rFonts w:ascii="Times New Roman" w:hAnsi="Times New Roman" w:cs="Times New Roman"/>
                <w:noProof/>
                <w:color w:val="000000" w:themeColor="text1"/>
                <w:sz w:val="24"/>
                <w:szCs w:val="24"/>
              </w:rPr>
              <w:t xml:space="preserve"> average deposit rates offered by euro area banks</w:t>
            </w:r>
          </w:p>
          <w:p w14:paraId="3C0464FE" w14:textId="77777777" w:rsidR="00541EE5" w:rsidRPr="0036474B" w:rsidRDefault="00541EE5">
            <w:pPr>
              <w:pStyle w:val="Caption"/>
              <w:keepNext/>
              <w:rPr>
                <w:rFonts w:ascii="Times New Roman" w:hAnsi="Times New Roman" w:cs="Times New Roman"/>
                <w:noProof/>
                <w:sz w:val="24"/>
                <w:szCs w:val="24"/>
              </w:rPr>
            </w:pPr>
            <w:r w:rsidRPr="0036474B">
              <w:rPr>
                <w:rFonts w:ascii="Times New Roman" w:hAnsi="Times New Roman" w:cs="Times New Roman"/>
                <w:noProof/>
                <w:sz w:val="24"/>
                <w:szCs w:val="24"/>
                <w:lang w:val="en-GB" w:eastAsia="en-GB"/>
              </w:rPr>
              <w:drawing>
                <wp:inline distT="0" distB="0" distL="0" distR="0" wp14:anchorId="37264037" wp14:editId="49E29FEA">
                  <wp:extent cx="1800000" cy="2978745"/>
                  <wp:effectExtent l="0" t="0" r="0" b="0"/>
                  <wp:docPr id="1939255825" name="Picture 1" descr="A graph with blue and yellow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255825" name="Picture 1" descr="A graph with blue and yellow lines&#10;&#10;AI-generated content may be incorrect."/>
                          <pic:cNvPicPr/>
                        </pic:nvPicPr>
                        <pic:blipFill rotWithShape="1">
                          <a:blip r:embed="rId31"/>
                          <a:srcRect t="23178"/>
                          <a:stretch>
                            <a:fillRect/>
                          </a:stretch>
                        </pic:blipFill>
                        <pic:spPr bwMode="auto">
                          <a:xfrm>
                            <a:off x="0" y="0"/>
                            <a:ext cx="1800000" cy="2978745"/>
                          </a:xfrm>
                          <a:prstGeom prst="rect">
                            <a:avLst/>
                          </a:prstGeom>
                          <a:ln>
                            <a:noFill/>
                          </a:ln>
                          <a:extLst>
                            <a:ext uri="{53640926-AAD7-44D8-BBD7-CCE9431645EC}">
                              <a14:shadowObscured xmlns:a14="http://schemas.microsoft.com/office/drawing/2010/main"/>
                            </a:ext>
                          </a:extLst>
                        </pic:spPr>
                      </pic:pic>
                    </a:graphicData>
                  </a:graphic>
                </wp:inline>
              </w:drawing>
            </w:r>
            <w:r w:rsidRPr="0036474B">
              <w:rPr>
                <w:rFonts w:ascii="Times New Roman" w:hAnsi="Times New Roman" w:cs="Times New Roman"/>
                <w:noProof/>
                <w:sz w:val="24"/>
                <w:szCs w:val="24"/>
              </w:rPr>
              <w:t xml:space="preserve"> </w:t>
            </w:r>
            <w:r w:rsidRPr="0036474B">
              <w:rPr>
                <w:rFonts w:ascii="Times New Roman" w:hAnsi="Times New Roman" w:cs="Times New Roman"/>
                <w:noProof/>
                <w:sz w:val="24"/>
                <w:szCs w:val="24"/>
                <w:lang w:val="en-GB" w:eastAsia="en-GB"/>
              </w:rPr>
              <w:drawing>
                <wp:inline distT="0" distB="0" distL="0" distR="0" wp14:anchorId="5EE6952E" wp14:editId="2749F776">
                  <wp:extent cx="1712595" cy="2967487"/>
                  <wp:effectExtent l="0" t="0" r="1905" b="4445"/>
                  <wp:docPr id="742159822" name="Picture 7" descr="A screenshot of a data present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159822" name="Picture 7" descr="A screenshot of a data presentation&#10;&#10;AI-generated content may be incorrect."/>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a:stretch>
                            <a:fillRect/>
                          </a:stretch>
                        </pic:blipFill>
                        <pic:spPr bwMode="auto">
                          <a:xfrm>
                            <a:off x="0" y="0"/>
                            <a:ext cx="1713716" cy="2969429"/>
                          </a:xfrm>
                          <a:prstGeom prst="rect">
                            <a:avLst/>
                          </a:prstGeom>
                          <a:noFill/>
                          <a:ln>
                            <a:noFill/>
                          </a:ln>
                          <a:extLst>
                            <a:ext uri="{53640926-AAD7-44D8-BBD7-CCE9431645EC}">
                              <a14:shadowObscured xmlns:a14="http://schemas.microsoft.com/office/drawing/2010/main"/>
                            </a:ext>
                          </a:extLst>
                        </pic:spPr>
                      </pic:pic>
                    </a:graphicData>
                  </a:graphic>
                </wp:inline>
              </w:drawing>
            </w:r>
            <w:r w:rsidRPr="0036474B">
              <w:rPr>
                <w:rFonts w:ascii="Times New Roman" w:hAnsi="Times New Roman" w:cs="Times New Roman"/>
                <w:noProof/>
                <w:sz w:val="24"/>
                <w:szCs w:val="24"/>
                <w:lang w:val="en-GB" w:eastAsia="en-GB"/>
              </w:rPr>
              <w:drawing>
                <wp:inline distT="0" distB="0" distL="0" distR="0" wp14:anchorId="4EA13B70" wp14:editId="78D96B69">
                  <wp:extent cx="1800000" cy="2896546"/>
                  <wp:effectExtent l="0" t="0" r="0" b="0"/>
                  <wp:docPr id="1161422222" name="Picture 1" descr="A graph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422222" name="Picture 1" descr="A graph with different colored lines&#10;&#10;AI-generated content may be incorrect."/>
                          <pic:cNvPicPr/>
                        </pic:nvPicPr>
                        <pic:blipFill rotWithShape="1">
                          <a:blip r:embed="rId33"/>
                          <a:srcRect t="25590"/>
                          <a:stretch>
                            <a:fillRect/>
                          </a:stretch>
                        </pic:blipFill>
                        <pic:spPr bwMode="auto">
                          <a:xfrm>
                            <a:off x="0" y="0"/>
                            <a:ext cx="1800000" cy="2896546"/>
                          </a:xfrm>
                          <a:prstGeom prst="rect">
                            <a:avLst/>
                          </a:prstGeom>
                          <a:ln>
                            <a:noFill/>
                          </a:ln>
                          <a:extLst>
                            <a:ext uri="{53640926-AAD7-44D8-BBD7-CCE9431645EC}">
                              <a14:shadowObscured xmlns:a14="http://schemas.microsoft.com/office/drawing/2010/main"/>
                            </a:ext>
                          </a:extLst>
                        </pic:spPr>
                      </pic:pic>
                    </a:graphicData>
                  </a:graphic>
                </wp:inline>
              </w:drawing>
            </w:r>
            <w:r w:rsidRPr="0036474B">
              <w:rPr>
                <w:rFonts w:ascii="Times New Roman" w:hAnsi="Times New Roman" w:cs="Times New Roman"/>
                <w:noProof/>
                <w:sz w:val="24"/>
                <w:szCs w:val="24"/>
              </w:rPr>
              <w:t xml:space="preserve"> </w:t>
            </w:r>
          </w:p>
        </w:tc>
      </w:tr>
      <w:tr w:rsidR="00541EE5" w:rsidRPr="00064CC0" w14:paraId="40470E82" w14:textId="77777777" w:rsidTr="00D846E2">
        <w:tc>
          <w:tcPr>
            <w:tcW w:w="9016" w:type="dxa"/>
          </w:tcPr>
          <w:p w14:paraId="00E3DAA1" w14:textId="4CFA0F97" w:rsidR="00541EE5" w:rsidRPr="0036474B" w:rsidRDefault="001721DF" w:rsidP="001752EA">
            <w:pPr>
              <w:pStyle w:val="Caption"/>
              <w:jc w:val="both"/>
              <w:rPr>
                <w:rFonts w:ascii="Times New Roman" w:hAnsi="Times New Roman" w:cs="Times New Roman"/>
                <w:noProof/>
                <w:color w:val="000000" w:themeColor="text1"/>
                <w:sz w:val="24"/>
                <w:szCs w:val="24"/>
              </w:rPr>
            </w:pPr>
            <w:r w:rsidRPr="0036474B">
              <w:rPr>
                <w:rFonts w:ascii="Times New Roman" w:hAnsi="Times New Roman" w:cs="Times New Roman"/>
                <w:noProof/>
                <w:color w:val="000000" w:themeColor="text1"/>
                <w:sz w:val="24"/>
                <w:szCs w:val="24"/>
              </w:rPr>
              <w:t>Notes</w:t>
            </w:r>
            <w:r w:rsidR="008B6DF9" w:rsidRPr="0036474B">
              <w:rPr>
                <w:rFonts w:ascii="Times New Roman" w:hAnsi="Times New Roman" w:cs="Times New Roman"/>
                <w:noProof/>
                <w:color w:val="000000" w:themeColor="text1"/>
                <w:sz w:val="24"/>
                <w:szCs w:val="24"/>
              </w:rPr>
              <w:t>.</w:t>
            </w:r>
            <w:r w:rsidRPr="0036474B">
              <w:rPr>
                <w:rFonts w:ascii="Times New Roman" w:hAnsi="Times New Roman" w:cs="Times New Roman"/>
                <w:noProof/>
                <w:color w:val="000000" w:themeColor="text1"/>
                <w:sz w:val="24"/>
                <w:szCs w:val="24"/>
              </w:rPr>
              <w:t xml:space="preserve"> </w:t>
            </w:r>
            <w:r w:rsidR="00C54C23" w:rsidRPr="0036474B">
              <w:rPr>
                <w:rFonts w:ascii="Times New Roman" w:hAnsi="Times New Roman" w:cs="Times New Roman"/>
                <w:noProof/>
                <w:color w:val="000000" w:themeColor="text1"/>
                <w:sz w:val="24"/>
                <w:szCs w:val="24"/>
              </w:rPr>
              <w:t xml:space="preserve">Panel a) </w:t>
            </w:r>
            <w:r w:rsidR="0020320F" w:rsidRPr="0036474B">
              <w:rPr>
                <w:rFonts w:ascii="Times New Roman" w:hAnsi="Times New Roman" w:cs="Times New Roman"/>
                <w:noProof/>
                <w:color w:val="000000" w:themeColor="text1"/>
                <w:sz w:val="24"/>
                <w:szCs w:val="24"/>
              </w:rPr>
              <w:t>Jan</w:t>
            </w:r>
            <w:r w:rsidR="003A3640" w:rsidRPr="0036474B">
              <w:rPr>
                <w:rFonts w:ascii="Times New Roman" w:hAnsi="Times New Roman" w:cs="Times New Roman"/>
                <w:noProof/>
                <w:color w:val="000000" w:themeColor="text1"/>
                <w:sz w:val="24"/>
                <w:szCs w:val="24"/>
              </w:rPr>
              <w:t xml:space="preserve">uary 2022 to March 2025; three month rolling flows, EUR billions, percentages. </w:t>
            </w:r>
            <w:r w:rsidR="00541EE5" w:rsidRPr="0036474B">
              <w:rPr>
                <w:rFonts w:ascii="Times New Roman" w:hAnsi="Times New Roman" w:cs="Times New Roman"/>
                <w:noProof/>
                <w:color w:val="000000" w:themeColor="text1"/>
                <w:sz w:val="24"/>
                <w:szCs w:val="24"/>
              </w:rPr>
              <w:br/>
              <w:t>Panel b</w:t>
            </w:r>
            <w:r w:rsidR="00C24AD2" w:rsidRPr="0036474B">
              <w:rPr>
                <w:rFonts w:ascii="Times New Roman" w:hAnsi="Times New Roman" w:cs="Times New Roman"/>
                <w:noProof/>
                <w:color w:val="000000" w:themeColor="text1"/>
                <w:sz w:val="24"/>
                <w:szCs w:val="24"/>
              </w:rPr>
              <w:t>)</w:t>
            </w:r>
            <w:r w:rsidR="00541EE5" w:rsidRPr="0036474B">
              <w:rPr>
                <w:rFonts w:ascii="Times New Roman" w:hAnsi="Times New Roman" w:cs="Times New Roman"/>
                <w:noProof/>
                <w:color w:val="000000" w:themeColor="text1"/>
                <w:sz w:val="24"/>
                <w:szCs w:val="24"/>
              </w:rPr>
              <w:t xml:space="preserve"> change in rate on new business divided by change in the deposit facility rate, Deposit betas for the hiking cycle are calculated on the period from January 2022 to November 2023 for term and redeemable-at-notice deposits and from January 2022 to May 2024 for overnight deposits, reflecting the peak of different deposit rates. Easing betas for agreed maturity (AM)/redeemable-at-notice (RED) and for overnight (ON) deposits consider the period from November 2023 and May 2024 until September 2025 respectively. “Historical range of previous hiking betas” refers to the peak betas reached during previous hiking cycles in November 2000, November 2005 and September 2011.</w:t>
            </w:r>
            <w:r w:rsidR="00C24AD2" w:rsidRPr="0036474B">
              <w:rPr>
                <w:rFonts w:ascii="Times New Roman" w:hAnsi="Times New Roman" w:cs="Times New Roman"/>
                <w:noProof/>
                <w:color w:val="000000" w:themeColor="text1"/>
                <w:sz w:val="24"/>
                <w:szCs w:val="24"/>
              </w:rPr>
              <w:br/>
              <w:t>Panel c) January 2022 to September 2025, percentages.</w:t>
            </w:r>
          </w:p>
        </w:tc>
      </w:tr>
    </w:tbl>
    <w:p w14:paraId="1EA3C9CF" w14:textId="2522F0CF" w:rsidR="00541EE5" w:rsidRPr="0036474B" w:rsidRDefault="00541EE5" w:rsidP="00541EE5">
      <w:pPr>
        <w:jc w:val="both"/>
        <w:rPr>
          <w:rFonts w:ascii="Times New Roman" w:hAnsi="Times New Roman" w:cs="Times New Roman"/>
          <w:noProof/>
          <w:sz w:val="24"/>
          <w:szCs w:val="24"/>
        </w:rPr>
      </w:pPr>
      <w:r w:rsidRPr="0036474B">
        <w:rPr>
          <w:rFonts w:ascii="Times New Roman" w:hAnsi="Times New Roman" w:cs="Times New Roman"/>
          <w:b/>
          <w:bCs/>
          <w:noProof/>
          <w:sz w:val="24"/>
          <w:szCs w:val="24"/>
        </w:rPr>
        <w:t>However, as the ECB</w:t>
      </w:r>
      <w:r w:rsidR="00BA493A" w:rsidRPr="0036474B">
        <w:rPr>
          <w:rFonts w:ascii="Times New Roman" w:hAnsi="Times New Roman" w:cs="Times New Roman"/>
          <w:b/>
          <w:bCs/>
          <w:noProof/>
          <w:sz w:val="24"/>
          <w:szCs w:val="24"/>
        </w:rPr>
        <w:t xml:space="preserve"> </w:t>
      </w:r>
      <w:r w:rsidR="00BA493A" w:rsidRPr="0036474B">
        <w:rPr>
          <w:rFonts w:ascii="Times New Roman" w:hAnsi="Times New Roman" w:cs="Times New Roman"/>
          <w:b/>
          <w:bCs/>
          <w:noProof/>
          <w:sz w:val="24"/>
          <w:szCs w:val="24"/>
          <w:lang w:val="en-GB"/>
        </w:rPr>
        <w:t xml:space="preserve">(together with other EU central banks) </w:t>
      </w:r>
      <w:r w:rsidRPr="0036474B">
        <w:rPr>
          <w:rFonts w:ascii="Times New Roman" w:hAnsi="Times New Roman" w:cs="Times New Roman"/>
          <w:b/>
          <w:bCs/>
          <w:noProof/>
          <w:sz w:val="24"/>
          <w:szCs w:val="24"/>
        </w:rPr>
        <w:t>began cutting rates from mid-2024, the NII tailwind has started to fade</w:t>
      </w:r>
      <w:r w:rsidRPr="0036474B">
        <w:rPr>
          <w:rFonts w:ascii="Times New Roman" w:hAnsi="Times New Roman" w:cs="Times New Roman"/>
          <w:noProof/>
          <w:sz w:val="24"/>
          <w:szCs w:val="24"/>
        </w:rPr>
        <w:t xml:space="preserve">. Net interest margins started tightening, with EU/EEA banks posting a </w:t>
      </w:r>
      <w:r w:rsidR="005E0121" w:rsidRPr="0036474B">
        <w:rPr>
          <w:rFonts w:ascii="Times New Roman" w:hAnsi="Times New Roman" w:cs="Times New Roman"/>
          <w:noProof/>
          <w:sz w:val="24"/>
          <w:szCs w:val="24"/>
        </w:rPr>
        <w:t>Net Interest Marin (</w:t>
      </w:r>
      <w:r w:rsidRPr="0036474B">
        <w:rPr>
          <w:rFonts w:ascii="Times New Roman" w:hAnsi="Times New Roman" w:cs="Times New Roman"/>
          <w:noProof/>
          <w:sz w:val="24"/>
          <w:szCs w:val="24"/>
        </w:rPr>
        <w:t>NIM</w:t>
      </w:r>
      <w:r w:rsidR="005E0121" w:rsidRPr="0036474B">
        <w:rPr>
          <w:rFonts w:ascii="Times New Roman" w:hAnsi="Times New Roman" w:cs="Times New Roman"/>
          <w:noProof/>
          <w:sz w:val="24"/>
          <w:szCs w:val="24"/>
        </w:rPr>
        <w:t>)</w:t>
      </w:r>
      <w:r w:rsidRPr="0036474B">
        <w:rPr>
          <w:rFonts w:ascii="Times New Roman" w:hAnsi="Times New Roman" w:cs="Times New Roman"/>
          <w:noProof/>
          <w:sz w:val="24"/>
          <w:szCs w:val="24"/>
        </w:rPr>
        <w:t xml:space="preserve"> of 1</w:t>
      </w:r>
      <w:r w:rsidR="005E0121" w:rsidRPr="0036474B">
        <w:rPr>
          <w:rFonts w:ascii="Times New Roman" w:hAnsi="Times New Roman" w:cs="Times New Roman"/>
          <w:noProof/>
          <w:sz w:val="24"/>
          <w:szCs w:val="24"/>
        </w:rPr>
        <w:t>,</w:t>
      </w:r>
      <w:r w:rsidRPr="0036474B">
        <w:rPr>
          <w:rFonts w:ascii="Times New Roman" w:hAnsi="Times New Roman" w:cs="Times New Roman"/>
          <w:noProof/>
          <w:sz w:val="24"/>
          <w:szCs w:val="24"/>
        </w:rPr>
        <w:t>58% in Q3 2025, down from 1</w:t>
      </w:r>
      <w:r w:rsidR="000A39A8" w:rsidRPr="0036474B">
        <w:rPr>
          <w:rFonts w:ascii="Times New Roman" w:hAnsi="Times New Roman" w:cs="Times New Roman"/>
          <w:noProof/>
          <w:sz w:val="24"/>
          <w:szCs w:val="24"/>
        </w:rPr>
        <w:t>,</w:t>
      </w:r>
      <w:r w:rsidRPr="0036474B">
        <w:rPr>
          <w:rFonts w:ascii="Times New Roman" w:hAnsi="Times New Roman" w:cs="Times New Roman"/>
          <w:noProof/>
          <w:sz w:val="24"/>
          <w:szCs w:val="24"/>
        </w:rPr>
        <w:t>68% a year earlier, pushing net interest income to levels last observed in late 2023. Despite this headwind, overall profitability has held up reasonably well, supported by volume effects. Euro</w:t>
      </w:r>
      <w:r w:rsidR="009266A9">
        <w:rPr>
          <w:rFonts w:ascii="Times New Roman" w:hAnsi="Times New Roman" w:cs="Times New Roman"/>
          <w:noProof/>
          <w:sz w:val="24"/>
          <w:szCs w:val="24"/>
        </w:rPr>
        <w:t>pean</w:t>
      </w:r>
      <w:r w:rsidRPr="0036474B">
        <w:rPr>
          <w:rFonts w:ascii="Times New Roman" w:hAnsi="Times New Roman" w:cs="Times New Roman"/>
          <w:noProof/>
          <w:sz w:val="24"/>
          <w:szCs w:val="24"/>
        </w:rPr>
        <w:t xml:space="preserve"> banks maintained robust return on equity levels averaging close to 10% in the first half of 2025, albeit with some cross-country variation.</w:t>
      </w:r>
    </w:p>
    <w:p w14:paraId="50C6DB70" w14:textId="43E89370" w:rsidR="00541EE5" w:rsidRPr="0036474B" w:rsidRDefault="00541EE5" w:rsidP="00541EE5">
      <w:pPr>
        <w:jc w:val="both"/>
        <w:rPr>
          <w:rFonts w:ascii="Times New Roman" w:hAnsi="Times New Roman" w:cs="Times New Roman"/>
          <w:noProof/>
          <w:sz w:val="24"/>
          <w:szCs w:val="24"/>
        </w:rPr>
      </w:pPr>
      <w:r w:rsidRPr="0036474B">
        <w:rPr>
          <w:rFonts w:ascii="Times New Roman" w:hAnsi="Times New Roman" w:cs="Times New Roman"/>
          <w:b/>
          <w:bCs/>
          <w:noProof/>
          <w:sz w:val="24"/>
          <w:szCs w:val="24"/>
        </w:rPr>
        <w:t>Looking back at the previous decade, we observe a picture of chronic NII compression that was affecting the long run viability (and market valuations) of the sector.</w:t>
      </w:r>
      <w:r w:rsidRPr="0036474B">
        <w:rPr>
          <w:rFonts w:ascii="Times New Roman" w:hAnsi="Times New Roman" w:cs="Times New Roman"/>
          <w:noProof/>
          <w:sz w:val="24"/>
          <w:szCs w:val="24"/>
        </w:rPr>
        <w:t xml:space="preserve"> With the ECB's deposit facility rate at the zero lower bound or even in negative territory and the yield curve exceptionally flat, </w:t>
      </w:r>
      <w:r w:rsidR="003915F3" w:rsidRPr="0036474B">
        <w:rPr>
          <w:rFonts w:ascii="Times New Roman" w:hAnsi="Times New Roman" w:cs="Times New Roman"/>
          <w:noProof/>
          <w:sz w:val="24"/>
          <w:szCs w:val="24"/>
        </w:rPr>
        <w:t>low</w:t>
      </w:r>
      <w:r w:rsidRPr="0036474B">
        <w:rPr>
          <w:rFonts w:ascii="Times New Roman" w:hAnsi="Times New Roman" w:cs="Times New Roman"/>
          <w:noProof/>
          <w:sz w:val="24"/>
          <w:szCs w:val="24"/>
        </w:rPr>
        <w:t xml:space="preserve"> bank profitability</w:t>
      </w:r>
      <w:r w:rsidR="00F93690" w:rsidRPr="0036474B">
        <w:rPr>
          <w:rFonts w:ascii="Times New Roman" w:hAnsi="Times New Roman" w:cs="Times New Roman"/>
          <w:noProof/>
          <w:sz w:val="24"/>
          <w:szCs w:val="24"/>
        </w:rPr>
        <w:t xml:space="preserve"> was driven by three distinct factors</w:t>
      </w:r>
      <w:r w:rsidR="00865C25" w:rsidRPr="0036474B">
        <w:rPr>
          <w:rFonts w:ascii="Times New Roman" w:hAnsi="Times New Roman" w:cs="Times New Roman"/>
          <w:noProof/>
          <w:sz w:val="24"/>
          <w:szCs w:val="24"/>
        </w:rPr>
        <w:t xml:space="preserve">: </w:t>
      </w:r>
      <w:r w:rsidR="00841AF9" w:rsidRPr="0036474B">
        <w:rPr>
          <w:rFonts w:ascii="Times New Roman" w:hAnsi="Times New Roman" w:cs="Times New Roman"/>
          <w:noProof/>
          <w:sz w:val="24"/>
          <w:szCs w:val="24"/>
        </w:rPr>
        <w:t>weak income generating capacity</w:t>
      </w:r>
      <w:r w:rsidR="00865C25" w:rsidRPr="0036474B">
        <w:rPr>
          <w:rFonts w:ascii="Times New Roman" w:hAnsi="Times New Roman" w:cs="Times New Roman"/>
          <w:noProof/>
          <w:sz w:val="24"/>
          <w:szCs w:val="24"/>
        </w:rPr>
        <w:t>,</w:t>
      </w:r>
      <w:r w:rsidRPr="0036474B">
        <w:rPr>
          <w:rFonts w:ascii="Times New Roman" w:hAnsi="Times New Roman" w:cs="Times New Roman"/>
          <w:noProof/>
          <w:sz w:val="24"/>
          <w:szCs w:val="24"/>
        </w:rPr>
        <w:t xml:space="preserve"> a </w:t>
      </w:r>
      <w:r w:rsidR="00865C25" w:rsidRPr="0036474B">
        <w:rPr>
          <w:rFonts w:ascii="Times New Roman" w:hAnsi="Times New Roman" w:cs="Times New Roman"/>
          <w:noProof/>
          <w:sz w:val="24"/>
          <w:szCs w:val="24"/>
        </w:rPr>
        <w:t>legacy</w:t>
      </w:r>
      <w:r w:rsidRPr="0036474B">
        <w:rPr>
          <w:rFonts w:ascii="Times New Roman" w:hAnsi="Times New Roman" w:cs="Times New Roman"/>
          <w:noProof/>
          <w:sz w:val="24"/>
          <w:szCs w:val="24"/>
        </w:rPr>
        <w:t xml:space="preserve"> NPL problem and structural inefficiencies</w:t>
      </w:r>
      <w:r w:rsidR="00E02773" w:rsidRPr="0036474B">
        <w:rPr>
          <w:rFonts w:ascii="Times New Roman" w:hAnsi="Times New Roman" w:cs="Times New Roman"/>
          <w:noProof/>
          <w:sz w:val="24"/>
          <w:szCs w:val="24"/>
        </w:rPr>
        <w:t>. At</w:t>
      </w:r>
      <w:r w:rsidRPr="0036474B">
        <w:rPr>
          <w:rFonts w:ascii="Times New Roman" w:hAnsi="Times New Roman" w:cs="Times New Roman"/>
          <w:noProof/>
          <w:sz w:val="24"/>
          <w:szCs w:val="24"/>
        </w:rPr>
        <w:t xml:space="preserve"> the time, 75% of euro area significant institutions were generating a </w:t>
      </w:r>
      <w:r w:rsidR="007E7BF3" w:rsidRPr="0036474B">
        <w:rPr>
          <w:rFonts w:ascii="Times New Roman" w:hAnsi="Times New Roman" w:cs="Times New Roman"/>
          <w:noProof/>
          <w:sz w:val="24"/>
          <w:szCs w:val="24"/>
        </w:rPr>
        <w:t>RoE</w:t>
      </w:r>
      <w:r w:rsidRPr="0036474B">
        <w:rPr>
          <w:rFonts w:ascii="Times New Roman" w:hAnsi="Times New Roman" w:cs="Times New Roman"/>
          <w:noProof/>
          <w:sz w:val="24"/>
          <w:szCs w:val="24"/>
        </w:rPr>
        <w:t xml:space="preserve"> of below 8%. While banks benefited from loan volume growth (volume effect) and declining credit costs under those conditions, these positive effects were insufficient to offset the steady erosion of net interest margins as assets repriced downward at a faster pace than liabilities. </w:t>
      </w:r>
    </w:p>
    <w:p w14:paraId="6EC7295A" w14:textId="2DCEAE3C" w:rsidR="00541EE5" w:rsidRPr="0036474B" w:rsidRDefault="00541EE5" w:rsidP="00541EE5">
      <w:pPr>
        <w:jc w:val="both"/>
        <w:rPr>
          <w:rFonts w:ascii="Times New Roman" w:hAnsi="Times New Roman" w:cs="Times New Roman"/>
          <w:b/>
          <w:bCs/>
          <w:i/>
          <w:iCs/>
          <w:noProof/>
          <w:sz w:val="24"/>
          <w:szCs w:val="24"/>
          <w:lang w:val="en-GB"/>
        </w:rPr>
      </w:pPr>
      <w:r w:rsidRPr="0036474B">
        <w:rPr>
          <w:rFonts w:ascii="Times New Roman" w:hAnsi="Times New Roman" w:cs="Times New Roman"/>
          <w:b/>
          <w:bCs/>
          <w:i/>
          <w:iCs/>
          <w:noProof/>
          <w:sz w:val="24"/>
          <w:szCs w:val="24"/>
          <w:lang w:val="en-GB"/>
        </w:rPr>
        <w:t>Non-interest income dynamics</w:t>
      </w:r>
    </w:p>
    <w:p w14:paraId="043ED52F" w14:textId="23E4B825" w:rsidR="00541EE5" w:rsidRPr="0036474B" w:rsidRDefault="00541EE5" w:rsidP="00541EE5">
      <w:pPr>
        <w:jc w:val="both"/>
        <w:rPr>
          <w:rFonts w:ascii="Times New Roman" w:hAnsi="Times New Roman" w:cs="Times New Roman"/>
          <w:noProof/>
          <w:sz w:val="24"/>
          <w:szCs w:val="24"/>
          <w:lang w:val="en-GB"/>
        </w:rPr>
      </w:pPr>
      <w:r w:rsidRPr="0036474B">
        <w:rPr>
          <w:rFonts w:ascii="Times New Roman" w:hAnsi="Times New Roman" w:cs="Times New Roman"/>
          <w:b/>
          <w:bCs/>
          <w:noProof/>
          <w:sz w:val="24"/>
          <w:szCs w:val="24"/>
          <w:lang w:val="en-GB"/>
        </w:rPr>
        <w:t>The trend on non-interest income, notably net fees and commission income (NFCI) and net trading income (NTI), tells a different story from the NII path.</w:t>
      </w:r>
      <w:r w:rsidRPr="0036474B">
        <w:rPr>
          <w:rFonts w:ascii="Times New Roman" w:hAnsi="Times New Roman" w:cs="Times New Roman"/>
          <w:noProof/>
          <w:sz w:val="24"/>
          <w:szCs w:val="24"/>
          <w:lang w:val="en-GB"/>
        </w:rPr>
        <w:t xml:space="preserve"> Where NII was subject to a squeeze in the low interest rate environment</w:t>
      </w:r>
      <w:r w:rsidR="00B53354" w:rsidRPr="0036474B">
        <w:rPr>
          <w:rFonts w:ascii="Times New Roman" w:hAnsi="Times New Roman" w:cs="Times New Roman"/>
          <w:noProof/>
          <w:sz w:val="24"/>
          <w:szCs w:val="24"/>
          <w:lang w:val="en-GB"/>
        </w:rPr>
        <w:t xml:space="preserve">, </w:t>
      </w:r>
      <w:r w:rsidRPr="0036474B">
        <w:rPr>
          <w:rFonts w:ascii="Times New Roman" w:hAnsi="Times New Roman" w:cs="Times New Roman"/>
          <w:noProof/>
          <w:sz w:val="24"/>
          <w:szCs w:val="24"/>
          <w:lang w:val="en-GB"/>
        </w:rPr>
        <w:t xml:space="preserve">followed by a surge from 2022, non-interest income followed a more complex trajectory: a modest but significant structural rise until beyond 30% </w:t>
      </w:r>
      <w:r w:rsidR="00B82274" w:rsidRPr="0036474B">
        <w:rPr>
          <w:rFonts w:ascii="Times New Roman" w:hAnsi="Times New Roman" w:cs="Times New Roman"/>
          <w:noProof/>
          <w:sz w:val="24"/>
          <w:szCs w:val="24"/>
          <w:lang w:val="en-GB"/>
        </w:rPr>
        <w:t xml:space="preserve">of total income </w:t>
      </w:r>
      <w:r w:rsidRPr="0036474B">
        <w:rPr>
          <w:rFonts w:ascii="Times New Roman" w:hAnsi="Times New Roman" w:cs="Times New Roman"/>
          <w:noProof/>
          <w:sz w:val="24"/>
          <w:szCs w:val="24"/>
          <w:lang w:val="en-GB"/>
        </w:rPr>
        <w:t>in 2020 and 2021 as banks tried to diversify away from rate-sensitive revenues, followed by a partial displacement effect as NII resurged.</w:t>
      </w:r>
    </w:p>
    <w:p w14:paraId="798514C2" w14:textId="18792A8D" w:rsidR="00541EE5" w:rsidRPr="0036474B" w:rsidRDefault="00541EE5" w:rsidP="00541EE5">
      <w:pPr>
        <w:jc w:val="both"/>
        <w:rPr>
          <w:rFonts w:ascii="Times New Roman" w:hAnsi="Times New Roman" w:cs="Times New Roman"/>
          <w:noProof/>
          <w:sz w:val="24"/>
          <w:szCs w:val="24"/>
          <w:lang w:val="en-GB"/>
        </w:rPr>
      </w:pPr>
      <w:r w:rsidRPr="0036474B">
        <w:rPr>
          <w:rFonts w:ascii="Times New Roman" w:hAnsi="Times New Roman" w:cs="Times New Roman"/>
          <w:b/>
          <w:bCs/>
          <w:noProof/>
          <w:sz w:val="24"/>
          <w:szCs w:val="24"/>
          <w:lang w:val="en-GB"/>
        </w:rPr>
        <w:t>The evidence after the G</w:t>
      </w:r>
      <w:r w:rsidR="00626BB1" w:rsidRPr="0036474B">
        <w:rPr>
          <w:rFonts w:ascii="Times New Roman" w:hAnsi="Times New Roman" w:cs="Times New Roman"/>
          <w:b/>
          <w:bCs/>
          <w:noProof/>
          <w:sz w:val="24"/>
          <w:szCs w:val="24"/>
          <w:lang w:val="en-GB"/>
        </w:rPr>
        <w:t>F</w:t>
      </w:r>
      <w:r w:rsidRPr="0036474B">
        <w:rPr>
          <w:rFonts w:ascii="Times New Roman" w:hAnsi="Times New Roman" w:cs="Times New Roman"/>
          <w:b/>
          <w:bCs/>
          <w:noProof/>
          <w:sz w:val="24"/>
          <w:szCs w:val="24"/>
          <w:lang w:val="en-GB"/>
        </w:rPr>
        <w:t xml:space="preserve">C and until </w:t>
      </w:r>
      <w:r w:rsidR="00247E97" w:rsidRPr="0036474B">
        <w:rPr>
          <w:rFonts w:ascii="Times New Roman" w:hAnsi="Times New Roman" w:cs="Times New Roman"/>
          <w:b/>
          <w:bCs/>
          <w:noProof/>
          <w:sz w:val="24"/>
          <w:szCs w:val="24"/>
          <w:lang w:val="en-GB"/>
        </w:rPr>
        <w:t xml:space="preserve">the end of the last decade </w:t>
      </w:r>
      <w:r w:rsidRPr="0036474B">
        <w:rPr>
          <w:rFonts w:ascii="Times New Roman" w:hAnsi="Times New Roman" w:cs="Times New Roman"/>
          <w:b/>
          <w:bCs/>
          <w:noProof/>
          <w:sz w:val="24"/>
          <w:szCs w:val="24"/>
          <w:lang w:val="en-GB"/>
        </w:rPr>
        <w:t>point</w:t>
      </w:r>
      <w:r w:rsidR="00247E97" w:rsidRPr="0036474B">
        <w:rPr>
          <w:rFonts w:ascii="Times New Roman" w:hAnsi="Times New Roman" w:cs="Times New Roman"/>
          <w:b/>
          <w:bCs/>
          <w:noProof/>
          <w:sz w:val="24"/>
          <w:szCs w:val="24"/>
          <w:lang w:val="en-GB"/>
        </w:rPr>
        <w:t>s</w:t>
      </w:r>
      <w:r w:rsidRPr="0036474B">
        <w:rPr>
          <w:rFonts w:ascii="Times New Roman" w:hAnsi="Times New Roman" w:cs="Times New Roman"/>
          <w:b/>
          <w:bCs/>
          <w:noProof/>
          <w:sz w:val="24"/>
          <w:szCs w:val="24"/>
          <w:lang w:val="en-GB"/>
        </w:rPr>
        <w:t xml:space="preserve"> to a weakly positive correlation between NII growth and NFCI growth for most SSM significant institutions, suggesting some degree of complementarity between these two income sources rather than substitution.</w:t>
      </w:r>
      <w:r w:rsidRPr="0036474B">
        <w:rPr>
          <w:rFonts w:ascii="Times New Roman" w:hAnsi="Times New Roman" w:cs="Times New Roman"/>
          <w:noProof/>
          <w:sz w:val="24"/>
          <w:szCs w:val="24"/>
          <w:lang w:val="en-GB"/>
        </w:rPr>
        <w:t xml:space="preserve"> In view of the pressures on net interest margins due to the prolonged period of low yields, many banks have sought to expand NFCI-generating activities to compensate for the slowdown in NII</w:t>
      </w:r>
      <w:r w:rsidR="00A70646" w:rsidRPr="0036474B">
        <w:rPr>
          <w:rFonts w:ascii="Times New Roman" w:hAnsi="Times New Roman" w:cs="Times New Roman"/>
          <w:noProof/>
          <w:sz w:val="24"/>
          <w:szCs w:val="24"/>
          <w:lang w:val="en-GB"/>
        </w:rPr>
        <w:t>. However,</w:t>
      </w:r>
      <w:r w:rsidRPr="0036474B">
        <w:rPr>
          <w:rFonts w:ascii="Times New Roman" w:hAnsi="Times New Roman" w:cs="Times New Roman"/>
          <w:noProof/>
          <w:sz w:val="24"/>
          <w:szCs w:val="24"/>
          <w:lang w:val="en-GB"/>
        </w:rPr>
        <w:t xml:space="preserve"> the relationship between the two income streams actually linked them to cyclical factors and did not suggest a pure substitution effect. This complementarity suggested that both income streams were driven by common macro factors such as economic growth and lending volumes, meaning that in a downturn—precisely when banks would most need fee income to compensate for NII pressure—fee income would also tend to fall. In addition, there is no unlimited pool of fees available for all banks, and a substantial share of this stream of income is only available for a subset of business models like investment and custodian banks.</w:t>
      </w:r>
    </w:p>
    <w:p w14:paraId="4B3CDB7A" w14:textId="04E2934F" w:rsidR="00541EE5" w:rsidRPr="0036474B" w:rsidRDefault="398C1F6A" w:rsidP="00541EE5">
      <w:pPr>
        <w:jc w:val="both"/>
        <w:rPr>
          <w:rFonts w:ascii="Times New Roman" w:hAnsi="Times New Roman" w:cs="Times New Roman"/>
          <w:noProof/>
          <w:sz w:val="24"/>
          <w:szCs w:val="24"/>
          <w:lang w:val="en-GB"/>
        </w:rPr>
      </w:pPr>
      <w:r w:rsidRPr="0036474B">
        <w:rPr>
          <w:rFonts w:ascii="Times New Roman" w:hAnsi="Times New Roman" w:cs="Times New Roman"/>
          <w:b/>
          <w:bCs/>
          <w:noProof/>
          <w:sz w:val="24"/>
          <w:szCs w:val="24"/>
          <w:lang w:val="en-GB"/>
        </w:rPr>
        <w:t>In 2021, as pandemic conditions eased and economic activity rebounded, profitability improved strongly driven by contracting cost of risk</w:t>
      </w:r>
      <w:r w:rsidR="44A06C95" w:rsidRPr="0036474B">
        <w:rPr>
          <w:rFonts w:ascii="Times New Roman" w:hAnsi="Times New Roman" w:cs="Times New Roman"/>
          <w:b/>
          <w:bCs/>
          <w:noProof/>
          <w:sz w:val="24"/>
          <w:szCs w:val="24"/>
          <w:lang w:val="en-GB"/>
        </w:rPr>
        <w:t>,</w:t>
      </w:r>
      <w:r w:rsidRPr="0036474B">
        <w:rPr>
          <w:rFonts w:ascii="Times New Roman" w:hAnsi="Times New Roman" w:cs="Times New Roman"/>
          <w:b/>
          <w:bCs/>
          <w:noProof/>
          <w:sz w:val="24"/>
          <w:szCs w:val="24"/>
          <w:lang w:val="en-GB"/>
        </w:rPr>
        <w:t xml:space="preserve"> as well as rising NFCI and NTI. </w:t>
      </w:r>
      <w:r w:rsidRPr="0036474B">
        <w:rPr>
          <w:rFonts w:ascii="Times New Roman" w:hAnsi="Times New Roman" w:cs="Times New Roman"/>
          <w:noProof/>
          <w:sz w:val="24"/>
          <w:szCs w:val="24"/>
          <w:lang w:val="en-GB"/>
        </w:rPr>
        <w:t xml:space="preserve">Fee and trading income therefore served as an early-cycle recovery driver before NII had begun to benefit from the </w:t>
      </w:r>
      <w:r w:rsidR="04F1A371" w:rsidRPr="0036474B">
        <w:rPr>
          <w:rFonts w:ascii="Times New Roman" w:hAnsi="Times New Roman" w:cs="Times New Roman"/>
          <w:noProof/>
          <w:sz w:val="24"/>
          <w:szCs w:val="24"/>
          <w:lang w:val="en-GB"/>
        </w:rPr>
        <w:t>rising</w:t>
      </w:r>
      <w:r w:rsidR="4541E05D" w:rsidRPr="0036474B">
        <w:rPr>
          <w:rFonts w:ascii="Times New Roman" w:hAnsi="Times New Roman" w:cs="Times New Roman"/>
          <w:noProof/>
          <w:sz w:val="24"/>
          <w:szCs w:val="24"/>
          <w:lang w:val="en-GB"/>
        </w:rPr>
        <w:t xml:space="preserve"> interest </w:t>
      </w:r>
      <w:r w:rsidRPr="0036474B">
        <w:rPr>
          <w:rFonts w:ascii="Times New Roman" w:hAnsi="Times New Roman" w:cs="Times New Roman"/>
          <w:noProof/>
          <w:sz w:val="24"/>
          <w:szCs w:val="24"/>
          <w:lang w:val="en-GB"/>
        </w:rPr>
        <w:t>rate</w:t>
      </w:r>
      <w:r w:rsidR="6FF4D1CC" w:rsidRPr="0036474B">
        <w:rPr>
          <w:rFonts w:ascii="Times New Roman" w:hAnsi="Times New Roman" w:cs="Times New Roman"/>
          <w:noProof/>
          <w:sz w:val="24"/>
          <w:szCs w:val="24"/>
          <w:lang w:val="en-GB"/>
        </w:rPr>
        <w:t>s</w:t>
      </w:r>
      <w:r w:rsidRPr="0036474B">
        <w:rPr>
          <w:rFonts w:ascii="Times New Roman" w:hAnsi="Times New Roman" w:cs="Times New Roman"/>
          <w:noProof/>
          <w:sz w:val="24"/>
          <w:szCs w:val="24"/>
          <w:lang w:val="en-GB"/>
        </w:rPr>
        <w:t xml:space="preserve">. </w:t>
      </w:r>
    </w:p>
    <w:p w14:paraId="78BCA3E5" w14:textId="15EEF1F1" w:rsidR="00541EE5" w:rsidRPr="0036474B" w:rsidRDefault="00541EE5" w:rsidP="00541EE5">
      <w:pPr>
        <w:jc w:val="both"/>
        <w:rPr>
          <w:rFonts w:ascii="Times New Roman" w:hAnsi="Times New Roman" w:cs="Times New Roman"/>
          <w:noProof/>
          <w:sz w:val="24"/>
          <w:szCs w:val="24"/>
          <w:lang w:val="en-GB"/>
        </w:rPr>
      </w:pPr>
      <w:r w:rsidRPr="0036474B">
        <w:rPr>
          <w:rFonts w:ascii="Times New Roman" w:hAnsi="Times New Roman" w:cs="Times New Roman"/>
          <w:b/>
          <w:bCs/>
          <w:noProof/>
          <w:sz w:val="24"/>
          <w:szCs w:val="24"/>
          <w:lang w:val="en-GB"/>
        </w:rPr>
        <w:t>The onset of rate tightening from mid-2022 brought a sharp compositional reversal</w:t>
      </w:r>
      <w:r w:rsidRPr="0036474B">
        <w:rPr>
          <w:rFonts w:ascii="Times New Roman" w:hAnsi="Times New Roman" w:cs="Times New Roman"/>
          <w:noProof/>
          <w:sz w:val="24"/>
          <w:szCs w:val="24"/>
          <w:lang w:val="en-GB"/>
        </w:rPr>
        <w:t xml:space="preserve">. As NII surged on the back of repricing, its share of total income rose sensibly, mechanically compressing the relative contribution of fees. Throughout 2022 and 2023, the share of net fee and commission income in total net operating income dropped, not because the absolute level of fees was collapsing, but because NII was growing far faster. </w:t>
      </w:r>
    </w:p>
    <w:p w14:paraId="33C674BC" w14:textId="42BA3EFD" w:rsidR="005058D8" w:rsidRPr="00F6254C" w:rsidRDefault="005058D8" w:rsidP="005058D8">
      <w:pPr>
        <w:rPr>
          <w:rFonts w:ascii="Times New Roman" w:hAnsi="Times New Roman" w:cs="Times New Roman"/>
          <w:i/>
          <w:iCs/>
          <w:noProof/>
          <w:sz w:val="24"/>
          <w:szCs w:val="24"/>
          <w:lang w:val="en-GB"/>
        </w:rPr>
      </w:pPr>
      <w:r>
        <w:rPr>
          <w:rFonts w:ascii="Times New Roman" w:hAnsi="Times New Roman" w:cs="Times New Roman"/>
          <w:i/>
          <w:iCs/>
          <w:noProof/>
          <w:color w:val="000000" w:themeColor="text1"/>
          <w:sz w:val="24"/>
          <w:szCs w:val="24"/>
        </w:rPr>
        <w:t>Figure 1</w:t>
      </w:r>
      <w:r w:rsidR="00A5286D">
        <w:rPr>
          <w:rFonts w:ascii="Times New Roman" w:hAnsi="Times New Roman" w:cs="Times New Roman"/>
          <w:i/>
          <w:iCs/>
          <w:noProof/>
          <w:color w:val="000000" w:themeColor="text1"/>
          <w:sz w:val="24"/>
          <w:szCs w:val="24"/>
        </w:rPr>
        <w:t>6</w:t>
      </w:r>
      <w:r w:rsidRPr="00F6254C">
        <w:rPr>
          <w:rFonts w:ascii="Times New Roman" w:hAnsi="Times New Roman" w:cs="Times New Roman"/>
          <w:i/>
          <w:iCs/>
          <w:noProof/>
          <w:color w:val="000000" w:themeColor="text1"/>
          <w:sz w:val="24"/>
          <w:szCs w:val="24"/>
        </w:rPr>
        <w:t xml:space="preserve">: </w:t>
      </w:r>
      <w:r>
        <w:rPr>
          <w:rFonts w:ascii="Times New Roman" w:hAnsi="Times New Roman" w:cs="Times New Roman"/>
          <w:i/>
          <w:iCs/>
          <w:noProof/>
          <w:color w:val="000000" w:themeColor="text1"/>
          <w:sz w:val="24"/>
          <w:szCs w:val="24"/>
        </w:rPr>
        <w:t>Net operating income drivers and cost efficiency for EA and US G-SIBs</w:t>
      </w:r>
    </w:p>
    <w:p w14:paraId="2E6680C8" w14:textId="7E1174F9" w:rsidR="00541EE5" w:rsidRDefault="00541EE5" w:rsidP="00541EE5">
      <w:pPr>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eastAsia="en-GB"/>
        </w:rPr>
        <w:drawing>
          <wp:inline distT="0" distB="0" distL="0" distR="0" wp14:anchorId="27955D02" wp14:editId="105851E2">
            <wp:extent cx="5162550" cy="3657600"/>
            <wp:effectExtent l="0" t="0" r="0" b="0"/>
            <wp:docPr id="1558315585" name="Picture 8"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315585" name="Picture 8" descr="A screenshot of a graph&#10;&#10;AI-generated content may be incorrect."/>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a:stretch>
                      <a:fillRect/>
                    </a:stretch>
                  </pic:blipFill>
                  <pic:spPr bwMode="auto">
                    <a:xfrm>
                      <a:off x="0" y="0"/>
                      <a:ext cx="5162550" cy="3657600"/>
                    </a:xfrm>
                    <a:prstGeom prst="rect">
                      <a:avLst/>
                    </a:prstGeom>
                    <a:noFill/>
                    <a:ln>
                      <a:noFill/>
                    </a:ln>
                    <a:extLst>
                      <a:ext uri="{53640926-AAD7-44D8-BBD7-CCE9431645EC}">
                        <a14:shadowObscured xmlns:a14="http://schemas.microsoft.com/office/drawing/2010/main"/>
                      </a:ext>
                    </a:extLst>
                  </pic:spPr>
                </pic:pic>
              </a:graphicData>
            </a:graphic>
          </wp:inline>
        </w:drawing>
      </w:r>
    </w:p>
    <w:p w14:paraId="1BC25031" w14:textId="11408E87" w:rsidR="00506D17" w:rsidRPr="00F6254C" w:rsidRDefault="00506D17" w:rsidP="00541EE5">
      <w:pPr>
        <w:rPr>
          <w:rFonts w:ascii="Times New Roman" w:hAnsi="Times New Roman" w:cs="Times New Roman"/>
          <w:i/>
          <w:iCs/>
          <w:noProof/>
          <w:sz w:val="24"/>
          <w:szCs w:val="24"/>
          <w:lang w:val="en-GB"/>
        </w:rPr>
      </w:pPr>
      <w:r w:rsidRPr="00F6254C">
        <w:rPr>
          <w:rFonts w:ascii="Times New Roman" w:hAnsi="Times New Roman" w:cs="Times New Roman"/>
          <w:i/>
          <w:iCs/>
          <w:noProof/>
          <w:color w:val="000000" w:themeColor="text1"/>
          <w:sz w:val="24"/>
          <w:szCs w:val="24"/>
        </w:rPr>
        <w:t>Source: ECB</w:t>
      </w:r>
    </w:p>
    <w:p w14:paraId="6F3F2A88" w14:textId="77777777" w:rsidR="00541EE5" w:rsidRPr="0036474B" w:rsidRDefault="00541EE5" w:rsidP="00541EE5">
      <w:pPr>
        <w:jc w:val="both"/>
        <w:rPr>
          <w:rFonts w:ascii="Times New Roman" w:hAnsi="Times New Roman" w:cs="Times New Roman"/>
          <w:b/>
          <w:i/>
          <w:noProof/>
          <w:sz w:val="24"/>
          <w:szCs w:val="24"/>
          <w:lang w:val="en-GB"/>
        </w:rPr>
      </w:pPr>
      <w:r w:rsidRPr="0036474B">
        <w:rPr>
          <w:rFonts w:ascii="Times New Roman" w:hAnsi="Times New Roman" w:cs="Times New Roman"/>
          <w:b/>
          <w:i/>
          <w:noProof/>
          <w:sz w:val="24"/>
          <w:szCs w:val="24"/>
          <w:lang w:val="en-GB"/>
        </w:rPr>
        <w:t>Efficiency and cost-income ratio</w:t>
      </w:r>
    </w:p>
    <w:p w14:paraId="654F9346" w14:textId="130553F4" w:rsidR="00541EE5" w:rsidRPr="0036474B" w:rsidRDefault="39E46412" w:rsidP="00541EE5">
      <w:pPr>
        <w:jc w:val="both"/>
        <w:rPr>
          <w:rFonts w:ascii="Times New Roman" w:hAnsi="Times New Roman" w:cs="Times New Roman"/>
          <w:noProof/>
          <w:sz w:val="24"/>
          <w:szCs w:val="24"/>
          <w:lang w:val="en-GB"/>
        </w:rPr>
      </w:pPr>
      <w:r w:rsidRPr="0036474B">
        <w:rPr>
          <w:rFonts w:ascii="Times New Roman" w:hAnsi="Times New Roman" w:cs="Times New Roman"/>
          <w:b/>
          <w:bCs/>
          <w:noProof/>
          <w:sz w:val="24"/>
          <w:szCs w:val="24"/>
          <w:lang w:val="en-GB"/>
        </w:rPr>
        <w:t>Analysing today’s levels of profitability, EU banks have strengthened their income generation and have become slightly more cost-efficient over the past 10 years</w:t>
      </w:r>
      <w:r w:rsidRPr="0036474B">
        <w:rPr>
          <w:rFonts w:ascii="Times New Roman" w:hAnsi="Times New Roman" w:cs="Times New Roman"/>
          <w:noProof/>
          <w:sz w:val="24"/>
          <w:szCs w:val="24"/>
          <w:lang w:val="en-GB"/>
        </w:rPr>
        <w:t>. The dynamics of the cost-income ratio (CIR)</w:t>
      </w:r>
      <w:r w:rsidR="00541EE5" w:rsidRPr="0036474B">
        <w:rPr>
          <w:rStyle w:val="FootnoteReference"/>
          <w:rFonts w:ascii="Times New Roman" w:hAnsi="Times New Roman" w:cs="Times New Roman"/>
          <w:noProof/>
          <w:sz w:val="24"/>
          <w:szCs w:val="24"/>
          <w:lang w:val="en-GB"/>
        </w:rPr>
        <w:footnoteReference w:id="37"/>
      </w:r>
      <w:r w:rsidRPr="0036474B">
        <w:rPr>
          <w:rFonts w:ascii="Times New Roman" w:hAnsi="Times New Roman" w:cs="Times New Roman"/>
          <w:noProof/>
          <w:sz w:val="24"/>
          <w:szCs w:val="24"/>
          <w:lang w:val="en-GB"/>
        </w:rPr>
        <w:t>, which has decreased from 63% in 2014 to 53</w:t>
      </w:r>
      <w:r w:rsidR="62252838" w:rsidRPr="0036474B">
        <w:rPr>
          <w:rFonts w:ascii="Times New Roman" w:hAnsi="Times New Roman" w:cs="Times New Roman"/>
          <w:noProof/>
          <w:sz w:val="24"/>
          <w:szCs w:val="24"/>
          <w:lang w:val="en-GB"/>
        </w:rPr>
        <w:t>,</w:t>
      </w:r>
      <w:r w:rsidRPr="0036474B">
        <w:rPr>
          <w:rFonts w:ascii="Times New Roman" w:hAnsi="Times New Roman" w:cs="Times New Roman"/>
          <w:noProof/>
          <w:sz w:val="24"/>
          <w:szCs w:val="24"/>
          <w:lang w:val="en-GB"/>
        </w:rPr>
        <w:t>3% in 2025, capture the cost discipline showed by banks especially after C</w:t>
      </w:r>
      <w:r w:rsidR="6BDC26C8" w:rsidRPr="0036474B">
        <w:rPr>
          <w:rFonts w:ascii="Times New Roman" w:hAnsi="Times New Roman" w:cs="Times New Roman"/>
          <w:noProof/>
          <w:sz w:val="24"/>
          <w:szCs w:val="24"/>
          <w:lang w:val="en-GB"/>
        </w:rPr>
        <w:t>OVID</w:t>
      </w:r>
      <w:r w:rsidRPr="0036474B">
        <w:rPr>
          <w:rFonts w:ascii="Times New Roman" w:hAnsi="Times New Roman" w:cs="Times New Roman"/>
          <w:noProof/>
          <w:sz w:val="24"/>
          <w:szCs w:val="24"/>
          <w:lang w:val="en-GB"/>
        </w:rPr>
        <w:t xml:space="preserve">, and is also reflective of the strong increase in income generation. While the increase in profitability has already been discussed, to ascertain whether EU banks have also increased their cost effectiveness </w:t>
      </w:r>
      <w:r w:rsidR="00757B17" w:rsidRPr="4EB84919">
        <w:rPr>
          <w:rFonts w:ascii="Times New Roman" w:hAnsi="Times New Roman" w:cs="Times New Roman"/>
          <w:noProof/>
          <w:sz w:val="24"/>
          <w:szCs w:val="24"/>
          <w:lang w:val="en-GB"/>
        </w:rPr>
        <w:t>focus</w:t>
      </w:r>
      <w:r w:rsidRPr="0036474B">
        <w:rPr>
          <w:rFonts w:ascii="Times New Roman" w:hAnsi="Times New Roman" w:cs="Times New Roman"/>
          <w:noProof/>
          <w:sz w:val="24"/>
          <w:szCs w:val="24"/>
          <w:lang w:val="en-GB"/>
        </w:rPr>
        <w:t xml:space="preserve"> on operating costs as a share of </w:t>
      </w:r>
      <w:r w:rsidRPr="0036474B">
        <w:rPr>
          <w:rFonts w:ascii="Times New Roman" w:hAnsi="Times New Roman" w:cs="Times New Roman"/>
          <w:noProof/>
          <w:sz w:val="24"/>
          <w:szCs w:val="24"/>
        </w:rPr>
        <w:t>core assets and liabilities.</w:t>
      </w:r>
      <w:r w:rsidRPr="0036474B">
        <w:rPr>
          <w:rFonts w:ascii="Times New Roman" w:hAnsi="Times New Roman" w:cs="Times New Roman"/>
          <w:noProof/>
          <w:sz w:val="24"/>
          <w:szCs w:val="24"/>
          <w:lang w:val="en-GB"/>
        </w:rPr>
        <w:t xml:space="preserve"> European lenders show a structural reduction in costs between 2021 and 2024 that hints to an increase in operating efficiency. </w:t>
      </w:r>
    </w:p>
    <w:p w14:paraId="6296E210" w14:textId="2DC922B0" w:rsidR="00541EE5" w:rsidRPr="0036474B" w:rsidRDefault="00541EE5" w:rsidP="00541EE5">
      <w:pPr>
        <w:jc w:val="both"/>
        <w:rPr>
          <w:rFonts w:ascii="Times New Roman" w:hAnsi="Times New Roman" w:cs="Times New Roman"/>
          <w:noProof/>
          <w:sz w:val="24"/>
          <w:szCs w:val="24"/>
        </w:rPr>
      </w:pPr>
      <w:r w:rsidRPr="0036474B">
        <w:rPr>
          <w:rFonts w:ascii="Times New Roman" w:hAnsi="Times New Roman" w:cs="Times New Roman"/>
          <w:b/>
          <w:bCs/>
          <w:noProof/>
          <w:sz w:val="24"/>
          <w:szCs w:val="24"/>
          <w:lang w:val="en-GB"/>
        </w:rPr>
        <w:t xml:space="preserve">Looking back at the period until 2020, </w:t>
      </w:r>
      <w:r w:rsidRPr="0036474B">
        <w:rPr>
          <w:rFonts w:ascii="Times New Roman" w:hAnsi="Times New Roman" w:cs="Times New Roman"/>
          <w:b/>
          <w:bCs/>
          <w:noProof/>
          <w:sz w:val="24"/>
          <w:szCs w:val="24"/>
        </w:rPr>
        <w:t>the high cost-to-income ratio (CIR) was a recurring and prominent problem for the EU banking sector, which ended up becoming a structural issue</w:t>
      </w:r>
      <w:r w:rsidRPr="0036474B">
        <w:rPr>
          <w:rFonts w:ascii="Times New Roman" w:hAnsi="Times New Roman" w:cs="Times New Roman"/>
          <w:noProof/>
          <w:sz w:val="24"/>
          <w:szCs w:val="24"/>
        </w:rPr>
        <w:t xml:space="preserve">. The problem was fundamentally one of income (the denominator) stagnation rather than costs (the numerator) excess. Banks were attempting to reduce operational costs through branch network rationalisation and headcount reductions or investing in digital transformation. Nonetheless, cost savings from branch rationalisation and staff layoffs were easily offset by the initial restructuring costs or the need to spend more on digital platforms changes. Yet, largely due to low income growth, EU banks' CIR on average remained above pre-crisis levels – see Figure </w:t>
      </w:r>
      <w:r w:rsidR="00E70AAD">
        <w:rPr>
          <w:rFonts w:ascii="Times New Roman" w:hAnsi="Times New Roman" w:cs="Times New Roman"/>
          <w:noProof/>
          <w:sz w:val="24"/>
          <w:szCs w:val="24"/>
        </w:rPr>
        <w:t>1</w:t>
      </w:r>
      <w:r w:rsidR="00A5286D">
        <w:rPr>
          <w:rFonts w:ascii="Times New Roman" w:hAnsi="Times New Roman" w:cs="Times New Roman"/>
          <w:noProof/>
          <w:sz w:val="24"/>
          <w:szCs w:val="24"/>
        </w:rPr>
        <w:t>7</w:t>
      </w:r>
      <w:r w:rsidRPr="0036474B">
        <w:rPr>
          <w:rFonts w:ascii="Times New Roman" w:hAnsi="Times New Roman" w:cs="Times New Roman"/>
          <w:noProof/>
          <w:sz w:val="24"/>
          <w:szCs w:val="24"/>
        </w:rPr>
        <w:t xml:space="preserve">. </w:t>
      </w:r>
    </w:p>
    <w:p w14:paraId="516B6B55" w14:textId="17ACE493" w:rsidR="00541EE5" w:rsidRPr="00A5286D" w:rsidRDefault="00225B47" w:rsidP="0095374B">
      <w:pPr>
        <w:pStyle w:val="Caption"/>
        <w:jc w:val="both"/>
        <w:rPr>
          <w:rFonts w:ascii="Times New Roman" w:hAnsi="Times New Roman" w:cs="Times New Roman"/>
          <w:noProof/>
          <w:color w:val="000000" w:themeColor="text1"/>
          <w:sz w:val="24"/>
          <w:szCs w:val="24"/>
        </w:rPr>
      </w:pPr>
      <w:r w:rsidRPr="00A5286D">
        <w:rPr>
          <w:rFonts w:ascii="Times New Roman" w:hAnsi="Times New Roman" w:cs="Times New Roman"/>
          <w:noProof/>
          <w:color w:val="000000" w:themeColor="text1"/>
          <w:sz w:val="24"/>
          <w:szCs w:val="24"/>
        </w:rPr>
        <w:t xml:space="preserve">Figure </w:t>
      </w:r>
      <w:r w:rsidR="007C2C8A" w:rsidRPr="00A5286D">
        <w:rPr>
          <w:rFonts w:ascii="Times New Roman" w:hAnsi="Times New Roman" w:cs="Times New Roman"/>
          <w:noProof/>
          <w:color w:val="000000" w:themeColor="text1"/>
          <w:sz w:val="24"/>
          <w:szCs w:val="24"/>
        </w:rPr>
        <w:t>1</w:t>
      </w:r>
      <w:r w:rsidR="00A5286D" w:rsidRPr="00A5286D">
        <w:rPr>
          <w:rFonts w:ascii="Times New Roman" w:hAnsi="Times New Roman" w:cs="Times New Roman"/>
          <w:noProof/>
          <w:color w:val="000000" w:themeColor="text1"/>
          <w:sz w:val="24"/>
          <w:szCs w:val="24"/>
        </w:rPr>
        <w:t>7</w:t>
      </w:r>
      <w:r w:rsidRPr="00A5286D">
        <w:rPr>
          <w:rFonts w:ascii="Times New Roman" w:hAnsi="Times New Roman" w:cs="Times New Roman"/>
          <w:noProof/>
          <w:color w:val="000000" w:themeColor="text1"/>
          <w:sz w:val="24"/>
          <w:szCs w:val="24"/>
        </w:rPr>
        <w:t xml:space="preserve"> – Cost income ratios of euro area banks</w:t>
      </w:r>
    </w:p>
    <w:p w14:paraId="21018ED2" w14:textId="77777777" w:rsidR="00541EE5" w:rsidRPr="0036474B" w:rsidRDefault="00541EE5" w:rsidP="00541EE5">
      <w:pPr>
        <w:keepNext/>
        <w:jc w:val="both"/>
        <w:rPr>
          <w:rFonts w:ascii="Times New Roman" w:hAnsi="Times New Roman" w:cs="Times New Roman"/>
          <w:noProof/>
          <w:sz w:val="24"/>
          <w:szCs w:val="24"/>
        </w:rPr>
      </w:pPr>
      <w:r w:rsidRPr="0036474B">
        <w:rPr>
          <w:rFonts w:ascii="Times New Roman" w:hAnsi="Times New Roman" w:cs="Times New Roman"/>
          <w:noProof/>
          <w:sz w:val="24"/>
          <w:szCs w:val="24"/>
          <w:lang w:val="en-GB" w:eastAsia="en-GB"/>
        </w:rPr>
        <w:drawing>
          <wp:inline distT="0" distB="0" distL="0" distR="0" wp14:anchorId="17455838" wp14:editId="311D150A">
            <wp:extent cx="5730789" cy="3904615"/>
            <wp:effectExtent l="0" t="0" r="3810" b="635"/>
            <wp:docPr id="1146568724"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568724" name="Picture 1" descr="A screenshot of a graph&#10;&#10;AI-generated content may be incorrect."/>
                    <pic:cNvPicPr/>
                  </pic:nvPicPr>
                  <pic:blipFill rotWithShape="1">
                    <a:blip r:embed="rId35"/>
                    <a:srcRect t="16737"/>
                    <a:stretch>
                      <a:fillRect/>
                    </a:stretch>
                  </pic:blipFill>
                  <pic:spPr bwMode="auto">
                    <a:xfrm>
                      <a:off x="0" y="0"/>
                      <a:ext cx="5731510" cy="3905106"/>
                    </a:xfrm>
                    <a:prstGeom prst="rect">
                      <a:avLst/>
                    </a:prstGeom>
                    <a:ln>
                      <a:noFill/>
                    </a:ln>
                    <a:extLst>
                      <a:ext uri="{53640926-AAD7-44D8-BBD7-CCE9431645EC}">
                        <a14:shadowObscured xmlns:a14="http://schemas.microsoft.com/office/drawing/2010/main"/>
                      </a:ext>
                    </a:extLst>
                  </pic:spPr>
                </pic:pic>
              </a:graphicData>
            </a:graphic>
          </wp:inline>
        </w:drawing>
      </w:r>
    </w:p>
    <w:p w14:paraId="145472CB" w14:textId="7FD4484C" w:rsidR="00225B47" w:rsidRPr="0036474B" w:rsidRDefault="00225B47" w:rsidP="00225B47">
      <w:pPr>
        <w:pStyle w:val="Caption"/>
        <w:jc w:val="both"/>
        <w:rPr>
          <w:rFonts w:ascii="Times New Roman" w:hAnsi="Times New Roman" w:cs="Times New Roman"/>
          <w:noProof/>
          <w:sz w:val="24"/>
          <w:szCs w:val="24"/>
        </w:rPr>
      </w:pPr>
      <w:r w:rsidRPr="0036474B">
        <w:rPr>
          <w:rFonts w:ascii="Times New Roman" w:hAnsi="Times New Roman" w:cs="Times New Roman"/>
          <w:noProof/>
          <w:sz w:val="24"/>
          <w:szCs w:val="24"/>
        </w:rPr>
        <w:t>Source: ECB consolidated banking data</w:t>
      </w:r>
    </w:p>
    <w:p w14:paraId="0E4F63B8" w14:textId="52E7689C" w:rsidR="00541EE5" w:rsidRPr="0036474B" w:rsidRDefault="00541EE5" w:rsidP="00541EE5">
      <w:pPr>
        <w:jc w:val="both"/>
        <w:rPr>
          <w:rFonts w:ascii="Times New Roman" w:hAnsi="Times New Roman" w:cs="Times New Roman"/>
          <w:noProof/>
          <w:sz w:val="24"/>
          <w:szCs w:val="24"/>
          <w:lang w:val="en-GB"/>
        </w:rPr>
      </w:pPr>
      <w:r w:rsidRPr="0036474B">
        <w:rPr>
          <w:rFonts w:ascii="Times New Roman" w:hAnsi="Times New Roman" w:cs="Times New Roman"/>
          <w:b/>
          <w:bCs/>
          <w:noProof/>
          <w:sz w:val="24"/>
          <w:szCs w:val="24"/>
          <w:lang w:val="en-GB"/>
        </w:rPr>
        <w:t>After years of flat CIR dynamics, the combination of post-pandemic revenue recovery and continued cost discipline began to shift the ratio more favourably from 2021 onwards</w:t>
      </w:r>
      <w:r w:rsidRPr="0036474B">
        <w:rPr>
          <w:rFonts w:ascii="Times New Roman" w:hAnsi="Times New Roman" w:cs="Times New Roman"/>
          <w:noProof/>
          <w:sz w:val="24"/>
          <w:szCs w:val="24"/>
          <w:lang w:val="en-GB"/>
        </w:rPr>
        <w:t xml:space="preserve">. Supported by higher interest rates and low loan loss provisions, euro area banks showed robust earnings momentum throughout 2022—this was particularly true for banks in countries where variable-rate lending predominated. The income denominator of the CIR was finally expanding, which mechanically improved the ratio even where costs were broadly stable. In 2022, bank operating profitability improved further, though the outlook had become more uncertain amid vulnerabilities in non-financial sectors. </w:t>
      </w:r>
    </w:p>
    <w:p w14:paraId="16B13C20" w14:textId="28A0F34D" w:rsidR="00541EE5" w:rsidRPr="0036474B" w:rsidRDefault="00541EE5" w:rsidP="00541EE5">
      <w:pPr>
        <w:jc w:val="both"/>
        <w:rPr>
          <w:rFonts w:ascii="Times New Roman" w:hAnsi="Times New Roman" w:cs="Times New Roman"/>
          <w:noProof/>
          <w:sz w:val="24"/>
          <w:szCs w:val="24"/>
          <w:lang w:val="en-GB"/>
        </w:rPr>
      </w:pPr>
      <w:r w:rsidRPr="0036474B">
        <w:rPr>
          <w:rFonts w:ascii="Times New Roman" w:hAnsi="Times New Roman" w:cs="Times New Roman"/>
          <w:b/>
          <w:bCs/>
          <w:noProof/>
          <w:sz w:val="24"/>
          <w:szCs w:val="24"/>
          <w:lang w:val="en-GB"/>
        </w:rPr>
        <w:t>From 2023 onwards, the CIR narrative shifted from a story of persistent failure to one of genuine but incomplete improvement</w:t>
      </w:r>
      <w:r w:rsidRPr="0036474B">
        <w:rPr>
          <w:rFonts w:ascii="Times New Roman" w:hAnsi="Times New Roman" w:cs="Times New Roman"/>
          <w:noProof/>
          <w:sz w:val="24"/>
          <w:szCs w:val="24"/>
          <w:lang w:val="en-GB"/>
        </w:rPr>
        <w:t>. The ECB</w:t>
      </w:r>
      <w:r w:rsidR="00DC793F">
        <w:rPr>
          <w:rFonts w:ascii="Times New Roman" w:hAnsi="Times New Roman" w:cs="Times New Roman"/>
          <w:noProof/>
          <w:sz w:val="24"/>
          <w:szCs w:val="24"/>
          <w:lang w:val="en-GB"/>
        </w:rPr>
        <w:t>’</w:t>
      </w:r>
      <w:r w:rsidRPr="0036474B">
        <w:rPr>
          <w:rFonts w:ascii="Times New Roman" w:hAnsi="Times New Roman" w:cs="Times New Roman"/>
          <w:noProof/>
          <w:sz w:val="24"/>
          <w:szCs w:val="24"/>
          <w:lang w:val="en-GB"/>
        </w:rPr>
        <w:t xml:space="preserve">s 2025 SREP results (covering the 2024 performance year) provided quantitative evidence of the post-2022 efficiency transformation across the EU banking sector – see Figure </w:t>
      </w:r>
      <w:r w:rsidR="00D243B7">
        <w:rPr>
          <w:rFonts w:ascii="Times New Roman" w:hAnsi="Times New Roman" w:cs="Times New Roman"/>
          <w:noProof/>
          <w:sz w:val="24"/>
          <w:szCs w:val="24"/>
          <w:lang w:val="en-GB"/>
        </w:rPr>
        <w:t>1</w:t>
      </w:r>
      <w:r w:rsidR="005B63B3">
        <w:rPr>
          <w:rFonts w:ascii="Times New Roman" w:hAnsi="Times New Roman" w:cs="Times New Roman"/>
          <w:noProof/>
          <w:sz w:val="24"/>
          <w:szCs w:val="24"/>
          <w:lang w:val="en-GB"/>
        </w:rPr>
        <w:t>8</w:t>
      </w:r>
      <w:r w:rsidRPr="0036474B">
        <w:rPr>
          <w:rFonts w:ascii="Times New Roman" w:hAnsi="Times New Roman" w:cs="Times New Roman"/>
          <w:noProof/>
          <w:sz w:val="24"/>
          <w:szCs w:val="24"/>
          <w:lang w:val="en-GB"/>
        </w:rPr>
        <w:t xml:space="preserve">. Looking across business models, the CIR trend hinting to operating expenses growing at a slower pace than operating income, demonstrating cost discipline, especially for </w:t>
      </w:r>
      <w:r w:rsidR="00CF6327" w:rsidRPr="0036474B">
        <w:rPr>
          <w:rFonts w:ascii="Times New Roman" w:hAnsi="Times New Roman" w:cs="Times New Roman"/>
          <w:noProof/>
          <w:sz w:val="24"/>
          <w:szCs w:val="24"/>
          <w:lang w:val="en-GB"/>
        </w:rPr>
        <w:t>G-SI</w:t>
      </w:r>
      <w:r w:rsidRPr="0036474B">
        <w:rPr>
          <w:rFonts w:ascii="Times New Roman" w:hAnsi="Times New Roman" w:cs="Times New Roman"/>
          <w:noProof/>
          <w:sz w:val="24"/>
          <w:szCs w:val="24"/>
          <w:lang w:val="en-GB"/>
        </w:rPr>
        <w:t xml:space="preserve">Bs, </w:t>
      </w:r>
      <w:r w:rsidR="00CF6327" w:rsidRPr="0036474B">
        <w:rPr>
          <w:rFonts w:ascii="Times New Roman" w:hAnsi="Times New Roman" w:cs="Times New Roman"/>
          <w:noProof/>
          <w:sz w:val="24"/>
          <w:szCs w:val="24"/>
          <w:lang w:val="en-GB"/>
        </w:rPr>
        <w:t>r</w:t>
      </w:r>
      <w:r w:rsidRPr="0036474B">
        <w:rPr>
          <w:rFonts w:ascii="Times New Roman" w:hAnsi="Times New Roman" w:cs="Times New Roman"/>
          <w:noProof/>
          <w:sz w:val="24"/>
          <w:szCs w:val="24"/>
          <w:lang w:val="en-GB"/>
        </w:rPr>
        <w:t xml:space="preserve">etail and consumer credit lenders, and </w:t>
      </w:r>
      <w:r w:rsidR="00CF6327" w:rsidRPr="0036474B">
        <w:rPr>
          <w:rFonts w:ascii="Times New Roman" w:hAnsi="Times New Roman" w:cs="Times New Roman"/>
          <w:noProof/>
          <w:sz w:val="24"/>
          <w:szCs w:val="24"/>
          <w:lang w:val="en-GB"/>
        </w:rPr>
        <w:t>u</w:t>
      </w:r>
      <w:r w:rsidRPr="0036474B">
        <w:rPr>
          <w:rFonts w:ascii="Times New Roman" w:hAnsi="Times New Roman" w:cs="Times New Roman"/>
          <w:noProof/>
          <w:sz w:val="24"/>
          <w:szCs w:val="24"/>
          <w:lang w:val="en-GB"/>
        </w:rPr>
        <w:t>niversal and investment banks.</w:t>
      </w:r>
    </w:p>
    <w:p w14:paraId="1141402B" w14:textId="14E228E1" w:rsidR="00104F38" w:rsidRPr="005B63B3" w:rsidRDefault="00104F38" w:rsidP="00104F38">
      <w:pPr>
        <w:pStyle w:val="Caption"/>
        <w:jc w:val="both"/>
        <w:rPr>
          <w:rFonts w:ascii="Times New Roman" w:hAnsi="Times New Roman" w:cs="Times New Roman"/>
          <w:noProof/>
          <w:color w:val="000000" w:themeColor="text1"/>
          <w:sz w:val="24"/>
          <w:szCs w:val="24"/>
          <w:lang w:val="en-GB"/>
        </w:rPr>
      </w:pPr>
      <w:r w:rsidRPr="005B63B3">
        <w:rPr>
          <w:rFonts w:ascii="Times New Roman" w:hAnsi="Times New Roman" w:cs="Times New Roman"/>
          <w:noProof/>
          <w:color w:val="000000" w:themeColor="text1"/>
          <w:sz w:val="24"/>
          <w:szCs w:val="24"/>
        </w:rPr>
        <w:t>Figure 1</w:t>
      </w:r>
      <w:r w:rsidR="005B63B3" w:rsidRPr="005B63B3">
        <w:rPr>
          <w:rFonts w:ascii="Times New Roman" w:hAnsi="Times New Roman" w:cs="Times New Roman"/>
          <w:noProof/>
          <w:color w:val="000000" w:themeColor="text1"/>
          <w:sz w:val="24"/>
          <w:szCs w:val="24"/>
        </w:rPr>
        <w:t>8</w:t>
      </w:r>
      <w:r w:rsidRPr="005B63B3">
        <w:rPr>
          <w:rFonts w:ascii="Times New Roman" w:hAnsi="Times New Roman" w:cs="Times New Roman"/>
          <w:noProof/>
          <w:color w:val="000000" w:themeColor="text1"/>
          <w:sz w:val="24"/>
          <w:szCs w:val="24"/>
        </w:rPr>
        <w:t xml:space="preserve"> - CIR by business model</w:t>
      </w:r>
    </w:p>
    <w:p w14:paraId="285C4688" w14:textId="77777777" w:rsidR="00541EE5" w:rsidRPr="0036474B" w:rsidRDefault="00541EE5" w:rsidP="00541EE5">
      <w:pPr>
        <w:keepNext/>
        <w:jc w:val="both"/>
        <w:rPr>
          <w:rFonts w:ascii="Times New Roman" w:hAnsi="Times New Roman" w:cs="Times New Roman"/>
          <w:noProof/>
          <w:sz w:val="24"/>
          <w:szCs w:val="24"/>
        </w:rPr>
      </w:pPr>
      <w:r w:rsidRPr="0036474B">
        <w:rPr>
          <w:rFonts w:ascii="Times New Roman" w:hAnsi="Times New Roman" w:cs="Times New Roman"/>
          <w:noProof/>
          <w:sz w:val="24"/>
          <w:szCs w:val="24"/>
          <w:lang w:val="en-GB" w:eastAsia="en-GB"/>
        </w:rPr>
        <w:drawing>
          <wp:inline distT="0" distB="0" distL="0" distR="0" wp14:anchorId="32CC3B69" wp14:editId="2D0DDCE9">
            <wp:extent cx="5731510" cy="3926205"/>
            <wp:effectExtent l="0" t="0" r="2540" b="0"/>
            <wp:docPr id="1994871648" name="Picture 1" descr="A graph of colorful bar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871648" name="Picture 1" descr="A graph of colorful bars and numbers&#10;&#10;AI-generated content may be incorrect."/>
                    <pic:cNvPicPr/>
                  </pic:nvPicPr>
                  <pic:blipFill rotWithShape="1">
                    <a:blip r:embed="rId36"/>
                    <a:srcRect t="12148"/>
                    <a:stretch>
                      <a:fillRect/>
                    </a:stretch>
                  </pic:blipFill>
                  <pic:spPr bwMode="auto">
                    <a:xfrm>
                      <a:off x="0" y="0"/>
                      <a:ext cx="5731510" cy="3926205"/>
                    </a:xfrm>
                    <a:prstGeom prst="rect">
                      <a:avLst/>
                    </a:prstGeom>
                    <a:ln>
                      <a:noFill/>
                    </a:ln>
                    <a:extLst>
                      <a:ext uri="{53640926-AAD7-44D8-BBD7-CCE9431645EC}">
                        <a14:shadowObscured xmlns:a14="http://schemas.microsoft.com/office/drawing/2010/main"/>
                      </a:ext>
                    </a:extLst>
                  </pic:spPr>
                </pic:pic>
              </a:graphicData>
            </a:graphic>
          </wp:inline>
        </w:drawing>
      </w:r>
    </w:p>
    <w:p w14:paraId="770A9E01" w14:textId="5ACF5C06" w:rsidR="00541EE5" w:rsidRPr="00920CC4" w:rsidRDefault="00104F38" w:rsidP="00541EE5">
      <w:pPr>
        <w:pStyle w:val="Caption"/>
        <w:jc w:val="both"/>
        <w:rPr>
          <w:rFonts w:ascii="Times New Roman" w:hAnsi="Times New Roman" w:cs="Times New Roman"/>
          <w:noProof/>
          <w:color w:val="auto"/>
          <w:sz w:val="24"/>
          <w:szCs w:val="24"/>
          <w:lang w:val="en-GB"/>
        </w:rPr>
      </w:pPr>
      <w:r w:rsidRPr="00920CC4">
        <w:rPr>
          <w:rFonts w:ascii="Times New Roman" w:hAnsi="Times New Roman" w:cs="Times New Roman"/>
          <w:noProof/>
          <w:color w:val="auto"/>
          <w:sz w:val="24"/>
          <w:szCs w:val="24"/>
        </w:rPr>
        <w:t>Source: ECB</w:t>
      </w:r>
      <w:r w:rsidR="00DF1D13" w:rsidRPr="00920CC4">
        <w:rPr>
          <w:rFonts w:ascii="Times New Roman" w:hAnsi="Times New Roman" w:cs="Times New Roman"/>
          <w:noProof/>
          <w:color w:val="auto"/>
          <w:sz w:val="24"/>
          <w:szCs w:val="24"/>
        </w:rPr>
        <w:t>, 2025 SREP results</w:t>
      </w:r>
    </w:p>
    <w:p w14:paraId="6D5C7AF4" w14:textId="77777777" w:rsidR="00541EE5" w:rsidRPr="0036474B" w:rsidRDefault="00541EE5" w:rsidP="00541EE5">
      <w:pPr>
        <w:jc w:val="both"/>
        <w:rPr>
          <w:rFonts w:ascii="Times New Roman" w:hAnsi="Times New Roman" w:cs="Times New Roman"/>
          <w:noProof/>
          <w:sz w:val="24"/>
          <w:szCs w:val="24"/>
          <w:lang w:val="en-GB"/>
        </w:rPr>
      </w:pPr>
      <w:r w:rsidRPr="0036474B">
        <w:rPr>
          <w:rFonts w:ascii="Times New Roman" w:hAnsi="Times New Roman" w:cs="Times New Roman"/>
          <w:b/>
          <w:bCs/>
          <w:noProof/>
          <w:sz w:val="24"/>
          <w:szCs w:val="24"/>
          <w:lang w:val="en-GB"/>
        </w:rPr>
        <w:t>Analysing the dynamics of CIR across the period, a structural tension emerges clearly and consistently</w:t>
      </w:r>
      <w:r w:rsidRPr="0036474B">
        <w:rPr>
          <w:rFonts w:ascii="Times New Roman" w:hAnsi="Times New Roman" w:cs="Times New Roman"/>
          <w:noProof/>
          <w:sz w:val="24"/>
          <w:szCs w:val="24"/>
          <w:lang w:val="en-GB"/>
        </w:rPr>
        <w:t>. The CIR has improved dramatically since 2022, and the tangible improvement is the result of efforts from banks and supervisors. However, this positive development arguably does not constitute a structural cost cut, and it is instead attributable to income growth driven by the rate cycle — a cyclical rather than structural driver. This distinction — between income-driven CIR improvement and genuine structural efficiency gains through cost reduction — is central to look prospectively and steer the discussion under the policy, (supervisory) and banking business points of view. The concern is that as the NII tailwind fades, banks that failed to use the high-profitability window to fundamentally restructure their business, consolidate or restructure the cost bases may find the CIR drifting back toward the elevated levels that defined the 2014–2021 era.</w:t>
      </w:r>
    </w:p>
    <w:p w14:paraId="5B93F952" w14:textId="0446E4C9" w:rsidR="0082444C" w:rsidRPr="0036474B" w:rsidRDefault="0082444C" w:rsidP="00B00C18">
      <w:pPr>
        <w:pStyle w:val="ListParagraph"/>
        <w:numPr>
          <w:ilvl w:val="2"/>
          <w:numId w:val="11"/>
        </w:numPr>
        <w:ind w:left="1077"/>
        <w:outlineLvl w:val="2"/>
        <w:rPr>
          <w:rFonts w:ascii="Times New Roman" w:hAnsi="Times New Roman" w:cs="Times New Roman"/>
          <w:b/>
          <w:bCs/>
          <w:noProof/>
          <w:sz w:val="24"/>
          <w:szCs w:val="24"/>
          <w:lang w:val="en-GB"/>
        </w:rPr>
      </w:pPr>
      <w:bookmarkStart w:id="22" w:name="_Toc234341729"/>
      <w:r w:rsidRPr="0036474B">
        <w:rPr>
          <w:rFonts w:ascii="Times New Roman" w:hAnsi="Times New Roman" w:cs="Times New Roman"/>
          <w:b/>
          <w:bCs/>
          <w:noProof/>
          <w:sz w:val="24"/>
          <w:szCs w:val="24"/>
          <w:lang w:val="en-GB"/>
        </w:rPr>
        <w:t>Market perception and valuations</w:t>
      </w:r>
      <w:bookmarkEnd w:id="22"/>
    </w:p>
    <w:p w14:paraId="56D0A3DE" w14:textId="77777777" w:rsidR="0082444C" w:rsidRPr="0036474B" w:rsidRDefault="0082444C" w:rsidP="0082444C">
      <w:pPr>
        <w:jc w:val="both"/>
        <w:rPr>
          <w:rFonts w:ascii="Times New Roman" w:hAnsi="Times New Roman" w:cs="Times New Roman"/>
          <w:noProof/>
          <w:sz w:val="24"/>
          <w:szCs w:val="24"/>
          <w:lang w:val="en-GB"/>
        </w:rPr>
      </w:pPr>
      <w:r w:rsidRPr="0036474B">
        <w:rPr>
          <w:rFonts w:ascii="Times New Roman" w:hAnsi="Times New Roman" w:cs="Times New Roman"/>
          <w:b/>
          <w:bCs/>
          <w:noProof/>
          <w:sz w:val="24"/>
          <w:szCs w:val="24"/>
          <w:lang w:val="en-GB"/>
        </w:rPr>
        <w:t>Market valuations of EU banks have improved compared to the previous decade but still trade at a discount compared to the pre-crisis context and to international peers.</w:t>
      </w:r>
      <w:r w:rsidRPr="0036474B">
        <w:rPr>
          <w:rFonts w:ascii="Times New Roman" w:hAnsi="Times New Roman" w:cs="Times New Roman"/>
          <w:noProof/>
          <w:sz w:val="24"/>
          <w:szCs w:val="24"/>
          <w:lang w:val="en-GB"/>
        </w:rPr>
        <w:t xml:space="preserve"> Prior to the GFC, the long run weighted average of EU banks’ price to book ratios was around 2x, with US banks already showing a premium at 2.4x</w:t>
      </w:r>
      <w:r w:rsidRPr="0036474B">
        <w:rPr>
          <w:rFonts w:ascii="Times New Roman" w:hAnsi="Times New Roman" w:cs="Times New Roman"/>
          <w:noProof/>
          <w:sz w:val="24"/>
          <w:szCs w:val="24"/>
          <w:vertAlign w:val="superscript"/>
          <w:lang w:val="en-GB"/>
        </w:rPr>
        <w:footnoteReference w:id="38"/>
      </w:r>
      <w:r w:rsidRPr="0036474B">
        <w:rPr>
          <w:rFonts w:ascii="Times New Roman" w:hAnsi="Times New Roman" w:cs="Times New Roman"/>
          <w:noProof/>
          <w:sz w:val="24"/>
          <w:szCs w:val="24"/>
          <w:lang w:val="en-GB"/>
        </w:rPr>
        <w:t xml:space="preserve">. After the GFC and during the euro sovereign crisis, EU banks have traded below parity, meaning investors priced the net assets of EU banks at a discount compared to their book value. For more than a decade, the low valuations reflected the many issues that were affecting EU banks’ performances and perceived solidity, as well as macro-financial factors. Today’s price-to-book ratio of EU banks (considering a composite index of publicly traded banks) have surpassed the parity, which is a positive outcome, even though it is still far from the pre-GFC long run average. In addition, today’s level still implies EU banks are traded at a discount: both compared to US banks, even though the gap has somewhat closed compared to the last decade, and compared to their own performance in the pre-GFC period. Anecdotally, the order of magnitude of the decline in EU banks’ valuations (and the contextual increase of US banks’ ones) over the past 25 years is remarkable: at the beginning of the 2000s, the 5 largest EU banks had individually a market capitalisation higher than the largest US bank; today, the single largest US bank has a market capitalisation higher than the 5 largest EU banks, combined.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2444C" w:rsidRPr="00064CC0" w14:paraId="22AC4BE3" w14:textId="77777777">
        <w:tc>
          <w:tcPr>
            <w:tcW w:w="9016" w:type="dxa"/>
          </w:tcPr>
          <w:p w14:paraId="64EC58DB" w14:textId="148C8DB2" w:rsidR="00B93A8E" w:rsidRPr="0036474B" w:rsidRDefault="00B93A8E" w:rsidP="00B93A8E">
            <w:pPr>
              <w:spacing w:after="160" w:line="259" w:lineRule="auto"/>
              <w:jc w:val="both"/>
              <w:rPr>
                <w:rFonts w:ascii="Times New Roman" w:hAnsi="Times New Roman" w:cs="Times New Roman"/>
                <w:i/>
                <w:iCs/>
                <w:noProof/>
                <w:sz w:val="24"/>
                <w:szCs w:val="24"/>
                <w:lang w:val="en-GB"/>
              </w:rPr>
            </w:pPr>
            <w:r w:rsidRPr="0036474B">
              <w:rPr>
                <w:rFonts w:ascii="Times New Roman" w:hAnsi="Times New Roman" w:cs="Times New Roman"/>
                <w:i/>
                <w:iCs/>
                <w:noProof/>
                <w:sz w:val="24"/>
                <w:szCs w:val="24"/>
                <w:lang w:val="en-GB"/>
              </w:rPr>
              <w:t xml:space="preserve">Figure </w:t>
            </w:r>
            <w:r w:rsidR="005B63B3">
              <w:rPr>
                <w:rFonts w:ascii="Times New Roman" w:hAnsi="Times New Roman" w:cs="Times New Roman"/>
                <w:i/>
                <w:iCs/>
                <w:noProof/>
                <w:sz w:val="24"/>
                <w:szCs w:val="24"/>
                <w:lang w:val="en-GB"/>
              </w:rPr>
              <w:t>19</w:t>
            </w:r>
            <w:r w:rsidRPr="0036474B">
              <w:rPr>
                <w:rFonts w:ascii="Times New Roman" w:hAnsi="Times New Roman" w:cs="Times New Roman"/>
                <w:i/>
                <w:iCs/>
                <w:noProof/>
                <w:sz w:val="24"/>
                <w:szCs w:val="24"/>
                <w:lang w:val="en-GB"/>
              </w:rPr>
              <w:t xml:space="preserve"> – Price to book ratios of indices of EU banks and US banks. The perceived lack of competitiveness of EU banks vs their own pre-crisis performance (PB ratio used to be 1.8x before the GFC and is now 1.4x), and vs US banks’ valuations at 1.6x.</w:t>
            </w:r>
          </w:p>
          <w:p w14:paraId="1D2B56C4" w14:textId="77777777" w:rsidR="0082444C" w:rsidRPr="0036474B" w:rsidRDefault="0082444C" w:rsidP="0082444C">
            <w:pPr>
              <w:spacing w:after="160" w:line="259" w:lineRule="auto"/>
              <w:jc w:val="both"/>
              <w:rPr>
                <w:rFonts w:ascii="Times New Roman" w:hAnsi="Times New Roman" w:cs="Times New Roman"/>
                <w:b/>
                <w:bCs/>
                <w:noProof/>
                <w:sz w:val="24"/>
                <w:szCs w:val="24"/>
                <w:lang w:val="en-GB"/>
              </w:rPr>
            </w:pPr>
            <w:r w:rsidRPr="0036474B">
              <w:rPr>
                <w:rFonts w:ascii="Times New Roman" w:hAnsi="Times New Roman" w:cs="Times New Roman"/>
                <w:b/>
                <w:bCs/>
                <w:noProof/>
                <w:sz w:val="24"/>
                <w:szCs w:val="24"/>
                <w:lang w:val="en-GB" w:eastAsia="en-GB"/>
              </w:rPr>
              <w:drawing>
                <wp:inline distT="0" distB="0" distL="0" distR="0" wp14:anchorId="715E2F1F" wp14:editId="4E8D0A08">
                  <wp:extent cx="5580000" cy="3619025"/>
                  <wp:effectExtent l="0" t="0" r="1905" b="635"/>
                  <wp:docPr id="1320481062" name="Picture 4" descr="A graph of different colored lines&#10;&#10;AI-generated content may be incorrect.">
                    <a:extLst xmlns:a="http://schemas.openxmlformats.org/drawingml/2006/main">
                      <a:ext uri="{FF2B5EF4-FFF2-40B4-BE49-F238E27FC236}">
                        <a16:creationId xmlns:a16="http://schemas.microsoft.com/office/drawing/2014/main" id="{FFDD8E8F-B5B6-33F6-867F-273B0454A2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481062" name="Picture 4" descr="A graph of different colored lines&#10;&#10;AI-generated content may be incorrect.">
                            <a:extLst>
                              <a:ext uri="{FF2B5EF4-FFF2-40B4-BE49-F238E27FC236}">
                                <a16:creationId xmlns:a16="http://schemas.microsoft.com/office/drawing/2014/main" id="{FFDD8E8F-B5B6-33F6-867F-273B0454A2C6}"/>
                              </a:ext>
                            </a:extLst>
                          </pic:cNvPr>
                          <pic:cNvPicPr>
                            <a:picLocks noChangeAspect="1"/>
                          </pic:cNvPicPr>
                        </pic:nvPicPr>
                        <pic:blipFill>
                          <a:blip r:embed="rId37"/>
                          <a:stretch>
                            <a:fillRect/>
                          </a:stretch>
                        </pic:blipFill>
                        <pic:spPr>
                          <a:xfrm>
                            <a:off x="0" y="0"/>
                            <a:ext cx="5580000" cy="3619025"/>
                          </a:xfrm>
                          <a:prstGeom prst="rect">
                            <a:avLst/>
                          </a:prstGeom>
                          <a:ln>
                            <a:noFill/>
                          </a:ln>
                        </pic:spPr>
                      </pic:pic>
                    </a:graphicData>
                  </a:graphic>
                </wp:inline>
              </w:drawing>
            </w:r>
          </w:p>
        </w:tc>
      </w:tr>
      <w:tr w:rsidR="0082444C" w:rsidRPr="00064CC0" w14:paraId="76E8B205" w14:textId="77777777">
        <w:tc>
          <w:tcPr>
            <w:tcW w:w="9016" w:type="dxa"/>
          </w:tcPr>
          <w:p w14:paraId="4CE7E27D" w14:textId="77777777" w:rsidR="0082444C" w:rsidRPr="0036474B" w:rsidRDefault="0082444C" w:rsidP="0082444C">
            <w:pPr>
              <w:spacing w:after="160" w:line="259" w:lineRule="auto"/>
              <w:jc w:val="both"/>
              <w:rPr>
                <w:rFonts w:ascii="Times New Roman" w:hAnsi="Times New Roman" w:cs="Times New Roman"/>
                <w:b/>
                <w:bCs/>
                <w:noProof/>
                <w:sz w:val="24"/>
                <w:szCs w:val="24"/>
                <w:lang w:val="en-GB"/>
              </w:rPr>
            </w:pPr>
            <w:r w:rsidRPr="0036474B">
              <w:rPr>
                <w:rFonts w:ascii="Times New Roman" w:hAnsi="Times New Roman" w:cs="Times New Roman"/>
                <w:i/>
                <w:iCs/>
                <w:noProof/>
                <w:sz w:val="24"/>
                <w:szCs w:val="24"/>
                <w:lang w:val="en-GB"/>
              </w:rPr>
              <w:t>Source: Bloomberg, DG FISMA calculations</w:t>
            </w:r>
          </w:p>
        </w:tc>
      </w:tr>
    </w:tbl>
    <w:p w14:paraId="6CD5B427" w14:textId="77777777" w:rsidR="0082444C" w:rsidRPr="0036474B" w:rsidRDefault="0082444C" w:rsidP="0082444C">
      <w:pPr>
        <w:jc w:val="both"/>
        <w:rPr>
          <w:rFonts w:ascii="Times New Roman" w:hAnsi="Times New Roman" w:cs="Times New Roman"/>
          <w:noProof/>
          <w:sz w:val="24"/>
          <w:szCs w:val="24"/>
        </w:rPr>
      </w:pPr>
      <w:r w:rsidRPr="0036474B">
        <w:rPr>
          <w:rFonts w:ascii="Times New Roman" w:hAnsi="Times New Roman" w:cs="Times New Roman"/>
          <w:b/>
          <w:bCs/>
          <w:noProof/>
          <w:sz w:val="24"/>
          <w:szCs w:val="24"/>
          <w:lang w:val="en-GB"/>
        </w:rPr>
        <w:t>Market prices of EU banks can be seen as driven by a mix of variables, notably a bank’s profitability and how much of those profits it manages to distribute, its management and operational efficiency, and the macroeconomic outlook.</w:t>
      </w:r>
      <w:r w:rsidRPr="0036474B">
        <w:rPr>
          <w:rFonts w:ascii="Times New Roman" w:hAnsi="Times New Roman" w:cs="Times New Roman"/>
          <w:noProof/>
          <w:sz w:val="24"/>
          <w:szCs w:val="24"/>
          <w:lang w:val="en-GB"/>
        </w:rPr>
        <w:t xml:space="preserve"> According to an ECB analysis</w:t>
      </w:r>
      <w:r w:rsidRPr="0036474B">
        <w:rPr>
          <w:rFonts w:ascii="Times New Roman" w:hAnsi="Times New Roman" w:cs="Times New Roman"/>
          <w:noProof/>
          <w:sz w:val="24"/>
          <w:szCs w:val="24"/>
          <w:vertAlign w:val="superscript"/>
          <w:lang w:val="en-GB"/>
        </w:rPr>
        <w:footnoteReference w:id="39"/>
      </w:r>
      <w:r w:rsidRPr="0036474B">
        <w:rPr>
          <w:rFonts w:ascii="Times New Roman" w:hAnsi="Times New Roman" w:cs="Times New Roman"/>
          <w:noProof/>
          <w:sz w:val="24"/>
          <w:szCs w:val="24"/>
          <w:lang w:val="en-GB"/>
        </w:rPr>
        <w:t>, low EU banks’ valuations after the GFC were driven mostly by the weak growth environment (until 2013) and subsequently (from 2013 onwards) by the faltering profitability profiles. Moreover, the study highlighted how asset quality, and management and operational efficiency were also explaining the dynamics of market prices. Overall, those factors explained about half of the variability of EU’s share price, meaning other factors were also playing a role.</w:t>
      </w:r>
    </w:p>
    <w:p w14:paraId="5D6D1F39" w14:textId="11AFCF26" w:rsidR="0082444C" w:rsidRPr="0036474B" w:rsidRDefault="0082444C" w:rsidP="0082444C">
      <w:pPr>
        <w:jc w:val="both"/>
        <w:rPr>
          <w:rFonts w:ascii="Times New Roman" w:hAnsi="Times New Roman" w:cs="Times New Roman"/>
          <w:b/>
          <w:bCs/>
          <w:noProof/>
          <w:sz w:val="24"/>
          <w:szCs w:val="24"/>
        </w:rPr>
      </w:pPr>
      <w:r w:rsidRPr="0036474B">
        <w:rPr>
          <w:rFonts w:ascii="Times New Roman" w:hAnsi="Times New Roman" w:cs="Times New Roman"/>
          <w:b/>
          <w:bCs/>
          <w:noProof/>
          <w:sz w:val="24"/>
          <w:szCs w:val="24"/>
        </w:rPr>
        <w:t xml:space="preserve">One key element influencing market valuations is related to how much of its profits a bank manages to pay out to its investors – in terms of dividends and share buybacks – and investors’ future expectations around that. </w:t>
      </w:r>
      <w:r w:rsidRPr="0036474B">
        <w:rPr>
          <w:rFonts w:ascii="Times New Roman" w:hAnsi="Times New Roman" w:cs="Times New Roman"/>
          <w:noProof/>
          <w:sz w:val="24"/>
          <w:szCs w:val="24"/>
        </w:rPr>
        <w:t>Effectively, the price of an equity depends not just on how profitable the company is, but also on the share of profit which is paid out or distributed. The ECB’s Financial Stability Review of November 2025 makes the link between listed EU banks’ share price and their expected profitability and payouts. Also, Resti at al. (2025)</w:t>
      </w:r>
      <w:r w:rsidRPr="0036474B">
        <w:rPr>
          <w:rFonts w:ascii="Times New Roman" w:hAnsi="Times New Roman" w:cs="Times New Roman"/>
          <w:noProof/>
          <w:sz w:val="24"/>
          <w:szCs w:val="24"/>
          <w:vertAlign w:val="superscript"/>
        </w:rPr>
        <w:footnoteReference w:id="40"/>
      </w:r>
      <w:r w:rsidRPr="0036474B">
        <w:rPr>
          <w:rFonts w:ascii="Times New Roman" w:hAnsi="Times New Roman" w:cs="Times New Roman"/>
          <w:noProof/>
          <w:sz w:val="24"/>
          <w:szCs w:val="24"/>
        </w:rPr>
        <w:t xml:space="preserve"> point out to the difference between the historical payout ratios between EU and US banks as a potential factor explaining EU’s share price underperformance. </w:t>
      </w:r>
    </w:p>
    <w:p w14:paraId="3E53ACA4" w14:textId="20AAAEC3" w:rsidR="0082444C" w:rsidRPr="0036474B" w:rsidRDefault="0082444C" w:rsidP="0082444C">
      <w:pPr>
        <w:jc w:val="both"/>
        <w:rPr>
          <w:rFonts w:ascii="Times New Roman" w:hAnsi="Times New Roman" w:cs="Times New Roman"/>
          <w:noProof/>
          <w:sz w:val="24"/>
          <w:szCs w:val="24"/>
          <w:lang w:val="en-GB"/>
        </w:rPr>
      </w:pPr>
      <w:r w:rsidRPr="0036474B">
        <w:rPr>
          <w:rFonts w:ascii="Times New Roman" w:hAnsi="Times New Roman" w:cs="Times New Roman"/>
          <w:b/>
          <w:bCs/>
          <w:noProof/>
          <w:sz w:val="24"/>
          <w:szCs w:val="24"/>
          <w:lang w:val="en-GB"/>
        </w:rPr>
        <w:t xml:space="preserve">Market valuations can be influenced by investors’ long-term expectations over the economy and the sector. </w:t>
      </w:r>
      <w:r w:rsidRPr="0036474B">
        <w:rPr>
          <w:rFonts w:ascii="Times New Roman" w:hAnsi="Times New Roman" w:cs="Times New Roman"/>
          <w:noProof/>
          <w:sz w:val="24"/>
          <w:szCs w:val="24"/>
          <w:lang w:val="en-GB"/>
        </w:rPr>
        <w:t>Investors may still regard the increase in EU banks’ profitability as temporary, and cast doubts on the ability to maintain these performances consistently over time. In other words, investor sentiment towards the sector takes time to adjust and structural considerations play a factor. Heider et al (2025)</w:t>
      </w:r>
      <w:r w:rsidRPr="0036474B">
        <w:rPr>
          <w:rFonts w:ascii="Times New Roman" w:hAnsi="Times New Roman" w:cs="Times New Roman"/>
          <w:noProof/>
          <w:sz w:val="24"/>
          <w:szCs w:val="24"/>
          <w:vertAlign w:val="superscript"/>
          <w:lang w:val="en-GB"/>
        </w:rPr>
        <w:footnoteReference w:id="41"/>
      </w:r>
      <w:r w:rsidRPr="0036474B">
        <w:rPr>
          <w:rFonts w:ascii="Times New Roman" w:hAnsi="Times New Roman" w:cs="Times New Roman"/>
          <w:noProof/>
          <w:sz w:val="24"/>
          <w:szCs w:val="24"/>
          <w:lang w:val="en-GB"/>
        </w:rPr>
        <w:t xml:space="preserve"> interpret the stickiness of market valuations of EU banks as linked to the fragmentation of the single market, which does not give EU banks a sufficiently wide market to guarantee continuous growth and profitability over time. In addition, analysts report that the past decade of low M&amp;A activity, coupled with government interventions that hindered recent cases, dissipated investors interest in the sector. </w:t>
      </w:r>
    </w:p>
    <w:p w14:paraId="2B12EEBD" w14:textId="5B072809" w:rsidR="0082444C" w:rsidRPr="0036474B" w:rsidRDefault="0082444C" w:rsidP="0082444C">
      <w:pPr>
        <w:jc w:val="both"/>
        <w:rPr>
          <w:rFonts w:ascii="Times New Roman" w:hAnsi="Times New Roman" w:cs="Times New Roman"/>
          <w:b/>
          <w:bCs/>
          <w:noProof/>
          <w:sz w:val="24"/>
          <w:szCs w:val="24"/>
        </w:rPr>
      </w:pPr>
      <w:r w:rsidRPr="0036474B">
        <w:rPr>
          <w:rFonts w:ascii="Times New Roman" w:hAnsi="Times New Roman" w:cs="Times New Roman"/>
          <w:b/>
          <w:bCs/>
          <w:noProof/>
          <w:sz w:val="24"/>
          <w:szCs w:val="24"/>
        </w:rPr>
        <w:t xml:space="preserve">In addition to these explanations, several studies tried to determine the impact of regulation on banks’ valuations. </w:t>
      </w:r>
      <w:r w:rsidRPr="0036474B">
        <w:rPr>
          <w:rFonts w:ascii="Times New Roman" w:hAnsi="Times New Roman" w:cs="Times New Roman"/>
          <w:noProof/>
          <w:sz w:val="24"/>
          <w:szCs w:val="24"/>
        </w:rPr>
        <w:t>A study by Oliver Wyman (2023)</w:t>
      </w:r>
      <w:r w:rsidRPr="0036474B">
        <w:rPr>
          <w:rFonts w:ascii="Times New Roman" w:hAnsi="Times New Roman" w:cs="Times New Roman"/>
          <w:noProof/>
          <w:sz w:val="24"/>
          <w:szCs w:val="24"/>
          <w:vertAlign w:val="superscript"/>
        </w:rPr>
        <w:footnoteReference w:id="42"/>
      </w:r>
      <w:r w:rsidRPr="0036474B">
        <w:rPr>
          <w:rFonts w:ascii="Times New Roman" w:hAnsi="Times New Roman" w:cs="Times New Roman"/>
          <w:noProof/>
          <w:sz w:val="24"/>
          <w:szCs w:val="24"/>
        </w:rPr>
        <w:t xml:space="preserve"> analyses the impact of regulatory burden on EU banks compared to US peers, concluding that the incremental regulatory impact on EU banks amounts to 0.8-1.0 percentage points in RoE and translates into a 0.11-0.12 on their price-to-book ratio</w:t>
      </w:r>
      <w:r w:rsidRPr="0036474B">
        <w:rPr>
          <w:rFonts w:ascii="Times New Roman" w:hAnsi="Times New Roman" w:cs="Times New Roman"/>
          <w:noProof/>
          <w:sz w:val="24"/>
          <w:szCs w:val="24"/>
          <w:vertAlign w:val="superscript"/>
        </w:rPr>
        <w:footnoteReference w:id="43"/>
      </w:r>
      <w:r w:rsidRPr="0036474B">
        <w:rPr>
          <w:rFonts w:ascii="Times New Roman" w:hAnsi="Times New Roman" w:cs="Times New Roman"/>
          <w:noProof/>
          <w:sz w:val="24"/>
          <w:szCs w:val="24"/>
        </w:rPr>
        <w:t>. The analysis mostly aims at showcasing how the EU regulatory framework puts European banks on an unlevel playing field with US ones</w:t>
      </w:r>
      <w:r w:rsidRPr="0036474B">
        <w:rPr>
          <w:rFonts w:ascii="Times New Roman" w:hAnsi="Times New Roman" w:cs="Times New Roman"/>
          <w:noProof/>
          <w:sz w:val="24"/>
          <w:szCs w:val="24"/>
          <w:vertAlign w:val="superscript"/>
        </w:rPr>
        <w:footnoteReference w:id="44"/>
      </w:r>
      <w:r w:rsidRPr="0036474B">
        <w:rPr>
          <w:rFonts w:ascii="Times New Roman" w:hAnsi="Times New Roman" w:cs="Times New Roman"/>
          <w:noProof/>
          <w:sz w:val="24"/>
          <w:szCs w:val="24"/>
        </w:rPr>
        <w:t>. Other analyses contradict the claim of that study</w:t>
      </w:r>
      <w:r w:rsidRPr="0036474B">
        <w:rPr>
          <w:rFonts w:ascii="Times New Roman" w:hAnsi="Times New Roman" w:cs="Times New Roman"/>
          <w:noProof/>
          <w:sz w:val="24"/>
          <w:szCs w:val="24"/>
          <w:vertAlign w:val="superscript"/>
        </w:rPr>
        <w:footnoteReference w:id="45"/>
      </w:r>
      <w:r w:rsidRPr="0036474B">
        <w:rPr>
          <w:rFonts w:ascii="Times New Roman" w:hAnsi="Times New Roman" w:cs="Times New Roman"/>
          <w:noProof/>
          <w:sz w:val="24"/>
          <w:szCs w:val="24"/>
        </w:rPr>
        <w:t>, and actually flip the argument by indicating how the US framework would be more stringent than the EU’s</w:t>
      </w:r>
      <w:r w:rsidR="0085546B">
        <w:rPr>
          <w:rFonts w:ascii="Times New Roman" w:hAnsi="Times New Roman" w:cs="Times New Roman"/>
          <w:noProof/>
          <w:sz w:val="24"/>
          <w:szCs w:val="24"/>
        </w:rPr>
        <w:t xml:space="preserve"> one</w:t>
      </w:r>
      <w:r w:rsidRPr="0036474B">
        <w:rPr>
          <w:rFonts w:ascii="Times New Roman" w:hAnsi="Times New Roman" w:cs="Times New Roman"/>
          <w:noProof/>
          <w:sz w:val="24"/>
          <w:szCs w:val="24"/>
        </w:rPr>
        <w:t xml:space="preserve">. Investors are interested in comparative analyses on levels of capital requirements across jurisdictions, but are even more so interested looking ahead at changes (decreases or increases) of the regulatory framework imposing those capital requirements. Overall, the main takeaway from the debate is that regulatory framework can be a factor in influencing a bank’s business choices, and possibly that the prudential framework is adapted to the realities of its own banking sector. </w:t>
      </w:r>
    </w:p>
    <w:p w14:paraId="3F8CF27E" w14:textId="3B48AB4A" w:rsidR="00B736E0" w:rsidRPr="0056249D" w:rsidRDefault="0082444C" w:rsidP="0082444C">
      <w:pPr>
        <w:jc w:val="both"/>
        <w:rPr>
          <w:rFonts w:ascii="Times New Roman" w:hAnsi="Times New Roman" w:cs="Times New Roman"/>
          <w:noProof/>
          <w:sz w:val="24"/>
          <w:szCs w:val="24"/>
        </w:rPr>
      </w:pPr>
      <w:r w:rsidRPr="0036474B">
        <w:rPr>
          <w:rFonts w:ascii="Times New Roman" w:hAnsi="Times New Roman" w:cs="Times New Roman"/>
          <w:b/>
          <w:bCs/>
          <w:noProof/>
          <w:sz w:val="24"/>
          <w:szCs w:val="24"/>
        </w:rPr>
        <w:t xml:space="preserve">One additional factor explaining EU banks (and more broadly EU equities) valuation dynamics is the size of the stock market. </w:t>
      </w:r>
      <w:r w:rsidRPr="0036474B">
        <w:rPr>
          <w:rFonts w:ascii="Times New Roman" w:hAnsi="Times New Roman" w:cs="Times New Roman"/>
          <w:noProof/>
          <w:sz w:val="24"/>
          <w:szCs w:val="24"/>
        </w:rPr>
        <w:t>In the 2000 the market capitalisation of US domestic listed stocks was USD 15 trillion, while the EU’s was USD 5 trillion</w:t>
      </w:r>
      <w:r w:rsidRPr="0036474B">
        <w:rPr>
          <w:rFonts w:ascii="Times New Roman" w:hAnsi="Times New Roman" w:cs="Times New Roman"/>
          <w:noProof/>
          <w:sz w:val="24"/>
          <w:szCs w:val="24"/>
          <w:vertAlign w:val="superscript"/>
        </w:rPr>
        <w:footnoteReference w:id="46"/>
      </w:r>
      <w:r w:rsidRPr="0036474B">
        <w:rPr>
          <w:rFonts w:ascii="Times New Roman" w:hAnsi="Times New Roman" w:cs="Times New Roman"/>
          <w:noProof/>
          <w:sz w:val="24"/>
          <w:szCs w:val="24"/>
        </w:rPr>
        <w:t>. Today, the market cap of US companies has increased by 5 times to USD 75 trillion, while EU’s market cap has increased by 2.7x to USD 13.6 trillion</w:t>
      </w:r>
      <w:r w:rsidRPr="0036474B">
        <w:rPr>
          <w:rFonts w:ascii="Times New Roman" w:hAnsi="Times New Roman" w:cs="Times New Roman"/>
          <w:noProof/>
          <w:sz w:val="24"/>
          <w:szCs w:val="24"/>
          <w:vertAlign w:val="superscript"/>
        </w:rPr>
        <w:footnoteReference w:id="47"/>
      </w:r>
      <w:r w:rsidRPr="0036474B">
        <w:rPr>
          <w:rFonts w:ascii="Times New Roman" w:hAnsi="Times New Roman" w:cs="Times New Roman"/>
          <w:noProof/>
          <w:sz w:val="24"/>
          <w:szCs w:val="24"/>
        </w:rPr>
        <w:t>. While the dimension of the stock market does not per se explain differences in market valuations of single stocks, the orders of magnitude can help understand the scale at which the US stock markets have grown and how big of a problem the EU has without a completed SIU. This also has a remarkable effect on the CIB activities as it prevents EU banks to leverage on a wide EU market as their basis to develop scale and global operations.</w:t>
      </w:r>
    </w:p>
    <w:p w14:paraId="1324D34F" w14:textId="3166203B" w:rsidR="00B736E0" w:rsidRPr="0036474B" w:rsidRDefault="00B736E0">
      <w:pPr>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rPr>
        <w:br w:type="page"/>
      </w:r>
    </w:p>
    <w:p w14:paraId="708468E0" w14:textId="4CCE9C8B" w:rsidR="00C54A94" w:rsidRPr="009C5961" w:rsidRDefault="00EF1223" w:rsidP="003877FB">
      <w:pPr>
        <w:pStyle w:val="ListParagraph"/>
        <w:numPr>
          <w:ilvl w:val="0"/>
          <w:numId w:val="11"/>
        </w:numPr>
        <w:spacing w:after="240"/>
        <w:ind w:left="714" w:hanging="357"/>
        <w:contextualSpacing w:val="0"/>
        <w:outlineLvl w:val="0"/>
        <w:rPr>
          <w:rFonts w:ascii="Times New Roman" w:hAnsi="Times New Roman" w:cs="Times New Roman"/>
          <w:b/>
          <w:noProof/>
          <w:sz w:val="24"/>
          <w:szCs w:val="24"/>
          <w:lang w:val="en-GB"/>
        </w:rPr>
      </w:pPr>
      <w:r>
        <w:rPr>
          <w:rFonts w:ascii="Times New Roman" w:hAnsi="Times New Roman" w:cs="Times New Roman"/>
          <w:b/>
          <w:noProof/>
          <w:sz w:val="24"/>
          <w:szCs w:val="24"/>
          <w:lang w:val="en-GB"/>
        </w:rPr>
        <w:t xml:space="preserve"> </w:t>
      </w:r>
      <w:bookmarkStart w:id="23" w:name="_Toc234341730"/>
      <w:r w:rsidR="00C54A94" w:rsidRPr="009C5961">
        <w:rPr>
          <w:rFonts w:ascii="Times New Roman" w:hAnsi="Times New Roman" w:cs="Times New Roman"/>
          <w:b/>
          <w:noProof/>
          <w:sz w:val="24"/>
          <w:szCs w:val="24"/>
          <w:lang w:val="en-GB"/>
        </w:rPr>
        <w:t>REMAINING CHALLENGES</w:t>
      </w:r>
      <w:bookmarkEnd w:id="23"/>
    </w:p>
    <w:p w14:paraId="35DB2824" w14:textId="7A1D53F1" w:rsidR="00D05E3D" w:rsidRPr="009C5961" w:rsidRDefault="005E0C52" w:rsidP="00E61DA9">
      <w:pPr>
        <w:pStyle w:val="ListParagraph"/>
        <w:numPr>
          <w:ilvl w:val="1"/>
          <w:numId w:val="11"/>
        </w:numPr>
        <w:outlineLvl w:val="1"/>
        <w:rPr>
          <w:rFonts w:ascii="Times New Roman" w:hAnsi="Times New Roman" w:cs="Times New Roman"/>
          <w:b/>
          <w:noProof/>
          <w:sz w:val="24"/>
          <w:szCs w:val="24"/>
          <w:lang w:val="en-GB"/>
        </w:rPr>
      </w:pPr>
      <w:bookmarkStart w:id="24" w:name="_Toc234341731"/>
      <w:r w:rsidRPr="009C5961">
        <w:rPr>
          <w:rFonts w:ascii="Times New Roman" w:hAnsi="Times New Roman" w:cs="Times New Roman"/>
          <w:b/>
          <w:noProof/>
          <w:sz w:val="24"/>
          <w:szCs w:val="24"/>
          <w:lang w:val="en-GB"/>
        </w:rPr>
        <w:t>F</w:t>
      </w:r>
      <w:r w:rsidR="00E61DA9" w:rsidRPr="009C5961">
        <w:rPr>
          <w:rFonts w:ascii="Times New Roman" w:hAnsi="Times New Roman" w:cs="Times New Roman"/>
          <w:b/>
          <w:noProof/>
          <w:sz w:val="24"/>
          <w:szCs w:val="24"/>
          <w:lang w:val="en-GB"/>
        </w:rPr>
        <w:t xml:space="preserve">ragmentation of the single market </w:t>
      </w:r>
      <w:bookmarkStart w:id="25" w:name="_Toc231844454"/>
      <w:bookmarkEnd w:id="25"/>
      <w:r w:rsidR="003877FB" w:rsidRPr="009C5961">
        <w:rPr>
          <w:rFonts w:ascii="Times New Roman" w:hAnsi="Times New Roman" w:cs="Times New Roman"/>
          <w:b/>
          <w:noProof/>
          <w:sz w:val="24"/>
          <w:szCs w:val="24"/>
          <w:lang w:val="en-GB"/>
        </w:rPr>
        <w:t>in banking</w:t>
      </w:r>
      <w:r w:rsidR="00E61DA9" w:rsidRPr="009C5961">
        <w:rPr>
          <w:rFonts w:ascii="Times New Roman" w:hAnsi="Times New Roman" w:cs="Times New Roman"/>
          <w:b/>
          <w:noProof/>
          <w:sz w:val="24"/>
          <w:szCs w:val="24"/>
          <w:lang w:val="en-GB"/>
        </w:rPr>
        <w:t xml:space="preserve"> </w:t>
      </w:r>
      <w:r w:rsidRPr="009C5961">
        <w:rPr>
          <w:rFonts w:ascii="Times New Roman" w:hAnsi="Times New Roman" w:cs="Times New Roman"/>
          <w:b/>
          <w:noProof/>
          <w:sz w:val="24"/>
          <w:szCs w:val="24"/>
          <w:lang w:val="en-GB"/>
        </w:rPr>
        <w:t xml:space="preserve">– </w:t>
      </w:r>
      <w:r w:rsidR="005D6C1A">
        <w:rPr>
          <w:rFonts w:ascii="Times New Roman" w:hAnsi="Times New Roman" w:cs="Times New Roman"/>
          <w:b/>
          <w:noProof/>
          <w:sz w:val="24"/>
          <w:szCs w:val="24"/>
          <w:lang w:val="en-GB"/>
        </w:rPr>
        <w:t>Main</w:t>
      </w:r>
      <w:r w:rsidR="005D6C1A" w:rsidRPr="009C5961">
        <w:rPr>
          <w:rFonts w:ascii="Times New Roman" w:hAnsi="Times New Roman" w:cs="Times New Roman"/>
          <w:b/>
          <w:noProof/>
          <w:sz w:val="24"/>
          <w:szCs w:val="24"/>
          <w:lang w:val="en-GB"/>
        </w:rPr>
        <w:t xml:space="preserve"> </w:t>
      </w:r>
      <w:r w:rsidRPr="009C5961">
        <w:rPr>
          <w:rFonts w:ascii="Times New Roman" w:hAnsi="Times New Roman" w:cs="Times New Roman"/>
          <w:b/>
          <w:noProof/>
          <w:sz w:val="24"/>
          <w:szCs w:val="24"/>
          <w:lang w:val="en-GB"/>
        </w:rPr>
        <w:t>issues</w:t>
      </w:r>
      <w:bookmarkEnd w:id="24"/>
    </w:p>
    <w:p w14:paraId="32877F7E" w14:textId="6971E2F8" w:rsidR="00C57968" w:rsidRPr="0036474B" w:rsidRDefault="00C57968" w:rsidP="0029346A">
      <w:pPr>
        <w:spacing w:line="276" w:lineRule="auto"/>
        <w:jc w:val="both"/>
        <w:rPr>
          <w:rFonts w:ascii="Times New Roman" w:hAnsi="Times New Roman" w:cs="Times New Roman"/>
          <w:noProof/>
          <w:sz w:val="24"/>
          <w:szCs w:val="24"/>
        </w:rPr>
      </w:pPr>
      <w:r w:rsidRPr="0036474B">
        <w:rPr>
          <w:rFonts w:ascii="Times New Roman" w:hAnsi="Times New Roman" w:cs="Times New Roman"/>
          <w:b/>
          <w:bCs/>
          <w:noProof/>
          <w:sz w:val="24"/>
          <w:szCs w:val="24"/>
          <w:lang w:val="en-GB"/>
        </w:rPr>
        <w:t xml:space="preserve">The fragmentation of the banking single market is a strategic vulnerability with detrimental effects on the EU financial sector and the EU </w:t>
      </w:r>
      <w:r w:rsidR="003C301B" w:rsidRPr="0036474B">
        <w:rPr>
          <w:rFonts w:ascii="Times New Roman" w:hAnsi="Times New Roman" w:cs="Times New Roman"/>
          <w:b/>
          <w:bCs/>
          <w:noProof/>
          <w:sz w:val="24"/>
          <w:szCs w:val="24"/>
          <w:lang w:val="en-GB"/>
        </w:rPr>
        <w:t>economy</w:t>
      </w:r>
      <w:r w:rsidRPr="0036474B">
        <w:rPr>
          <w:rFonts w:ascii="Times New Roman" w:hAnsi="Times New Roman" w:cs="Times New Roman"/>
          <w:noProof/>
          <w:sz w:val="24"/>
          <w:szCs w:val="24"/>
          <w:lang w:val="en-GB"/>
        </w:rPr>
        <w:t xml:space="preserve">. A </w:t>
      </w:r>
      <w:r w:rsidRPr="0036474B">
        <w:rPr>
          <w:rFonts w:ascii="Times New Roman" w:hAnsi="Times New Roman" w:cs="Times New Roman"/>
          <w:noProof/>
          <w:sz w:val="24"/>
          <w:szCs w:val="24"/>
        </w:rPr>
        <w:t xml:space="preserve">more integrated financial market would enhance the EU's collective resilience to idiosyncratic shocks by enabling genuine cross-border risk sharing and portfolio diversification. In a fully integrated market, banks could allocate capital across Member States, so that a downturn in one country is partially absorbed by income flows from others. Where national segmentation persists, this insurance mechanism based on the private financial sector is absent, and </w:t>
      </w:r>
      <w:r w:rsidR="00596B0D" w:rsidRPr="0036474B">
        <w:rPr>
          <w:rFonts w:ascii="Times New Roman" w:hAnsi="Times New Roman" w:cs="Times New Roman"/>
          <w:noProof/>
          <w:sz w:val="24"/>
          <w:szCs w:val="24"/>
        </w:rPr>
        <w:t xml:space="preserve">the </w:t>
      </w:r>
      <w:r w:rsidRPr="0036474B">
        <w:rPr>
          <w:rFonts w:ascii="Times New Roman" w:hAnsi="Times New Roman" w:cs="Times New Roman"/>
          <w:noProof/>
          <w:sz w:val="24"/>
          <w:szCs w:val="24"/>
        </w:rPr>
        <w:t>counterbalance of idiosyncratic shock relies on the public sector: losses concentrate domestically, amplifying the severity of local downturns and increasing the likelihood that single M</w:t>
      </w:r>
      <w:r w:rsidR="00DF2E34" w:rsidRPr="0036474B">
        <w:rPr>
          <w:rFonts w:ascii="Times New Roman" w:hAnsi="Times New Roman" w:cs="Times New Roman"/>
          <w:noProof/>
          <w:sz w:val="24"/>
          <w:szCs w:val="24"/>
        </w:rPr>
        <w:t xml:space="preserve">ember </w:t>
      </w:r>
      <w:r w:rsidRPr="0036474B">
        <w:rPr>
          <w:rFonts w:ascii="Times New Roman" w:hAnsi="Times New Roman" w:cs="Times New Roman"/>
          <w:noProof/>
          <w:sz w:val="24"/>
          <w:szCs w:val="24"/>
        </w:rPr>
        <w:t>S</w:t>
      </w:r>
      <w:r w:rsidR="00DF2E34" w:rsidRPr="0036474B">
        <w:rPr>
          <w:rFonts w:ascii="Times New Roman" w:hAnsi="Times New Roman" w:cs="Times New Roman"/>
          <w:noProof/>
          <w:sz w:val="24"/>
          <w:szCs w:val="24"/>
        </w:rPr>
        <w:t>tate</w:t>
      </w:r>
      <w:r w:rsidRPr="0036474B">
        <w:rPr>
          <w:rFonts w:ascii="Times New Roman" w:hAnsi="Times New Roman" w:cs="Times New Roman"/>
          <w:noProof/>
          <w:sz w:val="24"/>
          <w:szCs w:val="24"/>
        </w:rPr>
        <w:t xml:space="preserve">s’ financial systems come under stress simultaneously rather than acting as buffers for one another. Under the EU economy’s perspective, fragmentation reduces competition and hinders </w:t>
      </w:r>
      <w:r w:rsidR="00E11F77">
        <w:rPr>
          <w:rFonts w:ascii="Times New Roman" w:hAnsi="Times New Roman" w:cs="Times New Roman"/>
          <w:noProof/>
          <w:sz w:val="24"/>
          <w:szCs w:val="24"/>
        </w:rPr>
        <w:t xml:space="preserve">access to finance for </w:t>
      </w:r>
      <w:r w:rsidRPr="0036474B">
        <w:rPr>
          <w:rFonts w:ascii="Times New Roman" w:hAnsi="Times New Roman" w:cs="Times New Roman"/>
          <w:noProof/>
          <w:sz w:val="24"/>
          <w:szCs w:val="24"/>
        </w:rPr>
        <w:t>businesses and households. This means that the cost and availability of capital continue to differ markedly across Member States, reflecting structural barriers, including the regulatory ones, rather than genuine differences in creditworthiness or investment risk.</w:t>
      </w:r>
    </w:p>
    <w:p w14:paraId="44B5ECF8" w14:textId="542EE321" w:rsidR="00EF7ABD" w:rsidRDefault="00C57968" w:rsidP="0029346A">
      <w:pPr>
        <w:spacing w:line="276" w:lineRule="auto"/>
        <w:jc w:val="both"/>
        <w:rPr>
          <w:rFonts w:ascii="Times New Roman" w:hAnsi="Times New Roman" w:cs="Times New Roman"/>
          <w:noProof/>
          <w:sz w:val="24"/>
          <w:szCs w:val="24"/>
        </w:rPr>
      </w:pPr>
      <w:r w:rsidRPr="0036474B">
        <w:rPr>
          <w:rFonts w:ascii="Times New Roman" w:hAnsi="Times New Roman" w:cs="Times New Roman"/>
          <w:b/>
          <w:bCs/>
          <w:noProof/>
          <w:sz w:val="24"/>
          <w:szCs w:val="24"/>
        </w:rPr>
        <w:t>The persistence of national fragmentation imposes on EU banks significant structural costs and prevents them from achieving economies of scale and scope.</w:t>
      </w:r>
      <w:r w:rsidRPr="0036474B">
        <w:rPr>
          <w:rFonts w:ascii="Times New Roman" w:hAnsi="Times New Roman" w:cs="Times New Roman"/>
          <w:noProof/>
          <w:sz w:val="24"/>
          <w:szCs w:val="24"/>
        </w:rPr>
        <w:t xml:space="preserve"> Cross-border banking activity within the EU remains far below what the size of the internal market would warrant, in part because regulatory and supervisory heterogeneity, national ring-fencing requirements and differences in insolvency frameworks create barriers to entry and to further deepen cross-MS activities. Without the ability to consolidate operations and client relationships across borders, European banks are unable to achieve the cost efficiencies that larger, more geographically diversified institutions realise through the sharing of fixed infrastructure, technology platforms, compliance functions and risk management capabilities. This penalises European banks, weakening their competitive position, eroding their capacity to invest in digital transformation, and ultimately reducing the quality and breadth of financial services they can offer to European businesses and households.</w:t>
      </w:r>
    </w:p>
    <w:p w14:paraId="6A668149" w14:textId="420287EA" w:rsidR="00EE4A27" w:rsidRPr="00EE4A27" w:rsidRDefault="00EE4A27" w:rsidP="00B00C18">
      <w:pPr>
        <w:pStyle w:val="ListParagraph"/>
        <w:numPr>
          <w:ilvl w:val="2"/>
          <w:numId w:val="11"/>
        </w:numPr>
        <w:ind w:left="1077"/>
        <w:outlineLvl w:val="2"/>
        <w:rPr>
          <w:rFonts w:ascii="Times New Roman" w:hAnsi="Times New Roman" w:cs="Times New Roman"/>
          <w:b/>
          <w:bCs/>
          <w:noProof/>
          <w:sz w:val="24"/>
          <w:szCs w:val="24"/>
          <w:lang w:val="en-GB"/>
        </w:rPr>
      </w:pPr>
      <w:bookmarkStart w:id="26" w:name="_Toc234341732"/>
      <w:r w:rsidRPr="0036474B">
        <w:rPr>
          <w:rFonts w:ascii="Times New Roman" w:hAnsi="Times New Roman" w:cs="Times New Roman"/>
          <w:b/>
          <w:bCs/>
          <w:noProof/>
          <w:sz w:val="24"/>
          <w:szCs w:val="24"/>
          <w:lang w:val="en-GB"/>
        </w:rPr>
        <w:t>Evidence of a fragmented banking sector</w:t>
      </w:r>
      <w:bookmarkEnd w:id="26"/>
    </w:p>
    <w:p w14:paraId="7125E8C8" w14:textId="0B38371F" w:rsidR="003F0645" w:rsidRPr="0036474B" w:rsidRDefault="00465018" w:rsidP="0029346A">
      <w:pPr>
        <w:spacing w:line="276" w:lineRule="auto"/>
        <w:jc w:val="both"/>
        <w:rPr>
          <w:rFonts w:ascii="Times New Roman" w:hAnsi="Times New Roman" w:cs="Times New Roman"/>
          <w:noProof/>
          <w:sz w:val="24"/>
          <w:szCs w:val="24"/>
        </w:rPr>
      </w:pPr>
      <w:r w:rsidRPr="001752EA">
        <w:rPr>
          <w:rFonts w:ascii="Times New Roman" w:hAnsi="Times New Roman" w:cs="Times New Roman"/>
          <w:b/>
          <w:noProof/>
          <w:sz w:val="24"/>
          <w:szCs w:val="24"/>
        </w:rPr>
        <w:t>Data from the EBA</w:t>
      </w:r>
      <w:r w:rsidR="006935DD" w:rsidRPr="001752EA">
        <w:rPr>
          <w:rFonts w:ascii="Times New Roman" w:hAnsi="Times New Roman" w:cs="Times New Roman"/>
          <w:b/>
          <w:noProof/>
          <w:sz w:val="24"/>
          <w:szCs w:val="24"/>
        </w:rPr>
        <w:t xml:space="preserve"> </w:t>
      </w:r>
      <w:r w:rsidR="00F83CED">
        <w:rPr>
          <w:rFonts w:ascii="Times New Roman" w:hAnsi="Times New Roman" w:cs="Times New Roman"/>
          <w:b/>
          <w:bCs/>
          <w:noProof/>
          <w:sz w:val="24"/>
          <w:szCs w:val="24"/>
        </w:rPr>
        <w:t>show</w:t>
      </w:r>
      <w:r w:rsidR="007231CD" w:rsidRPr="001752EA">
        <w:rPr>
          <w:rFonts w:ascii="Times New Roman" w:hAnsi="Times New Roman" w:cs="Times New Roman"/>
          <w:b/>
          <w:noProof/>
          <w:sz w:val="24"/>
          <w:szCs w:val="24"/>
        </w:rPr>
        <w:t xml:space="preserve"> that</w:t>
      </w:r>
      <w:r w:rsidR="00A37C53" w:rsidRPr="001752EA">
        <w:rPr>
          <w:rFonts w:ascii="Times New Roman" w:hAnsi="Times New Roman" w:cs="Times New Roman"/>
          <w:b/>
          <w:noProof/>
          <w:sz w:val="24"/>
          <w:szCs w:val="24"/>
        </w:rPr>
        <w:t xml:space="preserve"> </w:t>
      </w:r>
      <w:r w:rsidR="008B53EC">
        <w:rPr>
          <w:rFonts w:ascii="Times New Roman" w:hAnsi="Times New Roman" w:cs="Times New Roman"/>
          <w:b/>
          <w:bCs/>
          <w:noProof/>
          <w:sz w:val="24"/>
          <w:szCs w:val="24"/>
        </w:rPr>
        <w:t>EU banks</w:t>
      </w:r>
      <w:r w:rsidR="001D0047">
        <w:rPr>
          <w:rFonts w:ascii="Times New Roman" w:hAnsi="Times New Roman" w:cs="Times New Roman"/>
          <w:b/>
          <w:bCs/>
          <w:noProof/>
          <w:sz w:val="24"/>
          <w:szCs w:val="24"/>
        </w:rPr>
        <w:t xml:space="preserve"> </w:t>
      </w:r>
      <w:r w:rsidR="00A069B8">
        <w:rPr>
          <w:rFonts w:ascii="Times New Roman" w:hAnsi="Times New Roman" w:cs="Times New Roman"/>
          <w:b/>
          <w:bCs/>
          <w:noProof/>
          <w:sz w:val="24"/>
          <w:szCs w:val="24"/>
        </w:rPr>
        <w:t xml:space="preserve">have slightly more cross-border exposures outside the EU than </w:t>
      </w:r>
      <w:r w:rsidR="00732F51">
        <w:rPr>
          <w:rFonts w:ascii="Times New Roman" w:hAnsi="Times New Roman" w:cs="Times New Roman"/>
          <w:b/>
          <w:bCs/>
          <w:noProof/>
          <w:sz w:val="24"/>
          <w:szCs w:val="24"/>
        </w:rPr>
        <w:t>in</w:t>
      </w:r>
      <w:r w:rsidR="00A069B8">
        <w:rPr>
          <w:rFonts w:ascii="Times New Roman" w:hAnsi="Times New Roman" w:cs="Times New Roman"/>
          <w:b/>
          <w:bCs/>
          <w:noProof/>
          <w:sz w:val="24"/>
          <w:szCs w:val="24"/>
        </w:rPr>
        <w:t xml:space="preserve"> another Member State</w:t>
      </w:r>
      <w:r w:rsidR="00F83CED">
        <w:rPr>
          <w:rFonts w:ascii="Times New Roman" w:hAnsi="Times New Roman" w:cs="Times New Roman"/>
          <w:b/>
          <w:bCs/>
          <w:noProof/>
          <w:sz w:val="24"/>
          <w:szCs w:val="24"/>
        </w:rPr>
        <w:t>,</w:t>
      </w:r>
      <w:r w:rsidR="00A069B8">
        <w:rPr>
          <w:rFonts w:ascii="Times New Roman" w:hAnsi="Times New Roman" w:cs="Times New Roman"/>
          <w:b/>
          <w:bCs/>
          <w:noProof/>
          <w:sz w:val="24"/>
          <w:szCs w:val="24"/>
        </w:rPr>
        <w:t xml:space="preserve"> </w:t>
      </w:r>
      <w:r w:rsidR="00153F9E">
        <w:rPr>
          <w:rFonts w:ascii="Times New Roman" w:hAnsi="Times New Roman" w:cs="Times New Roman"/>
          <w:b/>
          <w:bCs/>
          <w:noProof/>
          <w:sz w:val="24"/>
          <w:szCs w:val="24"/>
        </w:rPr>
        <w:t>reflect</w:t>
      </w:r>
      <w:r w:rsidR="00F83CED">
        <w:rPr>
          <w:rFonts w:ascii="Times New Roman" w:hAnsi="Times New Roman" w:cs="Times New Roman"/>
          <w:b/>
          <w:bCs/>
          <w:noProof/>
          <w:sz w:val="24"/>
          <w:szCs w:val="24"/>
        </w:rPr>
        <w:t xml:space="preserve">ing the </w:t>
      </w:r>
      <w:r w:rsidR="00732F51">
        <w:rPr>
          <w:rFonts w:ascii="Times New Roman" w:hAnsi="Times New Roman" w:cs="Times New Roman"/>
          <w:b/>
          <w:bCs/>
          <w:noProof/>
          <w:sz w:val="24"/>
          <w:szCs w:val="24"/>
        </w:rPr>
        <w:t>shortcomings</w:t>
      </w:r>
      <w:r w:rsidR="00DB7B7F">
        <w:rPr>
          <w:rFonts w:ascii="Times New Roman" w:hAnsi="Times New Roman" w:cs="Times New Roman"/>
          <w:b/>
          <w:noProof/>
          <w:sz w:val="24"/>
          <w:szCs w:val="24"/>
        </w:rPr>
        <w:t xml:space="preserve"> of </w:t>
      </w:r>
      <w:r w:rsidR="00732F51">
        <w:rPr>
          <w:rFonts w:ascii="Times New Roman" w:hAnsi="Times New Roman" w:cs="Times New Roman"/>
          <w:b/>
          <w:bCs/>
          <w:noProof/>
          <w:sz w:val="24"/>
          <w:szCs w:val="24"/>
        </w:rPr>
        <w:t>the</w:t>
      </w:r>
      <w:r w:rsidR="00AC2B0B">
        <w:rPr>
          <w:rFonts w:ascii="Times New Roman" w:hAnsi="Times New Roman" w:cs="Times New Roman"/>
          <w:b/>
          <w:bCs/>
          <w:noProof/>
          <w:sz w:val="24"/>
          <w:szCs w:val="24"/>
        </w:rPr>
        <w:t xml:space="preserve"> </w:t>
      </w:r>
      <w:r w:rsidR="003A6DD1">
        <w:rPr>
          <w:rFonts w:ascii="Times New Roman" w:hAnsi="Times New Roman" w:cs="Times New Roman"/>
          <w:b/>
          <w:bCs/>
          <w:noProof/>
          <w:sz w:val="24"/>
          <w:szCs w:val="24"/>
        </w:rPr>
        <w:t xml:space="preserve">EU </w:t>
      </w:r>
      <w:r w:rsidR="00A37C53" w:rsidRPr="001752EA">
        <w:rPr>
          <w:rFonts w:ascii="Times New Roman" w:hAnsi="Times New Roman" w:cs="Times New Roman"/>
          <w:b/>
          <w:bCs/>
          <w:noProof/>
          <w:sz w:val="24"/>
          <w:szCs w:val="24"/>
        </w:rPr>
        <w:t>Sin</w:t>
      </w:r>
      <w:r w:rsidR="00732F51">
        <w:rPr>
          <w:rFonts w:ascii="Times New Roman" w:hAnsi="Times New Roman" w:cs="Times New Roman"/>
          <w:b/>
          <w:bCs/>
          <w:noProof/>
          <w:sz w:val="24"/>
          <w:szCs w:val="24"/>
        </w:rPr>
        <w:t>g</w:t>
      </w:r>
      <w:r w:rsidR="00A37C53" w:rsidRPr="001752EA">
        <w:rPr>
          <w:rFonts w:ascii="Times New Roman" w:hAnsi="Times New Roman" w:cs="Times New Roman"/>
          <w:b/>
          <w:bCs/>
          <w:noProof/>
          <w:sz w:val="24"/>
          <w:szCs w:val="24"/>
        </w:rPr>
        <w:t xml:space="preserve">le </w:t>
      </w:r>
      <w:r w:rsidR="003A6DD1">
        <w:rPr>
          <w:rFonts w:ascii="Times New Roman" w:hAnsi="Times New Roman" w:cs="Times New Roman"/>
          <w:b/>
          <w:bCs/>
          <w:noProof/>
          <w:sz w:val="24"/>
          <w:szCs w:val="24"/>
        </w:rPr>
        <w:t>M</w:t>
      </w:r>
      <w:r w:rsidR="00A37C53" w:rsidRPr="001752EA">
        <w:rPr>
          <w:rFonts w:ascii="Times New Roman" w:hAnsi="Times New Roman" w:cs="Times New Roman"/>
          <w:b/>
          <w:bCs/>
          <w:noProof/>
          <w:sz w:val="24"/>
          <w:szCs w:val="24"/>
        </w:rPr>
        <w:t>arket</w:t>
      </w:r>
      <w:r w:rsidR="003A6DD1">
        <w:rPr>
          <w:rFonts w:ascii="Times New Roman" w:hAnsi="Times New Roman" w:cs="Times New Roman"/>
          <w:b/>
          <w:bCs/>
          <w:noProof/>
          <w:sz w:val="24"/>
          <w:szCs w:val="24"/>
        </w:rPr>
        <w:t xml:space="preserve"> for banking</w:t>
      </w:r>
      <w:r w:rsidR="00012043">
        <w:rPr>
          <w:rFonts w:ascii="Times New Roman" w:hAnsi="Times New Roman" w:cs="Times New Roman"/>
          <w:noProof/>
          <w:sz w:val="24"/>
          <w:szCs w:val="24"/>
        </w:rPr>
        <w:t>.</w:t>
      </w:r>
      <w:r w:rsidR="007231CD">
        <w:rPr>
          <w:rFonts w:ascii="Times New Roman" w:hAnsi="Times New Roman" w:cs="Times New Roman"/>
          <w:noProof/>
          <w:sz w:val="24"/>
          <w:szCs w:val="24"/>
        </w:rPr>
        <w:t xml:space="preserve"> </w:t>
      </w:r>
      <w:r w:rsidR="00012043">
        <w:rPr>
          <w:rFonts w:ascii="Times New Roman" w:hAnsi="Times New Roman" w:cs="Times New Roman"/>
          <w:noProof/>
          <w:sz w:val="24"/>
          <w:szCs w:val="24"/>
        </w:rPr>
        <w:t>As expected,</w:t>
      </w:r>
      <w:r w:rsidR="007231CD">
        <w:rPr>
          <w:rFonts w:ascii="Times New Roman" w:hAnsi="Times New Roman" w:cs="Times New Roman"/>
          <w:noProof/>
          <w:sz w:val="24"/>
          <w:szCs w:val="24"/>
        </w:rPr>
        <w:t xml:space="preserve"> </w:t>
      </w:r>
      <w:r w:rsidR="00716E01">
        <w:rPr>
          <w:rFonts w:ascii="Times New Roman" w:hAnsi="Times New Roman" w:cs="Times New Roman"/>
          <w:noProof/>
          <w:sz w:val="24"/>
          <w:szCs w:val="24"/>
        </w:rPr>
        <w:t xml:space="preserve">the majority of EU banks’ lending is concentrated </w:t>
      </w:r>
      <w:r w:rsidR="00012043">
        <w:rPr>
          <w:rFonts w:ascii="Times New Roman" w:hAnsi="Times New Roman" w:cs="Times New Roman"/>
          <w:noProof/>
          <w:sz w:val="24"/>
          <w:szCs w:val="24"/>
        </w:rPr>
        <w:t>i</w:t>
      </w:r>
      <w:r w:rsidR="00716E01">
        <w:rPr>
          <w:rFonts w:ascii="Times New Roman" w:hAnsi="Times New Roman" w:cs="Times New Roman"/>
          <w:noProof/>
          <w:sz w:val="24"/>
          <w:szCs w:val="24"/>
        </w:rPr>
        <w:t xml:space="preserve">n </w:t>
      </w:r>
      <w:r w:rsidR="00A442EC">
        <w:rPr>
          <w:rFonts w:ascii="Times New Roman" w:hAnsi="Times New Roman" w:cs="Times New Roman"/>
          <w:noProof/>
          <w:sz w:val="24"/>
          <w:szCs w:val="24"/>
        </w:rPr>
        <w:t>the Member State where the</w:t>
      </w:r>
      <w:r w:rsidR="00012043">
        <w:rPr>
          <w:rFonts w:ascii="Times New Roman" w:hAnsi="Times New Roman" w:cs="Times New Roman"/>
          <w:noProof/>
          <w:sz w:val="24"/>
          <w:szCs w:val="24"/>
        </w:rPr>
        <w:t xml:space="preserve"> bank is</w:t>
      </w:r>
      <w:r w:rsidR="00A442EC">
        <w:rPr>
          <w:rFonts w:ascii="Times New Roman" w:hAnsi="Times New Roman" w:cs="Times New Roman"/>
          <w:noProof/>
          <w:sz w:val="24"/>
          <w:szCs w:val="24"/>
        </w:rPr>
        <w:t xml:space="preserve"> established</w:t>
      </w:r>
      <w:r w:rsidR="00012043">
        <w:rPr>
          <w:rFonts w:ascii="Times New Roman" w:hAnsi="Times New Roman" w:cs="Times New Roman"/>
          <w:noProof/>
          <w:sz w:val="24"/>
          <w:szCs w:val="24"/>
        </w:rPr>
        <w:t xml:space="preserve">: this </w:t>
      </w:r>
      <w:r w:rsidR="00AE7FC4">
        <w:rPr>
          <w:rFonts w:ascii="Times New Roman" w:hAnsi="Times New Roman" w:cs="Times New Roman"/>
          <w:noProof/>
          <w:sz w:val="24"/>
          <w:szCs w:val="24"/>
        </w:rPr>
        <w:t>represents</w:t>
      </w:r>
      <w:r w:rsidR="00012043">
        <w:rPr>
          <w:rFonts w:ascii="Times New Roman" w:hAnsi="Times New Roman" w:cs="Times New Roman"/>
          <w:noProof/>
          <w:sz w:val="24"/>
          <w:szCs w:val="24"/>
        </w:rPr>
        <w:t xml:space="preserve"> </w:t>
      </w:r>
      <w:r w:rsidR="00AE7FC4">
        <w:rPr>
          <w:rFonts w:ascii="Times New Roman" w:hAnsi="Times New Roman" w:cs="Times New Roman"/>
          <w:noProof/>
          <w:sz w:val="24"/>
          <w:szCs w:val="24"/>
        </w:rPr>
        <w:t>ca. 56% of EU banks’ total exposures. Looking at the</w:t>
      </w:r>
      <w:r w:rsidR="00012043">
        <w:rPr>
          <w:rFonts w:ascii="Times New Roman" w:hAnsi="Times New Roman" w:cs="Times New Roman"/>
          <w:noProof/>
          <w:sz w:val="24"/>
          <w:szCs w:val="24"/>
        </w:rPr>
        <w:t xml:space="preserve"> </w:t>
      </w:r>
      <w:r w:rsidR="00CC73AD">
        <w:rPr>
          <w:rFonts w:ascii="Times New Roman" w:hAnsi="Times New Roman" w:cs="Times New Roman"/>
          <w:noProof/>
          <w:sz w:val="24"/>
          <w:szCs w:val="24"/>
        </w:rPr>
        <w:t>cross</w:t>
      </w:r>
      <w:r w:rsidR="00404B8B">
        <w:rPr>
          <w:rFonts w:ascii="Times New Roman" w:hAnsi="Times New Roman" w:cs="Times New Roman"/>
          <w:noProof/>
          <w:sz w:val="24"/>
          <w:szCs w:val="24"/>
        </w:rPr>
        <w:t>-</w:t>
      </w:r>
      <w:r w:rsidR="00CC73AD">
        <w:rPr>
          <w:rFonts w:ascii="Times New Roman" w:hAnsi="Times New Roman" w:cs="Times New Roman"/>
          <w:noProof/>
          <w:sz w:val="24"/>
          <w:szCs w:val="24"/>
        </w:rPr>
        <w:t xml:space="preserve">border exposures, EU banks </w:t>
      </w:r>
      <w:r w:rsidR="008160AB">
        <w:rPr>
          <w:rFonts w:ascii="Times New Roman" w:hAnsi="Times New Roman" w:cs="Times New Roman"/>
          <w:noProof/>
          <w:sz w:val="24"/>
          <w:szCs w:val="24"/>
        </w:rPr>
        <w:t xml:space="preserve">have </w:t>
      </w:r>
      <w:r w:rsidR="00E12D93">
        <w:rPr>
          <w:rFonts w:ascii="Times New Roman" w:hAnsi="Times New Roman" w:cs="Times New Roman"/>
          <w:noProof/>
          <w:sz w:val="24"/>
          <w:szCs w:val="24"/>
        </w:rPr>
        <w:t>around 22</w:t>
      </w:r>
      <w:r w:rsidR="00386950">
        <w:rPr>
          <w:rFonts w:ascii="Times New Roman" w:hAnsi="Times New Roman" w:cs="Times New Roman"/>
          <w:noProof/>
          <w:sz w:val="24"/>
          <w:szCs w:val="24"/>
        </w:rPr>
        <w:t>%</w:t>
      </w:r>
      <w:r w:rsidR="008160AB">
        <w:rPr>
          <w:rFonts w:ascii="Times New Roman" w:hAnsi="Times New Roman" w:cs="Times New Roman"/>
          <w:noProof/>
          <w:sz w:val="24"/>
          <w:szCs w:val="24"/>
        </w:rPr>
        <w:t xml:space="preserve"> </w:t>
      </w:r>
      <w:r w:rsidR="00931139">
        <w:rPr>
          <w:rFonts w:ascii="Times New Roman" w:hAnsi="Times New Roman" w:cs="Times New Roman"/>
          <w:noProof/>
          <w:sz w:val="24"/>
          <w:szCs w:val="24"/>
        </w:rPr>
        <w:t xml:space="preserve">of </w:t>
      </w:r>
      <w:r w:rsidR="008160AB">
        <w:rPr>
          <w:rFonts w:ascii="Times New Roman" w:hAnsi="Times New Roman" w:cs="Times New Roman"/>
          <w:noProof/>
          <w:sz w:val="24"/>
          <w:szCs w:val="24"/>
        </w:rPr>
        <w:t xml:space="preserve">exposures outside the EU </w:t>
      </w:r>
      <w:r w:rsidR="00A14E29">
        <w:rPr>
          <w:rFonts w:ascii="Times New Roman" w:hAnsi="Times New Roman" w:cs="Times New Roman"/>
          <w:noProof/>
          <w:sz w:val="24"/>
          <w:szCs w:val="24"/>
        </w:rPr>
        <w:t xml:space="preserve">and </w:t>
      </w:r>
      <w:r w:rsidR="00931139">
        <w:rPr>
          <w:rFonts w:ascii="Times New Roman" w:hAnsi="Times New Roman" w:cs="Times New Roman"/>
          <w:noProof/>
          <w:sz w:val="24"/>
          <w:szCs w:val="24"/>
        </w:rPr>
        <w:t xml:space="preserve">around </w:t>
      </w:r>
      <w:r w:rsidR="00664047">
        <w:rPr>
          <w:rFonts w:ascii="Times New Roman" w:hAnsi="Times New Roman" w:cs="Times New Roman"/>
          <w:noProof/>
          <w:sz w:val="24"/>
          <w:szCs w:val="24"/>
        </w:rPr>
        <w:t>21% of exposures within</w:t>
      </w:r>
      <w:r w:rsidR="00E23B8F">
        <w:rPr>
          <w:rFonts w:ascii="Times New Roman" w:hAnsi="Times New Roman" w:cs="Times New Roman"/>
          <w:noProof/>
          <w:sz w:val="24"/>
          <w:szCs w:val="24"/>
        </w:rPr>
        <w:t xml:space="preserve"> the EU. While on one hand th</w:t>
      </w:r>
      <w:r w:rsidR="0078564E">
        <w:rPr>
          <w:rFonts w:ascii="Times New Roman" w:hAnsi="Times New Roman" w:cs="Times New Roman"/>
          <w:noProof/>
          <w:sz w:val="24"/>
          <w:szCs w:val="24"/>
        </w:rPr>
        <w:t>is can reflect the global reach of some large EU banking groups or thei</w:t>
      </w:r>
      <w:r w:rsidR="00287A22">
        <w:rPr>
          <w:rFonts w:ascii="Times New Roman" w:hAnsi="Times New Roman" w:cs="Times New Roman"/>
          <w:noProof/>
          <w:sz w:val="24"/>
          <w:szCs w:val="24"/>
        </w:rPr>
        <w:t xml:space="preserve">r presence in </w:t>
      </w:r>
      <w:r w:rsidR="00300CFB">
        <w:rPr>
          <w:rFonts w:ascii="Times New Roman" w:hAnsi="Times New Roman" w:cs="Times New Roman"/>
          <w:noProof/>
          <w:sz w:val="24"/>
          <w:szCs w:val="24"/>
        </w:rPr>
        <w:t>neighbouring third countries, on the other hand the analysis highlights th</w:t>
      </w:r>
      <w:r w:rsidR="00D501F0">
        <w:rPr>
          <w:rFonts w:ascii="Times New Roman" w:hAnsi="Times New Roman" w:cs="Times New Roman"/>
          <w:noProof/>
          <w:sz w:val="24"/>
          <w:szCs w:val="24"/>
        </w:rPr>
        <w:t xml:space="preserve">at a bank expansion beyond its Member State of incorporation finds similar barriers </w:t>
      </w:r>
      <w:r w:rsidR="00457F91">
        <w:rPr>
          <w:rFonts w:ascii="Times New Roman" w:hAnsi="Times New Roman" w:cs="Times New Roman"/>
          <w:noProof/>
          <w:sz w:val="24"/>
          <w:szCs w:val="24"/>
        </w:rPr>
        <w:t xml:space="preserve">in other Member States </w:t>
      </w:r>
      <w:r w:rsidR="00DD732C">
        <w:rPr>
          <w:rFonts w:ascii="Times New Roman" w:hAnsi="Times New Roman" w:cs="Times New Roman"/>
          <w:noProof/>
          <w:sz w:val="24"/>
          <w:szCs w:val="24"/>
        </w:rPr>
        <w:t>vis-</w:t>
      </w:r>
      <w:r w:rsidR="00525BDE">
        <w:rPr>
          <w:rFonts w:ascii="Times New Roman" w:hAnsi="Times New Roman" w:cs="Times New Roman"/>
          <w:noProof/>
          <w:sz w:val="24"/>
          <w:szCs w:val="24"/>
        </w:rPr>
        <w:t>à</w:t>
      </w:r>
      <w:r w:rsidR="00DD732C">
        <w:rPr>
          <w:rFonts w:ascii="Times New Roman" w:hAnsi="Times New Roman" w:cs="Times New Roman"/>
          <w:noProof/>
          <w:sz w:val="24"/>
          <w:szCs w:val="24"/>
        </w:rPr>
        <w:t xml:space="preserve">-vis </w:t>
      </w:r>
      <w:r w:rsidR="004553F0">
        <w:rPr>
          <w:rFonts w:ascii="Times New Roman" w:hAnsi="Times New Roman" w:cs="Times New Roman"/>
          <w:noProof/>
          <w:sz w:val="24"/>
          <w:szCs w:val="24"/>
        </w:rPr>
        <w:t xml:space="preserve">its </w:t>
      </w:r>
      <w:r w:rsidR="00657073">
        <w:rPr>
          <w:rFonts w:ascii="Times New Roman" w:hAnsi="Times New Roman" w:cs="Times New Roman"/>
          <w:noProof/>
          <w:sz w:val="24"/>
          <w:szCs w:val="24"/>
        </w:rPr>
        <w:t>expansion</w:t>
      </w:r>
      <w:r w:rsidR="004553F0">
        <w:rPr>
          <w:rFonts w:ascii="Times New Roman" w:hAnsi="Times New Roman" w:cs="Times New Roman"/>
          <w:noProof/>
          <w:sz w:val="24"/>
          <w:szCs w:val="24"/>
        </w:rPr>
        <w:t xml:space="preserve"> </w:t>
      </w:r>
      <w:r w:rsidR="00657073">
        <w:rPr>
          <w:rFonts w:ascii="Times New Roman" w:hAnsi="Times New Roman" w:cs="Times New Roman"/>
          <w:noProof/>
          <w:sz w:val="24"/>
          <w:szCs w:val="24"/>
        </w:rPr>
        <w:t xml:space="preserve">to </w:t>
      </w:r>
      <w:r w:rsidR="00DD732C">
        <w:rPr>
          <w:rFonts w:ascii="Times New Roman" w:hAnsi="Times New Roman" w:cs="Times New Roman"/>
          <w:noProof/>
          <w:sz w:val="24"/>
          <w:szCs w:val="24"/>
        </w:rPr>
        <w:t>third countries.</w:t>
      </w:r>
      <w:r w:rsidR="00AC2B0B">
        <w:rPr>
          <w:rFonts w:ascii="Times New Roman" w:hAnsi="Times New Roman" w:cs="Times New Roman"/>
          <w:noProof/>
          <w:sz w:val="24"/>
          <w:szCs w:val="24"/>
        </w:rPr>
        <w:t xml:space="preserve"> </w:t>
      </w:r>
    </w:p>
    <w:p w14:paraId="224536B1" w14:textId="3798BDEF" w:rsidR="00C57968" w:rsidRPr="0036474B" w:rsidRDefault="00C57968" w:rsidP="0029346A">
      <w:pPr>
        <w:spacing w:line="276" w:lineRule="auto"/>
        <w:jc w:val="both"/>
        <w:rPr>
          <w:rFonts w:ascii="Times New Roman" w:hAnsi="Times New Roman" w:cs="Times New Roman"/>
          <w:noProof/>
          <w:sz w:val="24"/>
          <w:szCs w:val="24"/>
          <w:lang w:val="en-GB"/>
        </w:rPr>
      </w:pPr>
      <w:r w:rsidRPr="0036474B">
        <w:rPr>
          <w:rFonts w:ascii="Times New Roman" w:hAnsi="Times New Roman" w:cs="Times New Roman"/>
          <w:b/>
          <w:bCs/>
          <w:noProof/>
          <w:sz w:val="24"/>
          <w:szCs w:val="24"/>
          <w:lang w:val="en-GB"/>
        </w:rPr>
        <w:t>Looking at the trend over the years, integration of banking markets has somewhat increased, but remains at unsatisfactory levels.</w:t>
      </w:r>
      <w:r w:rsidRPr="0036474B">
        <w:rPr>
          <w:rFonts w:ascii="Times New Roman" w:hAnsi="Times New Roman" w:cs="Times New Roman"/>
          <w:noProof/>
          <w:sz w:val="24"/>
          <w:szCs w:val="24"/>
          <w:lang w:val="en-GB"/>
        </w:rPr>
        <w:t xml:space="preserve"> Looking broadly at financial integration, the picture over the last </w:t>
      </w:r>
      <w:r w:rsidR="00D760DA" w:rsidRPr="0036474B">
        <w:rPr>
          <w:rFonts w:ascii="Times New Roman" w:hAnsi="Times New Roman" w:cs="Times New Roman"/>
          <w:noProof/>
          <w:sz w:val="24"/>
          <w:szCs w:val="24"/>
          <w:lang w:val="en-GB"/>
        </w:rPr>
        <w:t>15</w:t>
      </w:r>
      <w:r w:rsidRPr="0036474B">
        <w:rPr>
          <w:rFonts w:ascii="Times New Roman" w:hAnsi="Times New Roman" w:cs="Times New Roman"/>
          <w:noProof/>
          <w:sz w:val="24"/>
          <w:szCs w:val="24"/>
          <w:lang w:val="en-GB"/>
        </w:rPr>
        <w:t xml:space="preserve"> years is one of a slow</w:t>
      </w:r>
      <w:r w:rsidR="007E1606">
        <w:rPr>
          <w:rFonts w:ascii="Times New Roman" w:hAnsi="Times New Roman" w:cs="Times New Roman"/>
          <w:noProof/>
          <w:sz w:val="24"/>
          <w:szCs w:val="24"/>
          <w:lang w:val="en-GB"/>
        </w:rPr>
        <w:t>-paced</w:t>
      </w:r>
      <w:r w:rsidRPr="0036474B">
        <w:rPr>
          <w:rFonts w:ascii="Times New Roman" w:hAnsi="Times New Roman" w:cs="Times New Roman"/>
          <w:noProof/>
          <w:sz w:val="24"/>
          <w:szCs w:val="24"/>
          <w:lang w:val="en-GB"/>
        </w:rPr>
        <w:t xml:space="preserve"> integration and some episodes of retrenchment, where banks withdrew back to their national markets. The ECB </w:t>
      </w:r>
      <w:r w:rsidR="00662EC5">
        <w:rPr>
          <w:rFonts w:ascii="Times New Roman" w:hAnsi="Times New Roman" w:cs="Times New Roman"/>
          <w:noProof/>
          <w:sz w:val="24"/>
          <w:szCs w:val="24"/>
          <w:lang w:val="en-GB"/>
        </w:rPr>
        <w:t>r</w:t>
      </w:r>
      <w:r w:rsidR="00F5507F" w:rsidRPr="0036474B">
        <w:rPr>
          <w:rFonts w:ascii="Times New Roman" w:hAnsi="Times New Roman" w:cs="Times New Roman"/>
          <w:noProof/>
          <w:sz w:val="24"/>
          <w:szCs w:val="24"/>
          <w:lang w:val="en-GB"/>
        </w:rPr>
        <w:t>esponse to the targeted consultation</w:t>
      </w:r>
      <w:r w:rsidRPr="0036474B">
        <w:rPr>
          <w:rFonts w:ascii="Times New Roman" w:hAnsi="Times New Roman" w:cs="Times New Roman"/>
          <w:noProof/>
          <w:sz w:val="24"/>
          <w:szCs w:val="24"/>
          <w:lang w:val="en-GB"/>
        </w:rPr>
        <w:t xml:space="preserve"> depicted a context of integration mostly limited to the wholesale banking</w:t>
      </w:r>
      <w:r w:rsidR="00D21AD1" w:rsidRPr="0036474B">
        <w:rPr>
          <w:rFonts w:ascii="Times New Roman" w:hAnsi="Times New Roman" w:cs="Times New Roman"/>
          <w:noProof/>
          <w:sz w:val="24"/>
          <w:szCs w:val="24"/>
          <w:lang w:val="en-GB"/>
        </w:rPr>
        <w:t xml:space="preserve">, where 22% of total lending there happens on </w:t>
      </w:r>
      <w:r w:rsidR="003532E9" w:rsidRPr="0036474B">
        <w:rPr>
          <w:rFonts w:ascii="Times New Roman" w:hAnsi="Times New Roman" w:cs="Times New Roman"/>
          <w:noProof/>
          <w:sz w:val="24"/>
          <w:szCs w:val="24"/>
          <w:lang w:val="en-GB"/>
        </w:rPr>
        <w:t>a</w:t>
      </w:r>
      <w:r w:rsidR="00D21AD1" w:rsidRPr="0036474B">
        <w:rPr>
          <w:rFonts w:ascii="Times New Roman" w:hAnsi="Times New Roman" w:cs="Times New Roman"/>
          <w:noProof/>
          <w:sz w:val="24"/>
          <w:szCs w:val="24"/>
          <w:lang w:val="en-GB"/>
        </w:rPr>
        <w:t xml:space="preserve"> cross</w:t>
      </w:r>
      <w:r w:rsidR="008532E5" w:rsidRPr="0036474B">
        <w:rPr>
          <w:rFonts w:ascii="Times New Roman" w:hAnsi="Times New Roman" w:cs="Times New Roman"/>
          <w:noProof/>
          <w:sz w:val="24"/>
          <w:szCs w:val="24"/>
          <w:lang w:val="en-GB"/>
        </w:rPr>
        <w:t>-</w:t>
      </w:r>
      <w:r w:rsidR="00D21AD1" w:rsidRPr="0036474B">
        <w:rPr>
          <w:rFonts w:ascii="Times New Roman" w:hAnsi="Times New Roman" w:cs="Times New Roman"/>
          <w:noProof/>
          <w:sz w:val="24"/>
          <w:szCs w:val="24"/>
          <w:lang w:val="en-GB"/>
        </w:rPr>
        <w:t>border basis</w:t>
      </w:r>
      <w:r w:rsidR="007631B6">
        <w:rPr>
          <w:rFonts w:ascii="Times New Roman" w:hAnsi="Times New Roman" w:cs="Times New Roman"/>
          <w:noProof/>
          <w:sz w:val="24"/>
          <w:szCs w:val="24"/>
          <w:lang w:val="en-GB"/>
        </w:rPr>
        <w:t>.</w:t>
      </w:r>
      <w:r w:rsidR="00F74AEF">
        <w:rPr>
          <w:rFonts w:ascii="Times New Roman" w:hAnsi="Times New Roman" w:cs="Times New Roman"/>
          <w:noProof/>
          <w:sz w:val="24"/>
          <w:szCs w:val="24"/>
          <w:lang w:val="en-GB"/>
        </w:rPr>
        <w:t xml:space="preserve"> Cross-border lending </w:t>
      </w:r>
      <w:r w:rsidR="00846D75">
        <w:rPr>
          <w:rFonts w:ascii="Times New Roman" w:hAnsi="Times New Roman" w:cs="Times New Roman"/>
          <w:noProof/>
          <w:sz w:val="24"/>
          <w:szCs w:val="24"/>
          <w:lang w:val="en-GB"/>
        </w:rPr>
        <w:t>in the euro area</w:t>
      </w:r>
      <w:r w:rsidRPr="0036474B">
        <w:rPr>
          <w:rFonts w:ascii="Times New Roman" w:hAnsi="Times New Roman" w:cs="Times New Roman"/>
          <w:noProof/>
          <w:sz w:val="24"/>
          <w:szCs w:val="24"/>
          <w:lang w:val="en-GB"/>
        </w:rPr>
        <w:t xml:space="preserve"> to all sectors except the banking one</w:t>
      </w:r>
      <w:r w:rsidR="00B15A0C">
        <w:rPr>
          <w:rFonts w:ascii="Times New Roman" w:hAnsi="Times New Roman" w:cs="Times New Roman"/>
          <w:noProof/>
          <w:sz w:val="24"/>
          <w:szCs w:val="24"/>
          <w:lang w:val="en-GB"/>
        </w:rPr>
        <w:t xml:space="preserve"> (</w:t>
      </w:r>
      <w:r w:rsidR="00B15A0C" w:rsidRPr="00B15A0C">
        <w:rPr>
          <w:rFonts w:ascii="Times New Roman" w:hAnsi="Times New Roman" w:cs="Times New Roman"/>
          <w:noProof/>
          <w:sz w:val="24"/>
          <w:szCs w:val="24"/>
        </w:rPr>
        <w:t>i.e. households, corporates, NBFIs, and governments</w:t>
      </w:r>
      <w:r w:rsidR="00B15A0C">
        <w:rPr>
          <w:rFonts w:ascii="Times New Roman" w:hAnsi="Times New Roman" w:cs="Times New Roman"/>
          <w:noProof/>
          <w:sz w:val="24"/>
          <w:szCs w:val="24"/>
        </w:rPr>
        <w:t xml:space="preserve">) </w:t>
      </w:r>
      <w:r w:rsidRPr="0036474B">
        <w:rPr>
          <w:rFonts w:ascii="Times New Roman" w:hAnsi="Times New Roman" w:cs="Times New Roman"/>
          <w:noProof/>
          <w:sz w:val="24"/>
          <w:szCs w:val="24"/>
          <w:lang w:val="en-GB"/>
        </w:rPr>
        <w:t>represented 8% of total lending</w:t>
      </w:r>
      <w:r w:rsidR="003A1CC1" w:rsidRPr="0036474B">
        <w:rPr>
          <w:rFonts w:ascii="Times New Roman" w:hAnsi="Times New Roman" w:cs="Times New Roman"/>
          <w:noProof/>
          <w:sz w:val="24"/>
          <w:szCs w:val="24"/>
          <w:lang w:val="en-GB"/>
        </w:rPr>
        <w:t>.</w:t>
      </w:r>
      <w:r w:rsidR="00110CD0" w:rsidRPr="0036474B">
        <w:rPr>
          <w:rFonts w:ascii="Times New Roman" w:hAnsi="Times New Roman" w:cs="Times New Roman"/>
          <w:noProof/>
          <w:sz w:val="24"/>
          <w:szCs w:val="24"/>
          <w:lang w:val="en-GB"/>
        </w:rPr>
        <w:t xml:space="preserve"> </w:t>
      </w:r>
      <w:r w:rsidR="000B0469" w:rsidRPr="0036474B">
        <w:rPr>
          <w:rFonts w:ascii="Times New Roman" w:hAnsi="Times New Roman" w:cs="Times New Roman"/>
          <w:noProof/>
          <w:sz w:val="24"/>
          <w:szCs w:val="24"/>
          <w:lang w:val="en-GB"/>
        </w:rPr>
        <w:t xml:space="preserve">For the corporate sector specifically, granular analysis shows that as of the fourth quarter of 2025 cross-border lending within the euro area represented ca. 16% of total corporate lending, of which 8% of indirect form – namely, where the </w:t>
      </w:r>
      <w:r w:rsidR="000B0469" w:rsidRPr="0036474B">
        <w:rPr>
          <w:rFonts w:ascii="Times New Roman" w:hAnsi="Times New Roman" w:cs="Times New Roman"/>
          <w:noProof/>
          <w:sz w:val="24"/>
          <w:szCs w:val="24"/>
        </w:rPr>
        <w:t>subsidiaries of a bank and a borrower are domiciled in the same country, but (at least) one of their parents is domiciled in a different member</w:t>
      </w:r>
      <w:r w:rsidR="00110CD0" w:rsidRPr="0036474B">
        <w:rPr>
          <w:rFonts w:ascii="Times New Roman" w:hAnsi="Times New Roman" w:cs="Times New Roman"/>
          <w:noProof/>
          <w:sz w:val="24"/>
          <w:szCs w:val="24"/>
          <w:lang w:val="en-GB"/>
        </w:rPr>
        <w:t>.</w:t>
      </w:r>
    </w:p>
    <w:p w14:paraId="3CC6EE8F" w14:textId="6D7504D2" w:rsidR="000539B8" w:rsidRPr="000539B8" w:rsidRDefault="000539B8" w:rsidP="000539B8">
      <w:pPr>
        <w:rPr>
          <w:rFonts w:ascii="Times New Roman" w:hAnsi="Times New Roman" w:cs="Times New Roman"/>
          <w:i/>
          <w:iCs/>
          <w:noProof/>
          <w:sz w:val="24"/>
          <w:szCs w:val="24"/>
        </w:rPr>
      </w:pPr>
      <w:r w:rsidRPr="000539B8">
        <w:rPr>
          <w:rFonts w:ascii="Times New Roman" w:hAnsi="Times New Roman" w:cs="Times New Roman"/>
          <w:i/>
          <w:iCs/>
          <w:noProof/>
          <w:sz w:val="24"/>
          <w:szCs w:val="24"/>
        </w:rPr>
        <w:t>Figure 2</w:t>
      </w:r>
      <w:r w:rsidR="005B63B3">
        <w:rPr>
          <w:rFonts w:ascii="Times New Roman" w:hAnsi="Times New Roman" w:cs="Times New Roman"/>
          <w:i/>
          <w:iCs/>
          <w:noProof/>
          <w:sz w:val="24"/>
          <w:szCs w:val="24"/>
        </w:rPr>
        <w:t>0</w:t>
      </w:r>
      <w:r w:rsidRPr="000539B8">
        <w:rPr>
          <w:rFonts w:ascii="Times New Roman" w:hAnsi="Times New Roman" w:cs="Times New Roman"/>
          <w:i/>
          <w:iCs/>
          <w:noProof/>
          <w:sz w:val="24"/>
          <w:szCs w:val="24"/>
        </w:rPr>
        <w:t xml:space="preserve"> – Cross border lending</w:t>
      </w:r>
      <w:r w:rsidR="00005B05">
        <w:rPr>
          <w:rFonts w:ascii="Times New Roman" w:hAnsi="Times New Roman" w:cs="Times New Roman"/>
          <w:i/>
          <w:iCs/>
          <w:noProof/>
          <w:sz w:val="24"/>
          <w:szCs w:val="24"/>
        </w:rPr>
        <w:t xml:space="preserve"> across the Euro Area</w:t>
      </w:r>
    </w:p>
    <w:p w14:paraId="544FE45D" w14:textId="3D4C8CEB" w:rsidR="00C57968" w:rsidRDefault="00C57968" w:rsidP="0036474B">
      <w:pPr>
        <w:jc w:val="center"/>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eastAsia="en-GB"/>
        </w:rPr>
        <w:drawing>
          <wp:inline distT="0" distB="0" distL="0" distR="0" wp14:anchorId="6CE2848D" wp14:editId="3FED94E7">
            <wp:extent cx="5560967" cy="3877945"/>
            <wp:effectExtent l="0" t="0" r="1905" b="8255"/>
            <wp:docPr id="1306840390" name="Picture 1" descr="A graph of a financial repo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840390" name="Picture 1" descr="A graph of a financial report&#10;&#10;AI-generated content may be incorrect."/>
                    <pic:cNvPicPr/>
                  </pic:nvPicPr>
                  <pic:blipFill rotWithShape="1">
                    <a:blip r:embed="rId38"/>
                    <a:srcRect t="5347"/>
                    <a:stretch>
                      <a:fillRect/>
                    </a:stretch>
                  </pic:blipFill>
                  <pic:spPr bwMode="auto">
                    <a:xfrm>
                      <a:off x="0" y="0"/>
                      <a:ext cx="5582835" cy="3893195"/>
                    </a:xfrm>
                    <a:prstGeom prst="rect">
                      <a:avLst/>
                    </a:prstGeom>
                    <a:ln>
                      <a:noFill/>
                    </a:ln>
                    <a:extLst>
                      <a:ext uri="{53640926-AAD7-44D8-BBD7-CCE9431645EC}">
                        <a14:shadowObscured xmlns:a14="http://schemas.microsoft.com/office/drawing/2010/main"/>
                      </a:ext>
                    </a:extLst>
                  </pic:spPr>
                </pic:pic>
              </a:graphicData>
            </a:graphic>
          </wp:inline>
        </w:drawing>
      </w:r>
    </w:p>
    <w:p w14:paraId="3641B14E" w14:textId="4E61613D" w:rsidR="000539B8" w:rsidRPr="000539B8" w:rsidRDefault="000539B8" w:rsidP="000539B8">
      <w:pPr>
        <w:rPr>
          <w:rFonts w:ascii="Times New Roman" w:hAnsi="Times New Roman" w:cs="Times New Roman"/>
          <w:i/>
          <w:iCs/>
          <w:noProof/>
          <w:sz w:val="24"/>
          <w:szCs w:val="24"/>
          <w:lang w:val="en-GB"/>
        </w:rPr>
      </w:pPr>
      <w:r w:rsidRPr="000539B8">
        <w:rPr>
          <w:rFonts w:ascii="Times New Roman" w:hAnsi="Times New Roman" w:cs="Times New Roman"/>
          <w:i/>
          <w:iCs/>
          <w:noProof/>
          <w:sz w:val="24"/>
          <w:szCs w:val="24"/>
          <w:lang w:val="en-GB"/>
        </w:rPr>
        <w:t>Source: ECB</w:t>
      </w:r>
      <w:r>
        <w:rPr>
          <w:rFonts w:ascii="Times New Roman" w:hAnsi="Times New Roman" w:cs="Times New Roman"/>
          <w:i/>
          <w:iCs/>
          <w:noProof/>
          <w:sz w:val="24"/>
          <w:szCs w:val="24"/>
          <w:lang w:val="en-GB"/>
        </w:rPr>
        <w:t xml:space="preserve"> Response to the </w:t>
      </w:r>
      <w:r w:rsidR="008F72AC">
        <w:rPr>
          <w:rFonts w:ascii="Times New Roman" w:hAnsi="Times New Roman" w:cs="Times New Roman"/>
          <w:i/>
          <w:iCs/>
          <w:noProof/>
          <w:sz w:val="24"/>
          <w:szCs w:val="24"/>
          <w:lang w:val="en-GB"/>
        </w:rPr>
        <w:t>targeted consultation</w:t>
      </w:r>
    </w:p>
    <w:p w14:paraId="2B80302B" w14:textId="1E34FE48" w:rsidR="008610D3" w:rsidRPr="0036474B" w:rsidRDefault="75625DCD" w:rsidP="00C57968">
      <w:pPr>
        <w:jc w:val="both"/>
        <w:rPr>
          <w:rFonts w:ascii="Times New Roman" w:hAnsi="Times New Roman" w:cs="Times New Roman"/>
          <w:noProof/>
          <w:sz w:val="24"/>
          <w:szCs w:val="24"/>
          <w:lang w:val="en-GB"/>
        </w:rPr>
      </w:pPr>
      <w:r w:rsidRPr="0036474B">
        <w:rPr>
          <w:rFonts w:ascii="Times New Roman" w:hAnsi="Times New Roman" w:cs="Times New Roman"/>
          <w:b/>
          <w:bCs/>
          <w:noProof/>
          <w:sz w:val="24"/>
          <w:szCs w:val="24"/>
          <w:lang w:val="en-GB"/>
        </w:rPr>
        <w:t xml:space="preserve">EU banks face </w:t>
      </w:r>
      <w:r w:rsidR="35EDFCCC" w:rsidRPr="0036474B">
        <w:rPr>
          <w:rFonts w:ascii="Times New Roman" w:hAnsi="Times New Roman" w:cs="Times New Roman"/>
          <w:b/>
          <w:bCs/>
          <w:noProof/>
          <w:sz w:val="24"/>
          <w:szCs w:val="24"/>
          <w:lang w:val="en-GB"/>
        </w:rPr>
        <w:t>significant</w:t>
      </w:r>
      <w:r w:rsidR="43AC354D" w:rsidRPr="0036474B">
        <w:rPr>
          <w:rFonts w:ascii="Times New Roman" w:hAnsi="Times New Roman" w:cs="Times New Roman"/>
          <w:b/>
          <w:bCs/>
          <w:noProof/>
          <w:sz w:val="24"/>
          <w:szCs w:val="24"/>
          <w:lang w:val="en-GB"/>
        </w:rPr>
        <w:t xml:space="preserve"> barriers that limit </w:t>
      </w:r>
      <w:r w:rsidR="2994DDE8" w:rsidRPr="0036474B">
        <w:rPr>
          <w:rFonts w:ascii="Times New Roman" w:hAnsi="Times New Roman" w:cs="Times New Roman"/>
          <w:b/>
          <w:bCs/>
          <w:noProof/>
          <w:sz w:val="24"/>
          <w:szCs w:val="24"/>
          <w:lang w:val="en-GB"/>
        </w:rPr>
        <w:t xml:space="preserve">their </w:t>
      </w:r>
      <w:r w:rsidR="208A7263" w:rsidRPr="0036474B">
        <w:rPr>
          <w:rFonts w:ascii="Times New Roman" w:hAnsi="Times New Roman" w:cs="Times New Roman"/>
          <w:b/>
          <w:bCs/>
          <w:noProof/>
          <w:sz w:val="24"/>
          <w:szCs w:val="24"/>
          <w:lang w:val="en-GB"/>
        </w:rPr>
        <w:t xml:space="preserve">movement of funds </w:t>
      </w:r>
      <w:r w:rsidR="6F67A7D6" w:rsidRPr="0036474B">
        <w:rPr>
          <w:rFonts w:ascii="Times New Roman" w:hAnsi="Times New Roman" w:cs="Times New Roman"/>
          <w:b/>
          <w:bCs/>
          <w:noProof/>
          <w:sz w:val="24"/>
          <w:szCs w:val="24"/>
          <w:lang w:val="en-GB"/>
        </w:rPr>
        <w:t xml:space="preserve">across </w:t>
      </w:r>
      <w:r w:rsidR="3753AD71" w:rsidRPr="0036474B">
        <w:rPr>
          <w:rFonts w:ascii="Times New Roman" w:hAnsi="Times New Roman" w:cs="Times New Roman"/>
          <w:b/>
          <w:bCs/>
          <w:noProof/>
          <w:sz w:val="24"/>
          <w:szCs w:val="24"/>
          <w:lang w:val="en-GB"/>
        </w:rPr>
        <w:t>M</w:t>
      </w:r>
      <w:r w:rsidR="6F67A7D6" w:rsidRPr="0036474B">
        <w:rPr>
          <w:rFonts w:ascii="Times New Roman" w:hAnsi="Times New Roman" w:cs="Times New Roman"/>
          <w:b/>
          <w:bCs/>
          <w:noProof/>
          <w:sz w:val="24"/>
          <w:szCs w:val="24"/>
          <w:lang w:val="en-GB"/>
        </w:rPr>
        <w:t xml:space="preserve">ember </w:t>
      </w:r>
      <w:r w:rsidR="3753AD71" w:rsidRPr="0036474B">
        <w:rPr>
          <w:rFonts w:ascii="Times New Roman" w:hAnsi="Times New Roman" w:cs="Times New Roman"/>
          <w:b/>
          <w:bCs/>
          <w:noProof/>
          <w:sz w:val="24"/>
          <w:szCs w:val="24"/>
          <w:lang w:val="en-GB"/>
        </w:rPr>
        <w:t>S</w:t>
      </w:r>
      <w:r w:rsidR="6F67A7D6" w:rsidRPr="0036474B">
        <w:rPr>
          <w:rFonts w:ascii="Times New Roman" w:hAnsi="Times New Roman" w:cs="Times New Roman"/>
          <w:b/>
          <w:bCs/>
          <w:noProof/>
          <w:sz w:val="24"/>
          <w:szCs w:val="24"/>
          <w:lang w:val="en-GB"/>
        </w:rPr>
        <w:t>tates.</w:t>
      </w:r>
      <w:r w:rsidR="7CBBBE86" w:rsidRPr="0036474B">
        <w:rPr>
          <w:rFonts w:ascii="Times New Roman" w:hAnsi="Times New Roman" w:cs="Times New Roman"/>
          <w:noProof/>
          <w:sz w:val="24"/>
          <w:szCs w:val="24"/>
          <w:lang w:val="en-GB"/>
        </w:rPr>
        <w:t xml:space="preserve"> </w:t>
      </w:r>
      <w:r w:rsidR="7891350C" w:rsidRPr="0036474B">
        <w:rPr>
          <w:rFonts w:ascii="Times New Roman" w:hAnsi="Times New Roman" w:cs="Times New Roman"/>
          <w:noProof/>
          <w:sz w:val="24"/>
          <w:szCs w:val="24"/>
          <w:lang w:val="en-GB"/>
        </w:rPr>
        <w:t>The current fragmentation exemplifies the cost of an absence</w:t>
      </w:r>
      <w:r w:rsidR="5FDC2D55" w:rsidRPr="0036474B">
        <w:rPr>
          <w:rFonts w:ascii="Times New Roman" w:hAnsi="Times New Roman" w:cs="Times New Roman"/>
          <w:noProof/>
          <w:sz w:val="24"/>
          <w:szCs w:val="24"/>
          <w:lang w:val="en-GB"/>
        </w:rPr>
        <w:t xml:space="preserve"> of a European dimension in the banking sector and the economic inefficiencies it g</w:t>
      </w:r>
      <w:r w:rsidR="7DA62A93" w:rsidRPr="0036474B">
        <w:rPr>
          <w:rFonts w:ascii="Times New Roman" w:hAnsi="Times New Roman" w:cs="Times New Roman"/>
          <w:noProof/>
          <w:sz w:val="24"/>
          <w:szCs w:val="24"/>
          <w:lang w:val="en-GB"/>
        </w:rPr>
        <w:t>e</w:t>
      </w:r>
      <w:r w:rsidR="5FDC2D55" w:rsidRPr="0036474B">
        <w:rPr>
          <w:rFonts w:ascii="Times New Roman" w:hAnsi="Times New Roman" w:cs="Times New Roman"/>
          <w:noProof/>
          <w:sz w:val="24"/>
          <w:szCs w:val="24"/>
          <w:lang w:val="en-GB"/>
        </w:rPr>
        <w:t>nerates.</w:t>
      </w:r>
      <w:r w:rsidR="7DA62A93" w:rsidRPr="0036474B">
        <w:rPr>
          <w:rFonts w:ascii="Times New Roman" w:hAnsi="Times New Roman" w:cs="Times New Roman"/>
          <w:noProof/>
          <w:sz w:val="24"/>
          <w:szCs w:val="24"/>
          <w:lang w:val="en-GB"/>
        </w:rPr>
        <w:t xml:space="preserve"> </w:t>
      </w:r>
      <w:r w:rsidR="0B9F9A68" w:rsidRPr="0036474B">
        <w:rPr>
          <w:rFonts w:ascii="Times New Roman" w:hAnsi="Times New Roman" w:cs="Times New Roman"/>
          <w:noProof/>
          <w:sz w:val="24"/>
          <w:szCs w:val="24"/>
          <w:lang w:val="en-GB"/>
        </w:rPr>
        <w:t xml:space="preserve">Several estimates confirm that there is a significant amount of </w:t>
      </w:r>
      <w:r w:rsidR="4518BE06" w:rsidRPr="0036474B">
        <w:rPr>
          <w:rFonts w:ascii="Times New Roman" w:hAnsi="Times New Roman" w:cs="Times New Roman"/>
          <w:noProof/>
          <w:sz w:val="24"/>
          <w:szCs w:val="24"/>
          <w:lang w:val="en-GB"/>
        </w:rPr>
        <w:t>capital and liquidity</w:t>
      </w:r>
      <w:r w:rsidR="7DA62A93" w:rsidRPr="0036474B">
        <w:rPr>
          <w:rFonts w:ascii="Times New Roman" w:hAnsi="Times New Roman" w:cs="Times New Roman"/>
          <w:noProof/>
          <w:sz w:val="24"/>
          <w:szCs w:val="24"/>
          <w:lang w:val="en-GB"/>
        </w:rPr>
        <w:t xml:space="preserve"> </w:t>
      </w:r>
      <w:r w:rsidR="406E6898" w:rsidRPr="0036474B">
        <w:rPr>
          <w:rFonts w:ascii="Times New Roman" w:hAnsi="Times New Roman" w:cs="Times New Roman"/>
          <w:noProof/>
          <w:sz w:val="24"/>
          <w:szCs w:val="24"/>
          <w:lang w:val="en-GB"/>
        </w:rPr>
        <w:t xml:space="preserve">segregated </w:t>
      </w:r>
      <w:r w:rsidR="284514B3" w:rsidRPr="0036474B">
        <w:rPr>
          <w:rFonts w:ascii="Times New Roman" w:hAnsi="Times New Roman" w:cs="Times New Roman"/>
          <w:noProof/>
          <w:sz w:val="24"/>
          <w:szCs w:val="24"/>
          <w:lang w:val="en-GB"/>
        </w:rPr>
        <w:t xml:space="preserve">in </w:t>
      </w:r>
      <w:r w:rsidR="406E6898" w:rsidRPr="0036474B">
        <w:rPr>
          <w:rFonts w:ascii="Times New Roman" w:hAnsi="Times New Roman" w:cs="Times New Roman"/>
          <w:noProof/>
          <w:sz w:val="24"/>
          <w:szCs w:val="24"/>
          <w:lang w:val="en-GB"/>
        </w:rPr>
        <w:t xml:space="preserve">EU </w:t>
      </w:r>
      <w:r w:rsidR="284514B3" w:rsidRPr="0036474B">
        <w:rPr>
          <w:rFonts w:ascii="Times New Roman" w:hAnsi="Times New Roman" w:cs="Times New Roman"/>
          <w:noProof/>
          <w:sz w:val="24"/>
          <w:szCs w:val="24"/>
          <w:lang w:val="en-GB"/>
        </w:rPr>
        <w:t xml:space="preserve">subsidiaries </w:t>
      </w:r>
      <w:r w:rsidR="406E6898" w:rsidRPr="0036474B">
        <w:rPr>
          <w:rFonts w:ascii="Times New Roman" w:hAnsi="Times New Roman" w:cs="Times New Roman"/>
          <w:noProof/>
          <w:sz w:val="24"/>
          <w:szCs w:val="24"/>
          <w:lang w:val="en-GB"/>
        </w:rPr>
        <w:t xml:space="preserve">of </w:t>
      </w:r>
      <w:r w:rsidR="7DA62A93" w:rsidRPr="0036474B">
        <w:rPr>
          <w:rFonts w:ascii="Times New Roman" w:hAnsi="Times New Roman" w:cs="Times New Roman"/>
          <w:noProof/>
          <w:sz w:val="24"/>
          <w:szCs w:val="24"/>
          <w:lang w:val="en-GB"/>
        </w:rPr>
        <w:t>E</w:t>
      </w:r>
      <w:r w:rsidR="406E6898" w:rsidRPr="0036474B">
        <w:rPr>
          <w:rFonts w:ascii="Times New Roman" w:hAnsi="Times New Roman" w:cs="Times New Roman"/>
          <w:noProof/>
          <w:sz w:val="24"/>
          <w:szCs w:val="24"/>
          <w:lang w:val="en-GB"/>
        </w:rPr>
        <w:t>U banking groups. E</w:t>
      </w:r>
      <w:r w:rsidR="7DA62A93" w:rsidRPr="0036474B">
        <w:rPr>
          <w:rFonts w:ascii="Times New Roman" w:hAnsi="Times New Roman" w:cs="Times New Roman"/>
          <w:noProof/>
          <w:sz w:val="24"/>
          <w:szCs w:val="24"/>
          <w:lang w:val="en-GB"/>
        </w:rPr>
        <w:t xml:space="preserve">CB </w:t>
      </w:r>
      <w:r w:rsidR="1837508A" w:rsidRPr="0036474B">
        <w:rPr>
          <w:rFonts w:ascii="Times New Roman" w:hAnsi="Times New Roman" w:cs="Times New Roman"/>
          <w:noProof/>
          <w:sz w:val="24"/>
          <w:szCs w:val="24"/>
          <w:lang w:val="en-GB"/>
        </w:rPr>
        <w:t xml:space="preserve">Banking Supervision </w:t>
      </w:r>
      <w:r w:rsidR="7DA62A93" w:rsidRPr="0036474B">
        <w:rPr>
          <w:rFonts w:ascii="Times New Roman" w:hAnsi="Times New Roman" w:cs="Times New Roman"/>
          <w:noProof/>
          <w:sz w:val="24"/>
          <w:szCs w:val="24"/>
          <w:lang w:val="en-GB"/>
        </w:rPr>
        <w:t>estimate</w:t>
      </w:r>
      <w:r w:rsidR="2D08693A" w:rsidRPr="0036474B">
        <w:rPr>
          <w:rFonts w:ascii="Times New Roman" w:hAnsi="Times New Roman" w:cs="Times New Roman"/>
          <w:noProof/>
          <w:sz w:val="24"/>
          <w:szCs w:val="24"/>
          <w:lang w:val="en-GB"/>
        </w:rPr>
        <w:t>d</w:t>
      </w:r>
      <w:r w:rsidR="7DA62A93" w:rsidRPr="0036474B">
        <w:rPr>
          <w:rFonts w:ascii="Times New Roman" w:hAnsi="Times New Roman" w:cs="Times New Roman"/>
          <w:noProof/>
          <w:sz w:val="24"/>
          <w:szCs w:val="24"/>
          <w:lang w:val="en-GB"/>
        </w:rPr>
        <w:t xml:space="preserve"> that </w:t>
      </w:r>
      <w:r w:rsidR="44C65B5B" w:rsidRPr="0036474B">
        <w:rPr>
          <w:rFonts w:ascii="Times New Roman" w:hAnsi="Times New Roman" w:cs="Times New Roman"/>
          <w:noProof/>
          <w:sz w:val="24"/>
          <w:szCs w:val="24"/>
          <w:lang w:val="en-GB"/>
        </w:rPr>
        <w:t xml:space="preserve">the transferability of EUR 230 billion of </w:t>
      </w:r>
      <w:r w:rsidR="35ACAF4F" w:rsidRPr="0036474B">
        <w:rPr>
          <w:rFonts w:ascii="Times New Roman" w:hAnsi="Times New Roman" w:cs="Times New Roman"/>
          <w:noProof/>
          <w:sz w:val="24"/>
          <w:szCs w:val="24"/>
          <w:lang w:val="en-GB"/>
        </w:rPr>
        <w:t>high-quality</w:t>
      </w:r>
      <w:r w:rsidR="44C65B5B" w:rsidRPr="0036474B">
        <w:rPr>
          <w:rFonts w:ascii="Times New Roman" w:hAnsi="Times New Roman" w:cs="Times New Roman"/>
          <w:noProof/>
          <w:sz w:val="24"/>
          <w:szCs w:val="24"/>
          <w:lang w:val="en-GB"/>
        </w:rPr>
        <w:t xml:space="preserve"> liquid assets </w:t>
      </w:r>
      <w:r w:rsidR="3D590878" w:rsidRPr="0036474B">
        <w:rPr>
          <w:rFonts w:ascii="Times New Roman" w:hAnsi="Times New Roman" w:cs="Times New Roman"/>
          <w:noProof/>
          <w:sz w:val="24"/>
          <w:szCs w:val="24"/>
          <w:lang w:val="en-GB"/>
        </w:rPr>
        <w:t xml:space="preserve">within groups </w:t>
      </w:r>
      <w:r w:rsidR="3D1F3BDF" w:rsidRPr="0036474B">
        <w:rPr>
          <w:rFonts w:ascii="Times New Roman" w:hAnsi="Times New Roman" w:cs="Times New Roman"/>
          <w:noProof/>
          <w:sz w:val="24"/>
          <w:szCs w:val="24"/>
          <w:lang w:val="en-GB"/>
        </w:rPr>
        <w:t>across</w:t>
      </w:r>
      <w:r w:rsidR="3753AD71" w:rsidRPr="0036474B">
        <w:rPr>
          <w:rFonts w:ascii="Times New Roman" w:hAnsi="Times New Roman" w:cs="Times New Roman"/>
          <w:noProof/>
          <w:sz w:val="24"/>
          <w:szCs w:val="24"/>
          <w:lang w:val="en-GB"/>
        </w:rPr>
        <w:t xml:space="preserve"> M</w:t>
      </w:r>
      <w:r w:rsidR="3D1F3BDF" w:rsidRPr="0036474B">
        <w:rPr>
          <w:rFonts w:ascii="Times New Roman" w:hAnsi="Times New Roman" w:cs="Times New Roman"/>
          <w:noProof/>
          <w:sz w:val="24"/>
          <w:szCs w:val="24"/>
          <w:lang w:val="en-GB"/>
        </w:rPr>
        <w:t xml:space="preserve">ember </w:t>
      </w:r>
      <w:r w:rsidR="3753AD71" w:rsidRPr="0036474B">
        <w:rPr>
          <w:rFonts w:ascii="Times New Roman" w:hAnsi="Times New Roman" w:cs="Times New Roman"/>
          <w:noProof/>
          <w:sz w:val="24"/>
          <w:szCs w:val="24"/>
          <w:lang w:val="en-GB"/>
        </w:rPr>
        <w:t>S</w:t>
      </w:r>
      <w:r w:rsidR="3D1F3BDF" w:rsidRPr="0036474B">
        <w:rPr>
          <w:rFonts w:ascii="Times New Roman" w:hAnsi="Times New Roman" w:cs="Times New Roman"/>
          <w:noProof/>
          <w:sz w:val="24"/>
          <w:szCs w:val="24"/>
          <w:lang w:val="en-GB"/>
        </w:rPr>
        <w:t xml:space="preserve">tates </w:t>
      </w:r>
      <w:r w:rsidR="44C65B5B" w:rsidRPr="0036474B">
        <w:rPr>
          <w:rFonts w:ascii="Times New Roman" w:hAnsi="Times New Roman" w:cs="Times New Roman"/>
          <w:noProof/>
          <w:sz w:val="24"/>
          <w:szCs w:val="24"/>
          <w:lang w:val="en-GB"/>
        </w:rPr>
        <w:t xml:space="preserve">is constrained by the application of full liquidity requirements </w:t>
      </w:r>
      <w:r w:rsidR="3D1F3BDF" w:rsidRPr="0036474B">
        <w:rPr>
          <w:rFonts w:ascii="Times New Roman" w:hAnsi="Times New Roman" w:cs="Times New Roman"/>
          <w:noProof/>
          <w:sz w:val="24"/>
          <w:szCs w:val="24"/>
          <w:lang w:val="en-GB"/>
        </w:rPr>
        <w:t xml:space="preserve">at </w:t>
      </w:r>
      <w:r w:rsidR="1F4FDC32" w:rsidRPr="0036474B">
        <w:rPr>
          <w:rFonts w:ascii="Times New Roman" w:hAnsi="Times New Roman" w:cs="Times New Roman"/>
          <w:noProof/>
          <w:sz w:val="24"/>
          <w:szCs w:val="24"/>
          <w:lang w:val="en-GB"/>
        </w:rPr>
        <w:t>M</w:t>
      </w:r>
      <w:r w:rsidR="0CF80AE7" w:rsidRPr="0036474B">
        <w:rPr>
          <w:rFonts w:ascii="Times New Roman" w:hAnsi="Times New Roman" w:cs="Times New Roman"/>
          <w:noProof/>
          <w:sz w:val="24"/>
          <w:szCs w:val="24"/>
          <w:lang w:val="en-GB"/>
        </w:rPr>
        <w:t xml:space="preserve">ember </w:t>
      </w:r>
      <w:r w:rsidR="1F4FDC32" w:rsidRPr="0036474B">
        <w:rPr>
          <w:rFonts w:ascii="Times New Roman" w:hAnsi="Times New Roman" w:cs="Times New Roman"/>
          <w:noProof/>
          <w:sz w:val="24"/>
          <w:szCs w:val="24"/>
          <w:lang w:val="en-GB"/>
        </w:rPr>
        <w:t>S</w:t>
      </w:r>
      <w:r w:rsidR="0CF80AE7" w:rsidRPr="0036474B">
        <w:rPr>
          <w:rFonts w:ascii="Times New Roman" w:hAnsi="Times New Roman" w:cs="Times New Roman"/>
          <w:noProof/>
          <w:sz w:val="24"/>
          <w:szCs w:val="24"/>
          <w:lang w:val="en-GB"/>
        </w:rPr>
        <w:t>tate level</w:t>
      </w:r>
      <w:r w:rsidR="6F7BEB78" w:rsidRPr="0036474B">
        <w:rPr>
          <w:rFonts w:ascii="Times New Roman" w:hAnsi="Times New Roman" w:cs="Times New Roman"/>
          <w:noProof/>
          <w:sz w:val="24"/>
          <w:szCs w:val="24"/>
          <w:lang w:val="en-GB"/>
        </w:rPr>
        <w:t>.</w:t>
      </w:r>
      <w:r w:rsidR="5E312B31" w:rsidRPr="0036474B">
        <w:rPr>
          <w:rFonts w:ascii="Times New Roman" w:hAnsi="Times New Roman" w:cs="Times New Roman"/>
          <w:noProof/>
          <w:sz w:val="24"/>
          <w:szCs w:val="24"/>
          <w:lang w:val="en-GB"/>
        </w:rPr>
        <w:t xml:space="preserve"> </w:t>
      </w:r>
      <w:r w:rsidR="291AA3C4" w:rsidRPr="0036474B">
        <w:rPr>
          <w:rFonts w:ascii="Times New Roman" w:hAnsi="Times New Roman" w:cs="Times New Roman"/>
          <w:noProof/>
          <w:sz w:val="24"/>
          <w:szCs w:val="24"/>
          <w:lang w:val="en-GB"/>
        </w:rPr>
        <w:t>This is a conservative estimate, as</w:t>
      </w:r>
      <w:r w:rsidR="064EF617" w:rsidRPr="0036474B">
        <w:rPr>
          <w:rFonts w:ascii="Times New Roman" w:hAnsi="Times New Roman" w:cs="Times New Roman"/>
          <w:noProof/>
          <w:sz w:val="24"/>
          <w:szCs w:val="24"/>
          <w:lang w:val="en-GB"/>
        </w:rPr>
        <w:t xml:space="preserve"> EUR 150 billion of excess</w:t>
      </w:r>
      <w:r w:rsidR="5A35BBAB" w:rsidRPr="0036474B">
        <w:rPr>
          <w:rFonts w:ascii="Times New Roman" w:hAnsi="Times New Roman" w:cs="Times New Roman"/>
          <w:noProof/>
          <w:sz w:val="24"/>
          <w:szCs w:val="24"/>
          <w:lang w:val="en-GB"/>
        </w:rPr>
        <w:t xml:space="preserve"> high quality liquid assets</w:t>
      </w:r>
      <w:r w:rsidR="0B9F9A68" w:rsidRPr="0036474B">
        <w:rPr>
          <w:rFonts w:ascii="Times New Roman" w:hAnsi="Times New Roman" w:cs="Times New Roman"/>
          <w:noProof/>
          <w:sz w:val="24"/>
          <w:szCs w:val="24"/>
          <w:lang w:val="en-GB"/>
        </w:rPr>
        <w:t xml:space="preserve"> </w:t>
      </w:r>
      <w:r w:rsidR="3D1F3BDF" w:rsidRPr="0036474B">
        <w:rPr>
          <w:rFonts w:ascii="Times New Roman" w:hAnsi="Times New Roman" w:cs="Times New Roman"/>
          <w:noProof/>
          <w:sz w:val="24"/>
          <w:szCs w:val="24"/>
          <w:lang w:val="en-GB"/>
        </w:rPr>
        <w:t xml:space="preserve">are </w:t>
      </w:r>
      <w:r w:rsidR="22080B86" w:rsidRPr="0036474B">
        <w:rPr>
          <w:rFonts w:ascii="Times New Roman" w:hAnsi="Times New Roman" w:cs="Times New Roman"/>
          <w:noProof/>
          <w:sz w:val="24"/>
          <w:szCs w:val="24"/>
          <w:lang w:val="en-GB"/>
        </w:rPr>
        <w:t xml:space="preserve">also </w:t>
      </w:r>
      <w:r w:rsidR="3D1F3BDF" w:rsidRPr="0036474B">
        <w:rPr>
          <w:rFonts w:ascii="Times New Roman" w:hAnsi="Times New Roman" w:cs="Times New Roman"/>
          <w:noProof/>
          <w:sz w:val="24"/>
          <w:szCs w:val="24"/>
          <w:lang w:val="en-GB"/>
        </w:rPr>
        <w:t xml:space="preserve">held </w:t>
      </w:r>
      <w:r w:rsidR="68C044CB" w:rsidRPr="0036474B">
        <w:rPr>
          <w:rFonts w:ascii="Times New Roman" w:hAnsi="Times New Roman" w:cs="Times New Roman"/>
          <w:noProof/>
          <w:sz w:val="24"/>
          <w:szCs w:val="24"/>
          <w:lang w:val="en-GB"/>
        </w:rPr>
        <w:t xml:space="preserve">within those subsidiaries and some of </w:t>
      </w:r>
      <w:r w:rsidR="4B282B34" w:rsidRPr="0036474B">
        <w:rPr>
          <w:rFonts w:ascii="Times New Roman" w:hAnsi="Times New Roman" w:cs="Times New Roman"/>
          <w:noProof/>
          <w:sz w:val="24"/>
          <w:szCs w:val="24"/>
          <w:lang w:val="en-GB"/>
        </w:rPr>
        <w:t>those</w:t>
      </w:r>
      <w:r w:rsidR="68C044CB" w:rsidRPr="0036474B">
        <w:rPr>
          <w:rFonts w:ascii="Times New Roman" w:hAnsi="Times New Roman" w:cs="Times New Roman"/>
          <w:noProof/>
          <w:sz w:val="24"/>
          <w:szCs w:val="24"/>
          <w:lang w:val="en-GB"/>
        </w:rPr>
        <w:t xml:space="preserve"> may not be transferable because of other requirements</w:t>
      </w:r>
      <w:r w:rsidR="1F4F3117" w:rsidRPr="0036474B">
        <w:rPr>
          <w:rFonts w:ascii="Times New Roman" w:hAnsi="Times New Roman" w:cs="Times New Roman"/>
          <w:noProof/>
          <w:sz w:val="24"/>
          <w:szCs w:val="24"/>
          <w:lang w:val="en-GB"/>
        </w:rPr>
        <w:t xml:space="preserve"> like large exposure limits, individual level requirements, etc.</w:t>
      </w:r>
      <w:r w:rsidR="0D153AB3" w:rsidRPr="0036474B">
        <w:rPr>
          <w:rFonts w:ascii="Times New Roman" w:hAnsi="Times New Roman" w:cs="Times New Roman"/>
          <w:noProof/>
          <w:sz w:val="24"/>
          <w:szCs w:val="24"/>
          <w:lang w:val="en-GB"/>
        </w:rPr>
        <w:t xml:space="preserve"> </w:t>
      </w:r>
      <w:r w:rsidR="22080B86" w:rsidRPr="0036474B">
        <w:rPr>
          <w:rFonts w:ascii="Times New Roman" w:hAnsi="Times New Roman" w:cs="Times New Roman"/>
          <w:noProof/>
          <w:sz w:val="24"/>
          <w:szCs w:val="24"/>
          <w:lang w:val="en-GB"/>
        </w:rPr>
        <w:t>In a recent study</w:t>
      </w:r>
      <w:r w:rsidR="00E1125A" w:rsidRPr="0036474B">
        <w:rPr>
          <w:rStyle w:val="FootnoteReference"/>
          <w:rFonts w:ascii="Times New Roman" w:hAnsi="Times New Roman" w:cs="Times New Roman"/>
          <w:noProof/>
          <w:sz w:val="24"/>
          <w:szCs w:val="24"/>
          <w:lang w:val="en-GB"/>
        </w:rPr>
        <w:footnoteReference w:id="48"/>
      </w:r>
      <w:r w:rsidR="22080B86" w:rsidRPr="0036474B">
        <w:rPr>
          <w:rFonts w:ascii="Times New Roman" w:hAnsi="Times New Roman" w:cs="Times New Roman"/>
          <w:noProof/>
          <w:sz w:val="24"/>
          <w:szCs w:val="24"/>
          <w:lang w:val="en-GB"/>
        </w:rPr>
        <w:t>, AFME estimated a similar amount, EUR 250 billion</w:t>
      </w:r>
      <w:r w:rsidR="4B282B34" w:rsidRPr="0036474B">
        <w:rPr>
          <w:rFonts w:ascii="Times New Roman" w:hAnsi="Times New Roman" w:cs="Times New Roman"/>
          <w:noProof/>
          <w:sz w:val="24"/>
          <w:szCs w:val="24"/>
          <w:lang w:val="en-GB"/>
        </w:rPr>
        <w:t xml:space="preserve"> of </w:t>
      </w:r>
      <w:r w:rsidR="04870723" w:rsidRPr="0036474B">
        <w:rPr>
          <w:rFonts w:ascii="Times New Roman" w:hAnsi="Times New Roman" w:cs="Times New Roman"/>
          <w:noProof/>
          <w:sz w:val="24"/>
          <w:szCs w:val="24"/>
          <w:lang w:val="en-GB"/>
        </w:rPr>
        <w:t>liquidity</w:t>
      </w:r>
      <w:r w:rsidR="22080B86" w:rsidRPr="0036474B">
        <w:rPr>
          <w:rFonts w:ascii="Times New Roman" w:hAnsi="Times New Roman" w:cs="Times New Roman"/>
          <w:noProof/>
          <w:sz w:val="24"/>
          <w:szCs w:val="24"/>
          <w:lang w:val="en-GB"/>
        </w:rPr>
        <w:t>, to be “trapped” in subsidiaries of EU banking groups.</w:t>
      </w:r>
      <w:r w:rsidR="12203088" w:rsidRPr="0036474B">
        <w:rPr>
          <w:rFonts w:ascii="Times New Roman" w:hAnsi="Times New Roman" w:cs="Times New Roman"/>
          <w:noProof/>
          <w:sz w:val="24"/>
          <w:szCs w:val="24"/>
          <w:lang w:val="en-GB"/>
        </w:rPr>
        <w:t xml:space="preserve"> In </w:t>
      </w:r>
      <w:r w:rsidR="1448CF64" w:rsidRPr="0036474B">
        <w:rPr>
          <w:rFonts w:ascii="Times New Roman" w:hAnsi="Times New Roman" w:cs="Times New Roman"/>
          <w:noProof/>
          <w:sz w:val="24"/>
          <w:szCs w:val="24"/>
          <w:lang w:val="en-GB"/>
        </w:rPr>
        <w:t>a similar fashion</w:t>
      </w:r>
      <w:r w:rsidR="04870723" w:rsidRPr="0036474B">
        <w:rPr>
          <w:rFonts w:ascii="Times New Roman" w:hAnsi="Times New Roman" w:cs="Times New Roman"/>
          <w:noProof/>
          <w:sz w:val="24"/>
          <w:szCs w:val="24"/>
          <w:lang w:val="en-GB"/>
        </w:rPr>
        <w:t xml:space="preserve">, AFME estimated </w:t>
      </w:r>
      <w:r w:rsidR="437A24FC" w:rsidRPr="0036474B">
        <w:rPr>
          <w:rFonts w:ascii="Times New Roman" w:hAnsi="Times New Roman" w:cs="Times New Roman"/>
          <w:noProof/>
          <w:sz w:val="24"/>
          <w:szCs w:val="24"/>
          <w:lang w:val="en-GB"/>
        </w:rPr>
        <w:t xml:space="preserve">EUR 225 billion of capital to be </w:t>
      </w:r>
      <w:r w:rsidR="5C3E778E" w:rsidRPr="0036474B">
        <w:rPr>
          <w:rFonts w:ascii="Times New Roman" w:hAnsi="Times New Roman" w:cs="Times New Roman"/>
          <w:noProof/>
          <w:sz w:val="24"/>
          <w:szCs w:val="24"/>
          <w:lang w:val="en-GB"/>
        </w:rPr>
        <w:t xml:space="preserve">constrained within EU subsidiaries </w:t>
      </w:r>
      <w:r w:rsidR="0DA44401" w:rsidRPr="0036474B">
        <w:rPr>
          <w:rFonts w:ascii="Times New Roman" w:hAnsi="Times New Roman" w:cs="Times New Roman"/>
          <w:noProof/>
          <w:sz w:val="24"/>
          <w:szCs w:val="24"/>
          <w:lang w:val="en-GB"/>
        </w:rPr>
        <w:t>of</w:t>
      </w:r>
      <w:r w:rsidR="12203088" w:rsidRPr="0036474B">
        <w:rPr>
          <w:rFonts w:ascii="Times New Roman" w:hAnsi="Times New Roman" w:cs="Times New Roman"/>
          <w:noProof/>
          <w:sz w:val="24"/>
          <w:szCs w:val="24"/>
          <w:lang w:val="en-GB"/>
        </w:rPr>
        <w:t xml:space="preserve"> </w:t>
      </w:r>
      <w:r w:rsidR="1448CF64" w:rsidRPr="0036474B">
        <w:rPr>
          <w:rFonts w:ascii="Times New Roman" w:hAnsi="Times New Roman" w:cs="Times New Roman"/>
          <w:noProof/>
          <w:sz w:val="24"/>
          <w:szCs w:val="24"/>
          <w:lang w:val="en-GB"/>
        </w:rPr>
        <w:t>EU banking groups</w:t>
      </w:r>
      <w:r w:rsidR="001E7A22" w:rsidRPr="0036474B">
        <w:rPr>
          <w:rStyle w:val="FootnoteReference"/>
          <w:rFonts w:ascii="Times New Roman" w:hAnsi="Times New Roman" w:cs="Times New Roman"/>
          <w:noProof/>
          <w:sz w:val="24"/>
          <w:szCs w:val="24"/>
          <w:lang w:val="en-GB"/>
        </w:rPr>
        <w:footnoteReference w:id="49"/>
      </w:r>
      <w:r w:rsidR="1448CF64" w:rsidRPr="0036474B">
        <w:rPr>
          <w:rFonts w:ascii="Times New Roman" w:hAnsi="Times New Roman" w:cs="Times New Roman"/>
          <w:noProof/>
          <w:sz w:val="24"/>
          <w:szCs w:val="24"/>
          <w:lang w:val="en-GB"/>
        </w:rPr>
        <w:t>.</w:t>
      </w:r>
      <w:r w:rsidR="04BC4E1E" w:rsidRPr="0036474B">
        <w:rPr>
          <w:rFonts w:ascii="Times New Roman" w:hAnsi="Times New Roman" w:cs="Times New Roman"/>
          <w:noProof/>
          <w:sz w:val="24"/>
          <w:szCs w:val="24"/>
          <w:lang w:val="en-GB"/>
        </w:rPr>
        <w:t xml:space="preserve"> </w:t>
      </w:r>
    </w:p>
    <w:p w14:paraId="44C80D1A" w14:textId="4D806CC0" w:rsidR="0032095F" w:rsidRDefault="04BC4E1E" w:rsidP="00C57968">
      <w:pPr>
        <w:jc w:val="both"/>
        <w:rPr>
          <w:rFonts w:ascii="Times New Roman" w:hAnsi="Times New Roman" w:cs="Times New Roman"/>
          <w:noProof/>
          <w:sz w:val="24"/>
          <w:szCs w:val="24"/>
          <w:lang w:val="en-GB"/>
        </w:rPr>
      </w:pPr>
      <w:r w:rsidRPr="0036474B">
        <w:rPr>
          <w:rFonts w:ascii="Times New Roman" w:hAnsi="Times New Roman" w:cs="Times New Roman"/>
          <w:b/>
          <w:bCs/>
          <w:noProof/>
          <w:sz w:val="24"/>
          <w:szCs w:val="24"/>
          <w:lang w:val="en-GB"/>
        </w:rPr>
        <w:t xml:space="preserve">These </w:t>
      </w:r>
      <w:r w:rsidR="3D556DC1" w:rsidRPr="0036474B">
        <w:rPr>
          <w:rFonts w:ascii="Times New Roman" w:hAnsi="Times New Roman" w:cs="Times New Roman"/>
          <w:b/>
          <w:bCs/>
          <w:noProof/>
          <w:sz w:val="24"/>
          <w:szCs w:val="24"/>
          <w:lang w:val="en-GB"/>
        </w:rPr>
        <w:t xml:space="preserve">barriers </w:t>
      </w:r>
      <w:r w:rsidR="251A505A" w:rsidRPr="0036474B">
        <w:rPr>
          <w:rFonts w:ascii="Times New Roman" w:hAnsi="Times New Roman" w:cs="Times New Roman"/>
          <w:b/>
          <w:bCs/>
          <w:noProof/>
          <w:sz w:val="24"/>
          <w:szCs w:val="24"/>
          <w:lang w:val="en-GB"/>
        </w:rPr>
        <w:t xml:space="preserve">act like </w:t>
      </w:r>
      <w:r w:rsidR="251A505A" w:rsidRPr="4EB84919">
        <w:rPr>
          <w:rFonts w:ascii="Times New Roman" w:hAnsi="Times New Roman" w:cs="Times New Roman"/>
          <w:b/>
          <w:bCs/>
          <w:i/>
          <w:iCs/>
          <w:noProof/>
          <w:sz w:val="24"/>
          <w:szCs w:val="24"/>
          <w:lang w:val="en-GB"/>
        </w:rPr>
        <w:t>de facto</w:t>
      </w:r>
      <w:r w:rsidR="251A505A" w:rsidRPr="0036474B">
        <w:rPr>
          <w:rFonts w:ascii="Times New Roman" w:hAnsi="Times New Roman" w:cs="Times New Roman"/>
          <w:b/>
          <w:bCs/>
          <w:noProof/>
          <w:sz w:val="24"/>
          <w:szCs w:val="24"/>
          <w:lang w:val="en-GB"/>
        </w:rPr>
        <w:t xml:space="preserve"> tariffs and </w:t>
      </w:r>
      <w:r w:rsidR="69FA657B" w:rsidRPr="0036474B">
        <w:rPr>
          <w:rFonts w:ascii="Times New Roman" w:hAnsi="Times New Roman" w:cs="Times New Roman"/>
          <w:b/>
          <w:bCs/>
          <w:noProof/>
          <w:sz w:val="24"/>
          <w:szCs w:val="24"/>
          <w:lang w:val="en-GB"/>
        </w:rPr>
        <w:t>do not allow EU banks to</w:t>
      </w:r>
      <w:r w:rsidR="43AC8218" w:rsidRPr="0036474B">
        <w:rPr>
          <w:rFonts w:ascii="Times New Roman" w:hAnsi="Times New Roman" w:cs="Times New Roman"/>
          <w:b/>
          <w:bCs/>
          <w:noProof/>
          <w:sz w:val="24"/>
          <w:szCs w:val="24"/>
          <w:lang w:val="en-GB"/>
        </w:rPr>
        <w:t xml:space="preserve"> reap the benefit</w:t>
      </w:r>
      <w:r w:rsidR="251A505A" w:rsidRPr="0036474B">
        <w:rPr>
          <w:rFonts w:ascii="Times New Roman" w:hAnsi="Times New Roman" w:cs="Times New Roman"/>
          <w:b/>
          <w:bCs/>
          <w:noProof/>
          <w:sz w:val="24"/>
          <w:szCs w:val="24"/>
          <w:lang w:val="en-GB"/>
        </w:rPr>
        <w:t>s</w:t>
      </w:r>
      <w:r w:rsidR="43AC8218" w:rsidRPr="0036474B">
        <w:rPr>
          <w:rFonts w:ascii="Times New Roman" w:hAnsi="Times New Roman" w:cs="Times New Roman"/>
          <w:b/>
          <w:bCs/>
          <w:noProof/>
          <w:sz w:val="24"/>
          <w:szCs w:val="24"/>
          <w:lang w:val="en-GB"/>
        </w:rPr>
        <w:t xml:space="preserve"> of</w:t>
      </w:r>
      <w:r w:rsidR="5B8B5F59" w:rsidRPr="0036474B">
        <w:rPr>
          <w:rFonts w:ascii="Times New Roman" w:hAnsi="Times New Roman" w:cs="Times New Roman"/>
          <w:b/>
          <w:bCs/>
          <w:noProof/>
          <w:sz w:val="24"/>
          <w:szCs w:val="24"/>
          <w:lang w:val="en-GB"/>
        </w:rPr>
        <w:t xml:space="preserve"> being in</w:t>
      </w:r>
      <w:r w:rsidR="2F78BB67" w:rsidRPr="0036474B">
        <w:rPr>
          <w:rFonts w:ascii="Times New Roman" w:hAnsi="Times New Roman" w:cs="Times New Roman"/>
          <w:b/>
          <w:bCs/>
          <w:noProof/>
          <w:sz w:val="24"/>
          <w:szCs w:val="24"/>
          <w:lang w:val="en-GB"/>
        </w:rPr>
        <w:t xml:space="preserve"> the </w:t>
      </w:r>
      <w:r w:rsidR="3E0CB98E" w:rsidRPr="0036474B">
        <w:rPr>
          <w:rFonts w:ascii="Times New Roman" w:hAnsi="Times New Roman" w:cs="Times New Roman"/>
          <w:b/>
          <w:bCs/>
          <w:noProof/>
          <w:sz w:val="24"/>
          <w:szCs w:val="24"/>
          <w:lang w:val="en-GB"/>
        </w:rPr>
        <w:t>s</w:t>
      </w:r>
      <w:r w:rsidR="2F78BB67" w:rsidRPr="0036474B">
        <w:rPr>
          <w:rFonts w:ascii="Times New Roman" w:hAnsi="Times New Roman" w:cs="Times New Roman"/>
          <w:b/>
          <w:bCs/>
          <w:noProof/>
          <w:sz w:val="24"/>
          <w:szCs w:val="24"/>
          <w:lang w:val="en-GB"/>
        </w:rPr>
        <w:t xml:space="preserve">ingle </w:t>
      </w:r>
      <w:r w:rsidR="3E0CB98E" w:rsidRPr="0036474B">
        <w:rPr>
          <w:rFonts w:ascii="Times New Roman" w:hAnsi="Times New Roman" w:cs="Times New Roman"/>
          <w:b/>
          <w:bCs/>
          <w:noProof/>
          <w:sz w:val="24"/>
          <w:szCs w:val="24"/>
          <w:lang w:val="en-GB"/>
        </w:rPr>
        <w:t>m</w:t>
      </w:r>
      <w:r w:rsidR="2F78BB67" w:rsidRPr="0036474B">
        <w:rPr>
          <w:rFonts w:ascii="Times New Roman" w:hAnsi="Times New Roman" w:cs="Times New Roman"/>
          <w:b/>
          <w:bCs/>
          <w:noProof/>
          <w:sz w:val="24"/>
          <w:szCs w:val="24"/>
          <w:lang w:val="en-GB"/>
        </w:rPr>
        <w:t>arket</w:t>
      </w:r>
      <w:r w:rsidR="251A505A" w:rsidRPr="0036474B">
        <w:rPr>
          <w:rFonts w:ascii="Times New Roman" w:hAnsi="Times New Roman" w:cs="Times New Roman"/>
          <w:noProof/>
          <w:sz w:val="24"/>
          <w:szCs w:val="24"/>
          <w:lang w:val="en-GB"/>
        </w:rPr>
        <w:t>.</w:t>
      </w:r>
      <w:r w:rsidR="2F78BB67" w:rsidRPr="0036474B">
        <w:rPr>
          <w:rFonts w:ascii="Times New Roman" w:hAnsi="Times New Roman" w:cs="Times New Roman"/>
          <w:noProof/>
          <w:sz w:val="24"/>
          <w:szCs w:val="24"/>
          <w:lang w:val="en-GB"/>
        </w:rPr>
        <w:t xml:space="preserve"> </w:t>
      </w:r>
      <w:r w:rsidR="251A505A" w:rsidRPr="0036474B">
        <w:rPr>
          <w:rFonts w:ascii="Times New Roman" w:hAnsi="Times New Roman" w:cs="Times New Roman"/>
          <w:noProof/>
          <w:sz w:val="24"/>
          <w:szCs w:val="24"/>
          <w:lang w:val="en-GB"/>
        </w:rPr>
        <w:t xml:space="preserve">According to </w:t>
      </w:r>
      <w:r w:rsidR="3C5A6BD0" w:rsidRPr="0036474B">
        <w:rPr>
          <w:rFonts w:ascii="Times New Roman" w:hAnsi="Times New Roman" w:cs="Times New Roman"/>
          <w:noProof/>
          <w:sz w:val="24"/>
          <w:szCs w:val="24"/>
          <w:lang w:val="en-GB"/>
        </w:rPr>
        <w:t xml:space="preserve">the ECB, </w:t>
      </w:r>
      <w:r w:rsidR="49E0EF98" w:rsidRPr="0036474B">
        <w:rPr>
          <w:rFonts w:ascii="Times New Roman" w:hAnsi="Times New Roman" w:cs="Times New Roman"/>
          <w:noProof/>
          <w:sz w:val="24"/>
          <w:szCs w:val="24"/>
        </w:rPr>
        <w:t xml:space="preserve">despite the decrease recorded between 2005 and 2023, intra-EU service trade costs, including in the financial sector, are roughly equivalent on average to an ad valorem tariff of around 95% compared to domestic trade. </w:t>
      </w:r>
      <w:r w:rsidR="3B2A3C6E" w:rsidRPr="0036474B">
        <w:rPr>
          <w:rFonts w:ascii="Times New Roman" w:hAnsi="Times New Roman" w:cs="Times New Roman"/>
          <w:noProof/>
          <w:sz w:val="24"/>
          <w:szCs w:val="24"/>
        </w:rPr>
        <w:t>Also,</w:t>
      </w:r>
      <w:r w:rsidR="4B11402B" w:rsidRPr="0036474B">
        <w:rPr>
          <w:rFonts w:ascii="Times New Roman" w:hAnsi="Times New Roman" w:cs="Times New Roman"/>
          <w:noProof/>
          <w:sz w:val="24"/>
          <w:szCs w:val="24"/>
        </w:rPr>
        <w:t xml:space="preserve"> a recent IMF report</w:t>
      </w:r>
      <w:r w:rsidR="00365FEB" w:rsidRPr="0036474B">
        <w:rPr>
          <w:rStyle w:val="FootnoteReference"/>
          <w:rFonts w:ascii="Times New Roman" w:hAnsi="Times New Roman" w:cs="Times New Roman"/>
          <w:noProof/>
          <w:sz w:val="24"/>
          <w:szCs w:val="24"/>
        </w:rPr>
        <w:footnoteReference w:id="50"/>
      </w:r>
      <w:r w:rsidR="4B11402B" w:rsidRPr="0036474B">
        <w:rPr>
          <w:rFonts w:ascii="Times New Roman" w:hAnsi="Times New Roman" w:cs="Times New Roman"/>
          <w:noProof/>
          <w:sz w:val="24"/>
          <w:szCs w:val="24"/>
        </w:rPr>
        <w:t xml:space="preserve"> </w:t>
      </w:r>
      <w:r w:rsidR="3B2A3C6E" w:rsidRPr="0036474B">
        <w:rPr>
          <w:rFonts w:ascii="Times New Roman" w:hAnsi="Times New Roman" w:cs="Times New Roman"/>
          <w:noProof/>
          <w:sz w:val="24"/>
          <w:szCs w:val="24"/>
        </w:rPr>
        <w:t>recognised that</w:t>
      </w:r>
      <w:r w:rsidR="4B11402B" w:rsidRPr="0036474B">
        <w:rPr>
          <w:rFonts w:ascii="Times New Roman" w:hAnsi="Times New Roman" w:cs="Times New Roman"/>
          <w:noProof/>
          <w:sz w:val="24"/>
          <w:szCs w:val="24"/>
          <w:lang w:val="en-GB"/>
        </w:rPr>
        <w:t xml:space="preserve"> requirements</w:t>
      </w:r>
      <w:r w:rsidR="3B2A3C6E" w:rsidRPr="0036474B">
        <w:rPr>
          <w:rFonts w:ascii="Times New Roman" w:hAnsi="Times New Roman" w:cs="Times New Roman"/>
          <w:noProof/>
          <w:sz w:val="24"/>
          <w:szCs w:val="24"/>
          <w:lang w:val="en-GB"/>
        </w:rPr>
        <w:t xml:space="preserve"> at</w:t>
      </w:r>
      <w:r w:rsidR="4B11402B" w:rsidRPr="0036474B">
        <w:rPr>
          <w:rFonts w:ascii="Times New Roman" w:hAnsi="Times New Roman" w:cs="Times New Roman"/>
          <w:noProof/>
          <w:sz w:val="24"/>
          <w:szCs w:val="24"/>
          <w:lang w:val="en-GB"/>
        </w:rPr>
        <w:t xml:space="preserve"> </w:t>
      </w:r>
      <w:r w:rsidR="3B2A3C6E" w:rsidRPr="0036474B">
        <w:rPr>
          <w:rFonts w:ascii="Times New Roman" w:hAnsi="Times New Roman" w:cs="Times New Roman"/>
          <w:noProof/>
          <w:sz w:val="24"/>
          <w:szCs w:val="24"/>
          <w:lang w:val="en-GB"/>
        </w:rPr>
        <w:t xml:space="preserve">national level corresponded to </w:t>
      </w:r>
      <w:r w:rsidR="4B11402B" w:rsidRPr="0036474B">
        <w:rPr>
          <w:rFonts w:ascii="Times New Roman" w:hAnsi="Times New Roman" w:cs="Times New Roman"/>
          <w:noProof/>
          <w:sz w:val="24"/>
          <w:szCs w:val="24"/>
          <w:lang w:val="en-GB"/>
        </w:rPr>
        <w:t xml:space="preserve">internal EU tariffs amounting to up to 100% </w:t>
      </w:r>
      <w:r w:rsidR="3B2A3C6E" w:rsidRPr="0036474B">
        <w:rPr>
          <w:rFonts w:ascii="Times New Roman" w:hAnsi="Times New Roman" w:cs="Times New Roman"/>
          <w:noProof/>
          <w:sz w:val="24"/>
          <w:szCs w:val="24"/>
          <w:lang w:val="en-GB"/>
        </w:rPr>
        <w:t>for trade in financial services.</w:t>
      </w:r>
    </w:p>
    <w:p w14:paraId="5A59B098" w14:textId="73ADB842" w:rsidR="0075782E" w:rsidRPr="001752EA" w:rsidRDefault="0075782E" w:rsidP="00C57968">
      <w:pPr>
        <w:jc w:val="both"/>
        <w:rPr>
          <w:rFonts w:ascii="Times New Roman" w:hAnsi="Times New Roman" w:cs="Times New Roman"/>
          <w:noProof/>
          <w:sz w:val="24"/>
          <w:szCs w:val="24"/>
        </w:rPr>
      </w:pPr>
      <w:r w:rsidRPr="00E6181B">
        <w:rPr>
          <w:rFonts w:ascii="Times New Roman" w:hAnsi="Times New Roman" w:cs="Times New Roman"/>
          <w:b/>
          <w:bCs/>
          <w:noProof/>
          <w:sz w:val="24"/>
          <w:szCs w:val="24"/>
          <w:lang w:val="en-GB"/>
        </w:rPr>
        <w:t xml:space="preserve">In a study released in June 2026, the </w:t>
      </w:r>
      <w:r w:rsidRPr="009B02EE">
        <w:rPr>
          <w:rFonts w:ascii="Times New Roman" w:hAnsi="Times New Roman" w:cs="Times New Roman"/>
          <w:b/>
          <w:bCs/>
          <w:noProof/>
          <w:sz w:val="24"/>
          <w:szCs w:val="24"/>
          <w:lang w:val="en-GB"/>
        </w:rPr>
        <w:t>IMF</w:t>
      </w:r>
      <w:r w:rsidRPr="00C26162">
        <w:rPr>
          <w:rFonts w:ascii="Times New Roman" w:hAnsi="Times New Roman" w:cs="Times New Roman"/>
          <w:b/>
          <w:bCs/>
          <w:noProof/>
          <w:sz w:val="24"/>
          <w:szCs w:val="24"/>
          <w:lang w:val="en-GB"/>
        </w:rPr>
        <w:t xml:space="preserve"> conclude</w:t>
      </w:r>
      <w:r>
        <w:rPr>
          <w:rFonts w:ascii="Times New Roman" w:hAnsi="Times New Roman" w:cs="Times New Roman"/>
          <w:b/>
          <w:bCs/>
          <w:noProof/>
          <w:sz w:val="24"/>
          <w:szCs w:val="24"/>
          <w:lang w:val="en-GB"/>
        </w:rPr>
        <w:t>d</w:t>
      </w:r>
      <w:r w:rsidRPr="00C26162">
        <w:rPr>
          <w:rFonts w:ascii="Times New Roman" w:hAnsi="Times New Roman" w:cs="Times New Roman"/>
          <w:b/>
          <w:bCs/>
          <w:noProof/>
          <w:sz w:val="24"/>
          <w:szCs w:val="24"/>
          <w:lang w:val="en-GB"/>
        </w:rPr>
        <w:t xml:space="preserve"> that </w:t>
      </w:r>
      <w:r>
        <w:rPr>
          <w:rFonts w:ascii="Times New Roman" w:hAnsi="Times New Roman" w:cs="Times New Roman"/>
          <w:b/>
          <w:bCs/>
          <w:noProof/>
          <w:sz w:val="24"/>
          <w:szCs w:val="24"/>
          <w:lang w:val="en-GB"/>
        </w:rPr>
        <w:t>bank</w:t>
      </w:r>
      <w:r w:rsidRPr="00C26162">
        <w:rPr>
          <w:rFonts w:ascii="Times New Roman" w:hAnsi="Times New Roman" w:cs="Times New Roman"/>
          <w:b/>
          <w:bCs/>
          <w:noProof/>
          <w:sz w:val="24"/>
          <w:szCs w:val="24"/>
        </w:rPr>
        <w:t xml:space="preserve"> credit in the EU is strongly biased towards domestic borrowers</w:t>
      </w:r>
      <w:r>
        <w:rPr>
          <w:rStyle w:val="FootnoteReference"/>
          <w:rFonts w:ascii="Times New Roman" w:hAnsi="Times New Roman" w:cs="Times New Roman"/>
          <w:b/>
          <w:bCs/>
          <w:noProof/>
          <w:sz w:val="24"/>
          <w:szCs w:val="24"/>
        </w:rPr>
        <w:footnoteReference w:id="51"/>
      </w:r>
      <w:r w:rsidRPr="00C26162">
        <w:rPr>
          <w:rFonts w:ascii="Times New Roman" w:hAnsi="Times New Roman" w:cs="Times New Roman"/>
          <w:b/>
          <w:bCs/>
          <w:noProof/>
          <w:sz w:val="24"/>
          <w:szCs w:val="24"/>
        </w:rPr>
        <w:t>.</w:t>
      </w:r>
      <w:r w:rsidRPr="007B57FF">
        <w:rPr>
          <w:rFonts w:ascii="Times New Roman" w:hAnsi="Times New Roman" w:cs="Times New Roman"/>
          <w:noProof/>
          <w:sz w:val="24"/>
          <w:szCs w:val="24"/>
        </w:rPr>
        <w:t xml:space="preserve"> </w:t>
      </w:r>
      <w:r>
        <w:rPr>
          <w:rFonts w:ascii="Times New Roman" w:hAnsi="Times New Roman" w:cs="Times New Roman"/>
          <w:noProof/>
          <w:sz w:val="24"/>
          <w:szCs w:val="24"/>
        </w:rPr>
        <w:t>The IMF estimates that c</w:t>
      </w:r>
      <w:r w:rsidRPr="007B57FF">
        <w:rPr>
          <w:rFonts w:ascii="Times New Roman" w:hAnsi="Times New Roman" w:cs="Times New Roman"/>
          <w:noProof/>
          <w:sz w:val="24"/>
          <w:szCs w:val="24"/>
        </w:rPr>
        <w:t>ross</w:t>
      </w:r>
      <w:r>
        <w:rPr>
          <w:rFonts w:ascii="Times New Roman" w:hAnsi="Times New Roman" w:cs="Times New Roman"/>
          <w:noProof/>
          <w:sz w:val="24"/>
          <w:szCs w:val="24"/>
        </w:rPr>
        <w:t>-</w:t>
      </w:r>
      <w:r w:rsidRPr="007B57FF">
        <w:rPr>
          <w:rFonts w:ascii="Times New Roman" w:hAnsi="Times New Roman" w:cs="Times New Roman"/>
          <w:noProof/>
          <w:sz w:val="24"/>
          <w:szCs w:val="24"/>
        </w:rPr>
        <w:t xml:space="preserve">border lending </w:t>
      </w:r>
      <w:r>
        <w:rPr>
          <w:rFonts w:ascii="Times New Roman" w:hAnsi="Times New Roman" w:cs="Times New Roman"/>
          <w:noProof/>
          <w:sz w:val="24"/>
          <w:szCs w:val="24"/>
        </w:rPr>
        <w:t xml:space="preserve">to NFC corporates by </w:t>
      </w:r>
      <w:r w:rsidRPr="007B57FF">
        <w:rPr>
          <w:rFonts w:ascii="Times New Roman" w:hAnsi="Times New Roman" w:cs="Times New Roman"/>
          <w:noProof/>
          <w:sz w:val="24"/>
          <w:szCs w:val="24"/>
        </w:rPr>
        <w:t xml:space="preserve">immediate lenders </w:t>
      </w:r>
      <w:r>
        <w:rPr>
          <w:rFonts w:ascii="Times New Roman" w:hAnsi="Times New Roman" w:cs="Times New Roman"/>
          <w:noProof/>
          <w:sz w:val="24"/>
          <w:szCs w:val="24"/>
        </w:rPr>
        <w:t xml:space="preserve">represents on average </w:t>
      </w:r>
      <w:r w:rsidRPr="007B57FF">
        <w:rPr>
          <w:rFonts w:ascii="Times New Roman" w:hAnsi="Times New Roman" w:cs="Times New Roman"/>
          <w:noProof/>
          <w:sz w:val="24"/>
          <w:szCs w:val="24"/>
        </w:rPr>
        <w:t xml:space="preserve">5% of all </w:t>
      </w:r>
      <w:r>
        <w:rPr>
          <w:rFonts w:ascii="Times New Roman" w:hAnsi="Times New Roman" w:cs="Times New Roman"/>
          <w:noProof/>
          <w:sz w:val="24"/>
          <w:szCs w:val="24"/>
        </w:rPr>
        <w:t xml:space="preserve">NFC </w:t>
      </w:r>
      <w:r w:rsidRPr="007B57FF">
        <w:rPr>
          <w:rFonts w:ascii="Times New Roman" w:hAnsi="Times New Roman" w:cs="Times New Roman"/>
          <w:noProof/>
          <w:sz w:val="24"/>
          <w:szCs w:val="24"/>
        </w:rPr>
        <w:t>lending in EU with sizeable variation</w:t>
      </w:r>
      <w:r>
        <w:rPr>
          <w:rFonts w:ascii="Times New Roman" w:hAnsi="Times New Roman" w:cs="Times New Roman"/>
          <w:noProof/>
          <w:sz w:val="24"/>
          <w:szCs w:val="24"/>
        </w:rPr>
        <w:t>, ranging from</w:t>
      </w:r>
      <w:r w:rsidRPr="007B57FF">
        <w:rPr>
          <w:rFonts w:ascii="Times New Roman" w:hAnsi="Times New Roman" w:cs="Times New Roman"/>
          <w:noProof/>
          <w:sz w:val="24"/>
          <w:szCs w:val="24"/>
        </w:rPr>
        <w:t xml:space="preserve"> 2% (IT) to 49% (IE). Cross-border lending by parent entity via subs</w:t>
      </w:r>
      <w:r>
        <w:rPr>
          <w:rFonts w:ascii="Times New Roman" w:hAnsi="Times New Roman" w:cs="Times New Roman"/>
          <w:noProof/>
          <w:sz w:val="24"/>
          <w:szCs w:val="24"/>
        </w:rPr>
        <w:t>idiaries</w:t>
      </w:r>
      <w:r w:rsidRPr="007B57FF">
        <w:rPr>
          <w:rFonts w:ascii="Times New Roman" w:hAnsi="Times New Roman" w:cs="Times New Roman"/>
          <w:noProof/>
          <w:sz w:val="24"/>
          <w:szCs w:val="24"/>
        </w:rPr>
        <w:t xml:space="preserve"> or branches </w:t>
      </w:r>
      <w:r>
        <w:rPr>
          <w:rFonts w:ascii="Times New Roman" w:hAnsi="Times New Roman" w:cs="Times New Roman"/>
          <w:noProof/>
          <w:sz w:val="24"/>
          <w:szCs w:val="24"/>
        </w:rPr>
        <w:t>represents on average only around</w:t>
      </w:r>
      <w:r w:rsidRPr="007B57FF">
        <w:rPr>
          <w:rFonts w:ascii="Times New Roman" w:hAnsi="Times New Roman" w:cs="Times New Roman"/>
          <w:noProof/>
          <w:sz w:val="24"/>
          <w:szCs w:val="24"/>
        </w:rPr>
        <w:t xml:space="preserve"> 14% of total NFC loan volume</w:t>
      </w:r>
      <w:r>
        <w:rPr>
          <w:rFonts w:ascii="Times New Roman" w:hAnsi="Times New Roman" w:cs="Times New Roman"/>
          <w:noProof/>
          <w:sz w:val="24"/>
          <w:szCs w:val="24"/>
        </w:rPr>
        <w:t xml:space="preserve">, with large variations notably in Central and Eastern European Member States where the share of lending via group entities is higher. The analysis by the IMF highlights significant barriers to entry in cross-border lending, including policy aspects like bank regulation, financial safety nets, </w:t>
      </w:r>
      <w:r w:rsidR="008E3D54">
        <w:rPr>
          <w:rFonts w:ascii="Times New Roman" w:hAnsi="Times New Roman" w:cs="Times New Roman"/>
          <w:noProof/>
          <w:sz w:val="24"/>
          <w:szCs w:val="24"/>
        </w:rPr>
        <w:t xml:space="preserve">but also non-prudential barriers like divergences in national </w:t>
      </w:r>
      <w:r>
        <w:rPr>
          <w:rFonts w:ascii="Times New Roman" w:hAnsi="Times New Roman" w:cs="Times New Roman"/>
          <w:noProof/>
          <w:sz w:val="24"/>
          <w:szCs w:val="24"/>
        </w:rPr>
        <w:t>insolvency law</w:t>
      </w:r>
      <w:r w:rsidR="008E3D54">
        <w:rPr>
          <w:rFonts w:ascii="Times New Roman" w:hAnsi="Times New Roman" w:cs="Times New Roman"/>
          <w:noProof/>
          <w:sz w:val="24"/>
          <w:szCs w:val="24"/>
        </w:rPr>
        <w:t xml:space="preserve">s </w:t>
      </w:r>
      <w:r>
        <w:rPr>
          <w:rFonts w:ascii="Times New Roman" w:hAnsi="Times New Roman" w:cs="Times New Roman"/>
          <w:noProof/>
          <w:sz w:val="24"/>
          <w:szCs w:val="24"/>
        </w:rPr>
        <w:t xml:space="preserve">and taxation. The IMF estimates that </w:t>
      </w:r>
      <w:r w:rsidRPr="00714BC0">
        <w:rPr>
          <w:rFonts w:ascii="Times New Roman" w:hAnsi="Times New Roman" w:cs="Times New Roman"/>
          <w:noProof/>
          <w:sz w:val="24"/>
          <w:szCs w:val="24"/>
        </w:rPr>
        <w:t xml:space="preserve">reforms </w:t>
      </w:r>
      <w:r w:rsidR="009C0438">
        <w:rPr>
          <w:rFonts w:ascii="Times New Roman" w:hAnsi="Times New Roman" w:cs="Times New Roman"/>
          <w:noProof/>
          <w:sz w:val="24"/>
          <w:szCs w:val="24"/>
        </w:rPr>
        <w:t xml:space="preserve">reducing </w:t>
      </w:r>
      <w:r w:rsidRPr="00714BC0">
        <w:rPr>
          <w:rFonts w:ascii="Times New Roman" w:hAnsi="Times New Roman" w:cs="Times New Roman"/>
          <w:noProof/>
          <w:sz w:val="24"/>
          <w:szCs w:val="24"/>
        </w:rPr>
        <w:t xml:space="preserve">barriers </w:t>
      </w:r>
      <w:r w:rsidR="00244FB0">
        <w:rPr>
          <w:rFonts w:ascii="Times New Roman" w:hAnsi="Times New Roman" w:cs="Times New Roman"/>
          <w:noProof/>
          <w:sz w:val="24"/>
          <w:szCs w:val="24"/>
        </w:rPr>
        <w:t xml:space="preserve">to </w:t>
      </w:r>
      <w:r w:rsidR="00244FB0" w:rsidRPr="00714BC0">
        <w:rPr>
          <w:rFonts w:ascii="Times New Roman" w:hAnsi="Times New Roman" w:cs="Times New Roman"/>
          <w:noProof/>
          <w:sz w:val="24"/>
          <w:szCs w:val="24"/>
        </w:rPr>
        <w:t xml:space="preserve">cross-border banking </w:t>
      </w:r>
      <w:r w:rsidRPr="00714BC0">
        <w:rPr>
          <w:rFonts w:ascii="Times New Roman" w:hAnsi="Times New Roman" w:cs="Times New Roman"/>
          <w:noProof/>
          <w:sz w:val="24"/>
          <w:szCs w:val="24"/>
        </w:rPr>
        <w:t>could raise EU GDP by about 2 percent in the</w:t>
      </w:r>
      <w:r>
        <w:rPr>
          <w:rFonts w:ascii="Times New Roman" w:hAnsi="Times New Roman" w:cs="Times New Roman"/>
          <w:noProof/>
          <w:sz w:val="24"/>
          <w:szCs w:val="24"/>
        </w:rPr>
        <w:t xml:space="preserve"> </w:t>
      </w:r>
      <w:r w:rsidRPr="00714BC0">
        <w:rPr>
          <w:rFonts w:ascii="Times New Roman" w:hAnsi="Times New Roman" w:cs="Times New Roman"/>
          <w:noProof/>
          <w:sz w:val="24"/>
          <w:szCs w:val="24"/>
        </w:rPr>
        <w:t>long term</w:t>
      </w:r>
      <w:r>
        <w:rPr>
          <w:rFonts w:ascii="Times New Roman" w:hAnsi="Times New Roman" w:cs="Times New Roman"/>
          <w:noProof/>
          <w:sz w:val="24"/>
          <w:szCs w:val="24"/>
        </w:rPr>
        <w:t xml:space="preserve">, with pronounced benefits especially </w:t>
      </w:r>
      <w:r w:rsidR="009C0438">
        <w:rPr>
          <w:rFonts w:ascii="Times New Roman" w:hAnsi="Times New Roman" w:cs="Times New Roman"/>
          <w:noProof/>
          <w:sz w:val="24"/>
          <w:szCs w:val="24"/>
        </w:rPr>
        <w:t>for</w:t>
      </w:r>
      <w:r>
        <w:rPr>
          <w:rFonts w:ascii="Times New Roman" w:hAnsi="Times New Roman" w:cs="Times New Roman"/>
          <w:noProof/>
          <w:sz w:val="24"/>
          <w:szCs w:val="24"/>
        </w:rPr>
        <w:t xml:space="preserve"> start-ups.</w:t>
      </w:r>
    </w:p>
    <w:p w14:paraId="28373A0D" w14:textId="4DF6EF08" w:rsidR="00186B15" w:rsidRPr="0036474B" w:rsidRDefault="48C17E2A" w:rsidP="753E8F22">
      <w:pPr>
        <w:jc w:val="both"/>
        <w:rPr>
          <w:rFonts w:ascii="Times New Roman" w:hAnsi="Times New Roman" w:cs="Times New Roman"/>
          <w:noProof/>
          <w:sz w:val="24"/>
          <w:szCs w:val="24"/>
        </w:rPr>
      </w:pPr>
      <w:r w:rsidRPr="0036474B">
        <w:rPr>
          <w:rFonts w:ascii="Times New Roman" w:hAnsi="Times New Roman" w:cs="Times New Roman"/>
          <w:b/>
          <w:bCs/>
          <w:noProof/>
          <w:sz w:val="24"/>
          <w:szCs w:val="24"/>
        </w:rPr>
        <w:t>The</w:t>
      </w:r>
      <w:r w:rsidR="54B010AA" w:rsidRPr="0036474B">
        <w:rPr>
          <w:rFonts w:ascii="Times New Roman" w:hAnsi="Times New Roman" w:cs="Times New Roman"/>
          <w:b/>
          <w:bCs/>
          <w:noProof/>
          <w:sz w:val="24"/>
          <w:szCs w:val="24"/>
        </w:rPr>
        <w:t xml:space="preserve"> status quo creates hurdles for banks to explore cross</w:t>
      </w:r>
      <w:r w:rsidR="423A649E" w:rsidRPr="0036474B">
        <w:rPr>
          <w:rFonts w:ascii="Times New Roman" w:hAnsi="Times New Roman" w:cs="Times New Roman"/>
          <w:b/>
          <w:bCs/>
          <w:noProof/>
          <w:sz w:val="24"/>
          <w:szCs w:val="24"/>
        </w:rPr>
        <w:t>-</w:t>
      </w:r>
      <w:r w:rsidR="54B010AA" w:rsidRPr="0036474B">
        <w:rPr>
          <w:rFonts w:ascii="Times New Roman" w:hAnsi="Times New Roman" w:cs="Times New Roman"/>
          <w:b/>
          <w:bCs/>
          <w:noProof/>
          <w:sz w:val="24"/>
          <w:szCs w:val="24"/>
        </w:rPr>
        <w:t>border business within the EU</w:t>
      </w:r>
      <w:r w:rsidR="7D87480E" w:rsidRPr="0036474B">
        <w:rPr>
          <w:rFonts w:ascii="Times New Roman" w:hAnsi="Times New Roman" w:cs="Times New Roman"/>
          <w:b/>
          <w:bCs/>
          <w:noProof/>
          <w:sz w:val="24"/>
          <w:szCs w:val="24"/>
        </w:rPr>
        <w:t>, as witnessed by the trends in</w:t>
      </w:r>
      <w:r w:rsidR="68A76B12" w:rsidRPr="0036474B">
        <w:rPr>
          <w:rFonts w:ascii="Times New Roman" w:hAnsi="Times New Roman" w:cs="Times New Roman"/>
          <w:b/>
          <w:bCs/>
          <w:noProof/>
          <w:sz w:val="24"/>
          <w:szCs w:val="24"/>
        </w:rPr>
        <w:t xml:space="preserve"> the concentration </w:t>
      </w:r>
      <w:r w:rsidR="5C61167E" w:rsidRPr="0036474B">
        <w:rPr>
          <w:rFonts w:ascii="Times New Roman" w:hAnsi="Times New Roman" w:cs="Times New Roman"/>
          <w:b/>
          <w:bCs/>
          <w:noProof/>
          <w:sz w:val="24"/>
          <w:szCs w:val="24"/>
        </w:rPr>
        <w:t>metrics and</w:t>
      </w:r>
      <w:r w:rsidR="7D87480E" w:rsidRPr="0036474B">
        <w:rPr>
          <w:rFonts w:ascii="Times New Roman" w:hAnsi="Times New Roman" w:cs="Times New Roman"/>
          <w:b/>
          <w:bCs/>
          <w:noProof/>
          <w:sz w:val="24"/>
          <w:szCs w:val="24"/>
        </w:rPr>
        <w:t xml:space="preserve"> merger</w:t>
      </w:r>
      <w:r w:rsidR="0ACB0CA7" w:rsidRPr="0036474B">
        <w:rPr>
          <w:rFonts w:ascii="Times New Roman" w:hAnsi="Times New Roman" w:cs="Times New Roman"/>
          <w:b/>
          <w:bCs/>
          <w:noProof/>
          <w:sz w:val="24"/>
          <w:szCs w:val="24"/>
        </w:rPr>
        <w:t>s</w:t>
      </w:r>
      <w:r w:rsidR="7D87480E" w:rsidRPr="0036474B">
        <w:rPr>
          <w:rFonts w:ascii="Times New Roman" w:hAnsi="Times New Roman" w:cs="Times New Roman"/>
          <w:b/>
          <w:bCs/>
          <w:noProof/>
          <w:sz w:val="24"/>
          <w:szCs w:val="24"/>
        </w:rPr>
        <w:t xml:space="preserve"> and acquisition</w:t>
      </w:r>
      <w:r w:rsidR="0ACB0CA7" w:rsidRPr="0036474B">
        <w:rPr>
          <w:rFonts w:ascii="Times New Roman" w:hAnsi="Times New Roman" w:cs="Times New Roman"/>
          <w:b/>
          <w:bCs/>
          <w:noProof/>
          <w:sz w:val="24"/>
          <w:szCs w:val="24"/>
        </w:rPr>
        <w:t>s</w:t>
      </w:r>
      <w:r w:rsidR="5C61167E" w:rsidRPr="0036474B">
        <w:rPr>
          <w:rFonts w:ascii="Times New Roman" w:hAnsi="Times New Roman" w:cs="Times New Roman"/>
          <w:b/>
          <w:bCs/>
          <w:noProof/>
          <w:sz w:val="24"/>
          <w:szCs w:val="24"/>
        </w:rPr>
        <w:t xml:space="preserve"> dynamics</w:t>
      </w:r>
      <w:r w:rsidR="0ACB0CA7" w:rsidRPr="0036474B">
        <w:rPr>
          <w:rFonts w:ascii="Times New Roman" w:hAnsi="Times New Roman" w:cs="Times New Roman"/>
          <w:noProof/>
          <w:sz w:val="24"/>
          <w:szCs w:val="24"/>
        </w:rPr>
        <w:t>.</w:t>
      </w:r>
      <w:r w:rsidR="7D87480E" w:rsidRPr="0036474B">
        <w:rPr>
          <w:rFonts w:ascii="Times New Roman" w:hAnsi="Times New Roman" w:cs="Times New Roman"/>
          <w:noProof/>
          <w:sz w:val="24"/>
          <w:szCs w:val="24"/>
        </w:rPr>
        <w:t xml:space="preserve"> </w:t>
      </w:r>
      <w:r w:rsidR="680AF5A0" w:rsidRPr="0036474B">
        <w:rPr>
          <w:rFonts w:ascii="Times New Roman" w:hAnsi="Times New Roman" w:cs="Times New Roman"/>
          <w:noProof/>
          <w:sz w:val="24"/>
          <w:szCs w:val="24"/>
        </w:rPr>
        <w:t>As AFME reports</w:t>
      </w:r>
      <w:r w:rsidR="00D20A3F" w:rsidRPr="0036474B">
        <w:rPr>
          <w:rStyle w:val="FootnoteReference"/>
          <w:rFonts w:ascii="Times New Roman" w:hAnsi="Times New Roman" w:cs="Times New Roman"/>
          <w:noProof/>
          <w:sz w:val="24"/>
          <w:szCs w:val="24"/>
        </w:rPr>
        <w:footnoteReference w:id="52"/>
      </w:r>
      <w:r w:rsidR="680AF5A0" w:rsidRPr="0036474B">
        <w:rPr>
          <w:rFonts w:ascii="Times New Roman" w:hAnsi="Times New Roman" w:cs="Times New Roman"/>
          <w:noProof/>
          <w:sz w:val="24"/>
          <w:szCs w:val="24"/>
        </w:rPr>
        <w:t>, M&amp;A activity has declined compared to the first decade of the 2000s, dropping from over 100 operations to about 20. In addition, most M&amp;A occurs within Member States.</w:t>
      </w:r>
      <w:r w:rsidR="7D87480E" w:rsidRPr="0036474B">
        <w:rPr>
          <w:rFonts w:ascii="Times New Roman" w:hAnsi="Times New Roman" w:cs="Times New Roman"/>
          <w:noProof/>
          <w:sz w:val="24"/>
          <w:szCs w:val="24"/>
        </w:rPr>
        <w:t xml:space="preserve"> </w:t>
      </w:r>
      <w:r w:rsidR="5C61167E" w:rsidRPr="0036474B">
        <w:rPr>
          <w:rFonts w:ascii="Times New Roman" w:hAnsi="Times New Roman" w:cs="Times New Roman"/>
          <w:noProof/>
          <w:sz w:val="24"/>
          <w:szCs w:val="24"/>
        </w:rPr>
        <w:t>The</w:t>
      </w:r>
      <w:r w:rsidR="0C2DF169" w:rsidRPr="0036474B">
        <w:rPr>
          <w:rFonts w:ascii="Times New Roman" w:hAnsi="Times New Roman" w:cs="Times New Roman"/>
          <w:noProof/>
          <w:sz w:val="24"/>
          <w:szCs w:val="24"/>
        </w:rPr>
        <w:t xml:space="preserve"> decrease of M&amp;A activity tells a twofold story: </w:t>
      </w:r>
      <w:r w:rsidR="6040A86C" w:rsidRPr="0036474B">
        <w:rPr>
          <w:rFonts w:ascii="Times New Roman" w:hAnsi="Times New Roman" w:cs="Times New Roman"/>
          <w:noProof/>
          <w:sz w:val="24"/>
          <w:szCs w:val="24"/>
        </w:rPr>
        <w:t>first</w:t>
      </w:r>
      <w:r w:rsidR="0C2DF169" w:rsidRPr="0036474B">
        <w:rPr>
          <w:rFonts w:ascii="Times New Roman" w:hAnsi="Times New Roman" w:cs="Times New Roman"/>
          <w:noProof/>
          <w:sz w:val="24"/>
          <w:szCs w:val="24"/>
        </w:rPr>
        <w:t xml:space="preserve">, </w:t>
      </w:r>
      <w:r w:rsidR="6040A86C" w:rsidRPr="0036474B">
        <w:rPr>
          <w:rFonts w:ascii="Times New Roman" w:hAnsi="Times New Roman" w:cs="Times New Roman"/>
          <w:noProof/>
          <w:sz w:val="24"/>
          <w:szCs w:val="24"/>
        </w:rPr>
        <w:t>the EU banking sector becomes less attractive for investors; second</w:t>
      </w:r>
      <w:r w:rsidR="5F1C8FDB" w:rsidRPr="0036474B">
        <w:rPr>
          <w:rFonts w:ascii="Times New Roman" w:hAnsi="Times New Roman" w:cs="Times New Roman"/>
          <w:noProof/>
          <w:sz w:val="24"/>
          <w:szCs w:val="24"/>
        </w:rPr>
        <w:t>, cross border M&amp;A activity becomes less attractive</w:t>
      </w:r>
      <w:r w:rsidR="461AD517" w:rsidRPr="0036474B">
        <w:rPr>
          <w:rFonts w:ascii="Times New Roman" w:hAnsi="Times New Roman" w:cs="Times New Roman"/>
          <w:noProof/>
          <w:sz w:val="24"/>
          <w:szCs w:val="24"/>
        </w:rPr>
        <w:t xml:space="preserve"> – and this is visible in the decrease of cross border M&amp;A activity</w:t>
      </w:r>
      <w:r w:rsidR="406A3E72" w:rsidRPr="0036474B">
        <w:rPr>
          <w:rFonts w:ascii="Times New Roman" w:hAnsi="Times New Roman" w:cs="Times New Roman"/>
          <w:noProof/>
          <w:sz w:val="24"/>
          <w:szCs w:val="24"/>
        </w:rPr>
        <w:t>.</w:t>
      </w:r>
      <w:r w:rsidR="461AD517" w:rsidRPr="0036474B">
        <w:rPr>
          <w:rFonts w:ascii="Times New Roman" w:hAnsi="Times New Roman" w:cs="Times New Roman"/>
          <w:noProof/>
          <w:sz w:val="24"/>
          <w:szCs w:val="24"/>
        </w:rPr>
        <w:t xml:space="preserve"> </w:t>
      </w:r>
      <w:r w:rsidR="59B81C42" w:rsidRPr="0036474B">
        <w:rPr>
          <w:rFonts w:ascii="Times New Roman" w:hAnsi="Times New Roman" w:cs="Times New Roman"/>
          <w:noProof/>
          <w:sz w:val="24"/>
          <w:szCs w:val="24"/>
        </w:rPr>
        <w:t xml:space="preserve">In sum, </w:t>
      </w:r>
      <w:r w:rsidR="008A7C65" w:rsidRPr="0036474B">
        <w:rPr>
          <w:rFonts w:ascii="Times New Roman" w:hAnsi="Times New Roman" w:cs="Times New Roman"/>
          <w:noProof/>
          <w:sz w:val="24"/>
          <w:szCs w:val="24"/>
        </w:rPr>
        <w:t>e</w:t>
      </w:r>
      <w:r w:rsidR="59B81C42" w:rsidRPr="0036474B">
        <w:rPr>
          <w:rFonts w:ascii="Times New Roman" w:hAnsi="Times New Roman" w:cs="Times New Roman"/>
          <w:noProof/>
          <w:sz w:val="24"/>
          <w:szCs w:val="24"/>
        </w:rPr>
        <w:t>uro area banking sector</w:t>
      </w:r>
      <w:r w:rsidR="15836EE2" w:rsidRPr="0036474B">
        <w:rPr>
          <w:rFonts w:ascii="Times New Roman" w:hAnsi="Times New Roman" w:cs="Times New Roman"/>
          <w:noProof/>
          <w:sz w:val="24"/>
          <w:szCs w:val="24"/>
        </w:rPr>
        <w:t xml:space="preserve"> </w:t>
      </w:r>
      <w:r w:rsidR="3B28C6A3" w:rsidRPr="0036474B">
        <w:rPr>
          <w:rFonts w:ascii="Times New Roman" w:hAnsi="Times New Roman" w:cs="Times New Roman"/>
          <w:noProof/>
          <w:sz w:val="24"/>
          <w:szCs w:val="24"/>
        </w:rPr>
        <w:t>consolidat</w:t>
      </w:r>
      <w:r w:rsidR="59B81C42" w:rsidRPr="0036474B">
        <w:rPr>
          <w:rFonts w:ascii="Times New Roman" w:hAnsi="Times New Roman" w:cs="Times New Roman"/>
          <w:noProof/>
          <w:sz w:val="24"/>
          <w:szCs w:val="24"/>
        </w:rPr>
        <w:t>ed at</w:t>
      </w:r>
      <w:r w:rsidR="3B28C6A3" w:rsidRPr="0036474B">
        <w:rPr>
          <w:rFonts w:ascii="Times New Roman" w:hAnsi="Times New Roman" w:cs="Times New Roman"/>
          <w:noProof/>
          <w:sz w:val="24"/>
          <w:szCs w:val="24"/>
        </w:rPr>
        <w:t xml:space="preserve"> national </w:t>
      </w:r>
      <w:r w:rsidR="1606DCBE" w:rsidRPr="0036474B">
        <w:rPr>
          <w:rFonts w:ascii="Times New Roman" w:hAnsi="Times New Roman" w:cs="Times New Roman"/>
          <w:noProof/>
          <w:sz w:val="24"/>
          <w:szCs w:val="24"/>
        </w:rPr>
        <w:t>level but not at EU or euro area level, not allowing banks to</w:t>
      </w:r>
      <w:r w:rsidR="09767D42" w:rsidRPr="0036474B">
        <w:rPr>
          <w:rFonts w:ascii="Times New Roman" w:hAnsi="Times New Roman" w:cs="Times New Roman"/>
          <w:noProof/>
          <w:sz w:val="24"/>
          <w:szCs w:val="24"/>
        </w:rPr>
        <w:t xml:space="preserve"> attain the benefits of </w:t>
      </w:r>
      <w:r w:rsidR="3CF98687" w:rsidRPr="0036474B">
        <w:rPr>
          <w:rFonts w:ascii="Times New Roman" w:hAnsi="Times New Roman" w:cs="Times New Roman"/>
          <w:noProof/>
          <w:sz w:val="24"/>
          <w:szCs w:val="24"/>
        </w:rPr>
        <w:t xml:space="preserve">the single market and </w:t>
      </w:r>
      <w:r w:rsidR="09767D42" w:rsidRPr="0036474B">
        <w:rPr>
          <w:rFonts w:ascii="Times New Roman" w:hAnsi="Times New Roman" w:cs="Times New Roman"/>
          <w:noProof/>
          <w:sz w:val="24"/>
          <w:szCs w:val="24"/>
        </w:rPr>
        <w:t>economies of scale</w:t>
      </w:r>
      <w:r w:rsidR="3CF98687" w:rsidRPr="0036474B">
        <w:rPr>
          <w:rFonts w:ascii="Times New Roman" w:hAnsi="Times New Roman" w:cs="Times New Roman"/>
          <w:noProof/>
          <w:sz w:val="24"/>
          <w:szCs w:val="24"/>
        </w:rPr>
        <w:t xml:space="preserve"> within it</w:t>
      </w:r>
      <w:r w:rsidR="09767D42" w:rsidRPr="0036474B">
        <w:rPr>
          <w:rFonts w:ascii="Times New Roman" w:hAnsi="Times New Roman" w:cs="Times New Roman"/>
          <w:noProof/>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6"/>
        <w:gridCol w:w="3050"/>
      </w:tblGrid>
      <w:tr w:rsidR="00993F91" w:rsidRPr="00064CC0" w14:paraId="693DB988" w14:textId="77777777" w:rsidTr="008C3952">
        <w:tc>
          <w:tcPr>
            <w:tcW w:w="5949" w:type="dxa"/>
          </w:tcPr>
          <w:p w14:paraId="23C44AEF" w14:textId="136012C5" w:rsidR="00993F91" w:rsidRPr="0036474B" w:rsidRDefault="00993F91" w:rsidP="00C57968">
            <w:pPr>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eastAsia="en-GB"/>
              </w:rPr>
              <w:drawing>
                <wp:inline distT="0" distB="0" distL="0" distR="0" wp14:anchorId="67BCDDCA" wp14:editId="7178890E">
                  <wp:extent cx="3656856" cy="2059388"/>
                  <wp:effectExtent l="0" t="0" r="1270" b="0"/>
                  <wp:docPr id="2128360884" name="Picture 1" descr="A graph of a number of ye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163566" name="Picture 1" descr="A graph of a number of years&#10;&#10;AI-generated content may be incorrect."/>
                          <pic:cNvPicPr/>
                        </pic:nvPicPr>
                        <pic:blipFill>
                          <a:blip r:embed="rId39"/>
                          <a:stretch>
                            <a:fillRect/>
                          </a:stretch>
                        </pic:blipFill>
                        <pic:spPr>
                          <a:xfrm>
                            <a:off x="0" y="0"/>
                            <a:ext cx="3681956" cy="2073523"/>
                          </a:xfrm>
                          <a:prstGeom prst="rect">
                            <a:avLst/>
                          </a:prstGeom>
                        </pic:spPr>
                      </pic:pic>
                    </a:graphicData>
                  </a:graphic>
                </wp:inline>
              </w:drawing>
            </w:r>
          </w:p>
        </w:tc>
        <w:tc>
          <w:tcPr>
            <w:tcW w:w="3067" w:type="dxa"/>
          </w:tcPr>
          <w:p w14:paraId="54239F3B" w14:textId="77777777" w:rsidR="008C3952" w:rsidRPr="0036474B" w:rsidRDefault="008C3952" w:rsidP="008C3952">
            <w:pPr>
              <w:rPr>
                <w:rFonts w:ascii="Times New Roman" w:hAnsi="Times New Roman" w:cs="Times New Roman"/>
                <w:i/>
                <w:iCs/>
                <w:noProof/>
                <w:sz w:val="24"/>
                <w:szCs w:val="24"/>
                <w:lang w:val="en-GB"/>
              </w:rPr>
            </w:pPr>
          </w:p>
          <w:p w14:paraId="4946CBB4" w14:textId="62F18648" w:rsidR="00993F91" w:rsidRDefault="00993F91" w:rsidP="008C3952">
            <w:pPr>
              <w:rPr>
                <w:rFonts w:ascii="Times New Roman" w:hAnsi="Times New Roman" w:cs="Times New Roman"/>
                <w:i/>
                <w:iCs/>
                <w:noProof/>
                <w:sz w:val="24"/>
                <w:szCs w:val="24"/>
              </w:rPr>
            </w:pPr>
            <w:r w:rsidRPr="0036474B">
              <w:rPr>
                <w:rFonts w:ascii="Times New Roman" w:hAnsi="Times New Roman" w:cs="Times New Roman"/>
                <w:i/>
                <w:iCs/>
                <w:noProof/>
                <w:sz w:val="24"/>
                <w:szCs w:val="24"/>
                <w:lang w:val="en-GB"/>
              </w:rPr>
              <w:t xml:space="preserve">Figure </w:t>
            </w:r>
            <w:r w:rsidR="00005B05">
              <w:rPr>
                <w:rFonts w:ascii="Times New Roman" w:hAnsi="Times New Roman" w:cs="Times New Roman"/>
                <w:i/>
                <w:iCs/>
                <w:noProof/>
                <w:sz w:val="24"/>
                <w:szCs w:val="24"/>
                <w:lang w:val="en-GB"/>
              </w:rPr>
              <w:t>2</w:t>
            </w:r>
            <w:r w:rsidR="005B63B3">
              <w:rPr>
                <w:rFonts w:ascii="Times New Roman" w:hAnsi="Times New Roman" w:cs="Times New Roman"/>
                <w:i/>
                <w:iCs/>
                <w:noProof/>
                <w:sz w:val="24"/>
                <w:szCs w:val="24"/>
                <w:lang w:val="en-GB"/>
              </w:rPr>
              <w:t>1</w:t>
            </w:r>
            <w:r w:rsidRPr="0036474B">
              <w:rPr>
                <w:rFonts w:ascii="Times New Roman" w:hAnsi="Times New Roman" w:cs="Times New Roman"/>
                <w:i/>
                <w:iCs/>
                <w:noProof/>
                <w:sz w:val="24"/>
                <w:szCs w:val="24"/>
                <w:lang w:val="en-GB"/>
              </w:rPr>
              <w:t xml:space="preserve"> - </w:t>
            </w:r>
            <w:r w:rsidR="002048C9" w:rsidRPr="0036474B">
              <w:rPr>
                <w:rFonts w:ascii="Times New Roman" w:hAnsi="Times New Roman" w:cs="Times New Roman"/>
                <w:i/>
                <w:iCs/>
                <w:noProof/>
                <w:sz w:val="24"/>
                <w:szCs w:val="24"/>
              </w:rPr>
              <w:t>Number of M&amp;A banking deals between BU banks</w:t>
            </w:r>
          </w:p>
          <w:p w14:paraId="0922A8B2" w14:textId="77777777" w:rsidR="00005B05" w:rsidRPr="0036474B" w:rsidRDefault="00005B05" w:rsidP="008C3952">
            <w:pPr>
              <w:rPr>
                <w:rFonts w:ascii="Times New Roman" w:hAnsi="Times New Roman" w:cs="Times New Roman"/>
                <w:i/>
                <w:iCs/>
                <w:noProof/>
                <w:sz w:val="24"/>
                <w:szCs w:val="24"/>
              </w:rPr>
            </w:pPr>
          </w:p>
          <w:p w14:paraId="3C7B822C" w14:textId="3F0124E3" w:rsidR="00D8750C" w:rsidRPr="0036474B" w:rsidRDefault="00D8750C" w:rsidP="008C3952">
            <w:pPr>
              <w:rPr>
                <w:rFonts w:ascii="Times New Roman" w:hAnsi="Times New Roman" w:cs="Times New Roman"/>
                <w:i/>
                <w:iCs/>
                <w:noProof/>
                <w:sz w:val="24"/>
                <w:szCs w:val="24"/>
                <w:lang w:val="en-GB"/>
              </w:rPr>
            </w:pPr>
            <w:r w:rsidRPr="0036474B">
              <w:rPr>
                <w:rFonts w:ascii="Times New Roman" w:hAnsi="Times New Roman" w:cs="Times New Roman"/>
                <w:i/>
                <w:iCs/>
                <w:noProof/>
                <w:sz w:val="24"/>
                <w:szCs w:val="24"/>
              </w:rPr>
              <w:t>Source: AFME</w:t>
            </w:r>
            <w:r w:rsidR="00B072A3" w:rsidRPr="0036474B">
              <w:rPr>
                <w:rFonts w:ascii="Times New Roman" w:hAnsi="Times New Roman" w:cs="Times New Roman"/>
                <w:i/>
                <w:iCs/>
                <w:noProof/>
                <w:sz w:val="24"/>
                <w:szCs w:val="24"/>
              </w:rPr>
              <w:t>, Dealogic</w:t>
            </w:r>
          </w:p>
        </w:tc>
      </w:tr>
      <w:tr w:rsidR="00993F91" w:rsidRPr="00EB5341" w14:paraId="7114C3D4" w14:textId="77777777" w:rsidTr="00EA6B60">
        <w:tc>
          <w:tcPr>
            <w:tcW w:w="5949" w:type="dxa"/>
          </w:tcPr>
          <w:p w14:paraId="000397A9" w14:textId="7F80130C" w:rsidR="00993F91" w:rsidRPr="0036474B" w:rsidRDefault="00993F91" w:rsidP="00C57968">
            <w:pPr>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eastAsia="en-GB"/>
              </w:rPr>
              <w:drawing>
                <wp:inline distT="0" distB="0" distL="0" distR="0" wp14:anchorId="6F67BF66" wp14:editId="7A26989F">
                  <wp:extent cx="2621666" cy="2808212"/>
                  <wp:effectExtent l="0" t="0" r="0" b="0"/>
                  <wp:docPr id="110163438" name="Picture 2"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808744" name="Picture 2" descr="A graph of a number of people&#10;&#10;AI-generated content may be incorrec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660048" cy="2849325"/>
                          </a:xfrm>
                          <a:prstGeom prst="rect">
                            <a:avLst/>
                          </a:prstGeom>
                          <a:noFill/>
                        </pic:spPr>
                      </pic:pic>
                    </a:graphicData>
                  </a:graphic>
                </wp:inline>
              </w:drawing>
            </w:r>
          </w:p>
        </w:tc>
        <w:tc>
          <w:tcPr>
            <w:tcW w:w="3067" w:type="dxa"/>
          </w:tcPr>
          <w:p w14:paraId="56E22B22" w14:textId="77777777" w:rsidR="002B520B" w:rsidRPr="0036474B" w:rsidRDefault="002B520B" w:rsidP="00ED18D5">
            <w:pPr>
              <w:rPr>
                <w:rFonts w:ascii="Times New Roman" w:hAnsi="Times New Roman" w:cs="Times New Roman"/>
                <w:i/>
                <w:iCs/>
                <w:noProof/>
                <w:sz w:val="24"/>
                <w:szCs w:val="24"/>
                <w:lang w:val="en-GB"/>
              </w:rPr>
            </w:pPr>
          </w:p>
          <w:p w14:paraId="1DB9418E" w14:textId="29A8457D" w:rsidR="00ED18D5" w:rsidRPr="0036474B" w:rsidRDefault="00ED18D5" w:rsidP="00ED18D5">
            <w:pPr>
              <w:rPr>
                <w:rFonts w:ascii="Times New Roman" w:hAnsi="Times New Roman" w:cs="Times New Roman"/>
                <w:i/>
                <w:iCs/>
                <w:noProof/>
                <w:sz w:val="24"/>
                <w:szCs w:val="24"/>
                <w:lang w:val="en-GB"/>
              </w:rPr>
            </w:pPr>
            <w:r w:rsidRPr="0036474B">
              <w:rPr>
                <w:rFonts w:ascii="Times New Roman" w:hAnsi="Times New Roman" w:cs="Times New Roman"/>
                <w:i/>
                <w:iCs/>
                <w:noProof/>
                <w:sz w:val="24"/>
                <w:szCs w:val="24"/>
                <w:lang w:val="en-GB"/>
              </w:rPr>
              <w:t xml:space="preserve">Figure </w:t>
            </w:r>
            <w:r w:rsidR="00005B05">
              <w:rPr>
                <w:rFonts w:ascii="Times New Roman" w:hAnsi="Times New Roman" w:cs="Times New Roman"/>
                <w:i/>
                <w:iCs/>
                <w:noProof/>
                <w:sz w:val="24"/>
                <w:szCs w:val="24"/>
                <w:lang w:val="en-GB"/>
              </w:rPr>
              <w:t>2</w:t>
            </w:r>
            <w:r w:rsidR="005B63B3">
              <w:rPr>
                <w:rFonts w:ascii="Times New Roman" w:hAnsi="Times New Roman" w:cs="Times New Roman"/>
                <w:i/>
                <w:iCs/>
                <w:noProof/>
                <w:sz w:val="24"/>
                <w:szCs w:val="24"/>
                <w:lang w:val="en-GB"/>
              </w:rPr>
              <w:t>2</w:t>
            </w:r>
            <w:r w:rsidRPr="0036474B">
              <w:rPr>
                <w:rFonts w:ascii="Times New Roman" w:hAnsi="Times New Roman" w:cs="Times New Roman"/>
                <w:i/>
                <w:iCs/>
                <w:noProof/>
                <w:sz w:val="24"/>
                <w:szCs w:val="24"/>
                <w:lang w:val="en-GB"/>
              </w:rPr>
              <w:t xml:space="preserve"> - Share of the 5 largest credit institutions in total assets per each member state. </w:t>
            </w:r>
            <w:r w:rsidR="00E36132" w:rsidRPr="0036474B">
              <w:rPr>
                <w:rFonts w:ascii="Times New Roman" w:hAnsi="Times New Roman" w:cs="Times New Roman"/>
                <w:i/>
                <w:iCs/>
                <w:noProof/>
                <w:sz w:val="24"/>
                <w:szCs w:val="24"/>
              </w:rPr>
              <w:t>Interquartile ranges in blu</w:t>
            </w:r>
            <w:r w:rsidR="001F3940" w:rsidRPr="0036474B">
              <w:rPr>
                <w:rFonts w:ascii="Times New Roman" w:hAnsi="Times New Roman" w:cs="Times New Roman"/>
                <w:i/>
                <w:iCs/>
                <w:noProof/>
                <w:sz w:val="24"/>
                <w:szCs w:val="24"/>
              </w:rPr>
              <w:t xml:space="preserve">e </w:t>
            </w:r>
            <w:r w:rsidR="00E36132" w:rsidRPr="0036474B">
              <w:rPr>
                <w:rFonts w:ascii="Times New Roman" w:hAnsi="Times New Roman" w:cs="Times New Roman"/>
                <w:i/>
                <w:iCs/>
                <w:noProof/>
                <w:sz w:val="24"/>
                <w:szCs w:val="24"/>
              </w:rPr>
              <w:t>and medians are calculated across average country values. Data for each Member State are available from 1999 or from the year of EU accession</w:t>
            </w:r>
            <w:r w:rsidRPr="0036474B">
              <w:rPr>
                <w:rFonts w:ascii="Times New Roman" w:hAnsi="Times New Roman" w:cs="Times New Roman"/>
                <w:i/>
                <w:iCs/>
                <w:noProof/>
                <w:sz w:val="24"/>
                <w:szCs w:val="24"/>
                <w:lang w:val="en-GB"/>
              </w:rPr>
              <w:t xml:space="preserve">. </w:t>
            </w:r>
          </w:p>
          <w:p w14:paraId="2A64196E" w14:textId="77777777" w:rsidR="00ED18D5" w:rsidRPr="001752EA" w:rsidRDefault="00ED18D5" w:rsidP="00ED18D5">
            <w:pPr>
              <w:rPr>
                <w:rFonts w:ascii="Times New Roman" w:hAnsi="Times New Roman" w:cs="Times New Roman"/>
                <w:i/>
                <w:iCs/>
                <w:noProof/>
                <w:sz w:val="24"/>
                <w:szCs w:val="24"/>
                <w:lang w:val="pt-BR"/>
              </w:rPr>
            </w:pPr>
            <w:r w:rsidRPr="001752EA">
              <w:rPr>
                <w:rFonts w:ascii="Times New Roman" w:hAnsi="Times New Roman" w:cs="Times New Roman"/>
                <w:i/>
                <w:iCs/>
                <w:noProof/>
                <w:sz w:val="24"/>
                <w:szCs w:val="24"/>
                <w:lang w:val="pt-BR"/>
              </w:rPr>
              <w:t xml:space="preserve">(Data 2007-2024) </w:t>
            </w:r>
          </w:p>
          <w:p w14:paraId="29E0A001" w14:textId="77777777" w:rsidR="00005B05" w:rsidRDefault="00005B05" w:rsidP="00ED18D5">
            <w:pPr>
              <w:rPr>
                <w:rFonts w:ascii="Times New Roman" w:hAnsi="Times New Roman" w:cs="Times New Roman"/>
                <w:i/>
                <w:iCs/>
                <w:noProof/>
                <w:sz w:val="24"/>
                <w:szCs w:val="24"/>
                <w:lang w:val="pt-BR"/>
              </w:rPr>
            </w:pPr>
          </w:p>
          <w:p w14:paraId="24DDEE89" w14:textId="130E65CD" w:rsidR="00993F91" w:rsidRPr="001752EA" w:rsidRDefault="00ED18D5" w:rsidP="00ED18D5">
            <w:pPr>
              <w:rPr>
                <w:rFonts w:ascii="Times New Roman" w:hAnsi="Times New Roman" w:cs="Times New Roman"/>
                <w:noProof/>
                <w:sz w:val="24"/>
                <w:szCs w:val="24"/>
                <w:lang w:val="pt-BR"/>
              </w:rPr>
            </w:pPr>
            <w:r w:rsidRPr="001752EA">
              <w:rPr>
                <w:rFonts w:ascii="Times New Roman" w:hAnsi="Times New Roman" w:cs="Times New Roman"/>
                <w:i/>
                <w:iCs/>
                <w:noProof/>
                <w:sz w:val="24"/>
                <w:szCs w:val="24"/>
                <w:lang w:val="pt-BR"/>
              </w:rPr>
              <w:t>Source: ECB Data, FISMA Calculations</w:t>
            </w:r>
          </w:p>
        </w:tc>
      </w:tr>
    </w:tbl>
    <w:p w14:paraId="405E5B82" w14:textId="77777777" w:rsidR="00993F91" w:rsidRPr="001752EA" w:rsidRDefault="00993F91" w:rsidP="00C57968">
      <w:pPr>
        <w:jc w:val="both"/>
        <w:rPr>
          <w:rFonts w:ascii="Times New Roman" w:hAnsi="Times New Roman" w:cs="Times New Roman"/>
          <w:noProof/>
          <w:sz w:val="24"/>
          <w:szCs w:val="24"/>
          <w:lang w:val="pt-BR"/>
        </w:rPr>
      </w:pPr>
    </w:p>
    <w:p w14:paraId="15002456" w14:textId="6FBAA05A" w:rsidR="009E2A4E" w:rsidRPr="0036474B" w:rsidRDefault="009E2A4E" w:rsidP="00B00C18">
      <w:pPr>
        <w:pStyle w:val="ListParagraph"/>
        <w:numPr>
          <w:ilvl w:val="2"/>
          <w:numId w:val="11"/>
        </w:numPr>
        <w:ind w:left="1077"/>
        <w:outlineLvl w:val="2"/>
        <w:rPr>
          <w:rFonts w:ascii="Times New Roman" w:hAnsi="Times New Roman" w:cs="Times New Roman"/>
          <w:b/>
          <w:bCs/>
          <w:noProof/>
          <w:sz w:val="24"/>
          <w:szCs w:val="24"/>
          <w:lang w:val="en-GB"/>
        </w:rPr>
      </w:pPr>
      <w:bookmarkStart w:id="27" w:name="_Toc234341733"/>
      <w:r w:rsidRPr="0036474B">
        <w:rPr>
          <w:rFonts w:ascii="Times New Roman" w:hAnsi="Times New Roman" w:cs="Times New Roman"/>
          <w:b/>
          <w:bCs/>
          <w:noProof/>
          <w:sz w:val="24"/>
          <w:szCs w:val="24"/>
          <w:lang w:val="en-GB"/>
        </w:rPr>
        <w:t xml:space="preserve">Fragmentation </w:t>
      </w:r>
      <w:r w:rsidR="00AA5354">
        <w:rPr>
          <w:rFonts w:ascii="Times New Roman" w:hAnsi="Times New Roman" w:cs="Times New Roman"/>
          <w:b/>
          <w:bCs/>
          <w:noProof/>
          <w:sz w:val="24"/>
          <w:szCs w:val="24"/>
          <w:lang w:val="en-GB"/>
        </w:rPr>
        <w:t>and</w:t>
      </w:r>
      <w:r w:rsidRPr="0036474B">
        <w:rPr>
          <w:rFonts w:ascii="Times New Roman" w:hAnsi="Times New Roman" w:cs="Times New Roman"/>
          <w:b/>
          <w:bCs/>
          <w:noProof/>
          <w:sz w:val="24"/>
          <w:szCs w:val="24"/>
          <w:lang w:val="en-GB"/>
        </w:rPr>
        <w:t xml:space="preserve"> chronic lack of scale</w:t>
      </w:r>
      <w:bookmarkEnd w:id="27"/>
    </w:p>
    <w:p w14:paraId="2DA8D197" w14:textId="110A536F" w:rsidR="00BE36B3" w:rsidRPr="0036474B" w:rsidRDefault="002A0A62" w:rsidP="00C57968">
      <w:pPr>
        <w:jc w:val="both"/>
        <w:rPr>
          <w:rFonts w:ascii="Times New Roman" w:hAnsi="Times New Roman" w:cs="Times New Roman"/>
          <w:noProof/>
          <w:sz w:val="24"/>
          <w:szCs w:val="24"/>
        </w:rPr>
      </w:pPr>
      <w:r w:rsidRPr="0036474B">
        <w:rPr>
          <w:rFonts w:ascii="Times New Roman" w:hAnsi="Times New Roman" w:cs="Times New Roman"/>
          <w:b/>
          <w:bCs/>
          <w:noProof/>
          <w:sz w:val="24"/>
          <w:szCs w:val="24"/>
        </w:rPr>
        <w:t>Large banks in general benefit from economies of scale, lower average costs, greater diversification, and enhanced capacity to invest in technology and risk management that allow them to operate more efficiently and extend credit at finer margins</w:t>
      </w:r>
      <w:r w:rsidRPr="0036474B">
        <w:rPr>
          <w:rFonts w:ascii="Times New Roman" w:hAnsi="Times New Roman" w:cs="Times New Roman"/>
          <w:noProof/>
          <w:sz w:val="24"/>
          <w:szCs w:val="24"/>
        </w:rPr>
        <w:t xml:space="preserve">. Using data across EU countries, the ECB constructed a composite indicator of banking sector overcapacity encompassing sector size, competition, and efficiency and tracking its evolution from the </w:t>
      </w:r>
      <w:r w:rsidR="00F81C33" w:rsidRPr="0036474B">
        <w:rPr>
          <w:rFonts w:ascii="Times New Roman" w:hAnsi="Times New Roman" w:cs="Times New Roman"/>
          <w:noProof/>
          <w:sz w:val="24"/>
          <w:szCs w:val="24"/>
        </w:rPr>
        <w:t>GFC</w:t>
      </w:r>
      <w:r w:rsidRPr="0036474B">
        <w:rPr>
          <w:rFonts w:ascii="Times New Roman" w:hAnsi="Times New Roman" w:cs="Times New Roman"/>
          <w:noProof/>
          <w:sz w:val="24"/>
          <w:szCs w:val="24"/>
        </w:rPr>
        <w:t xml:space="preserve">. The findings show that overcapacities have generally declined since 2008, driven by deleveraging, rationalisation of branch networks, and technological substitution. However, significant cross-country heterogeneity persists, with some markets having been slower </w:t>
      </w:r>
      <w:r w:rsidR="00570E6F">
        <w:rPr>
          <w:rFonts w:ascii="Times New Roman" w:hAnsi="Times New Roman" w:cs="Times New Roman"/>
          <w:noProof/>
          <w:sz w:val="24"/>
          <w:szCs w:val="24"/>
        </w:rPr>
        <w:t>at</w:t>
      </w:r>
      <w:r w:rsidRPr="0036474B">
        <w:rPr>
          <w:rFonts w:ascii="Times New Roman" w:hAnsi="Times New Roman" w:cs="Times New Roman"/>
          <w:noProof/>
          <w:sz w:val="24"/>
          <w:szCs w:val="24"/>
        </w:rPr>
        <w:t xml:space="preserve"> consolidat</w:t>
      </w:r>
      <w:r w:rsidR="00FC28EE">
        <w:rPr>
          <w:rFonts w:ascii="Times New Roman" w:hAnsi="Times New Roman" w:cs="Times New Roman"/>
          <w:noProof/>
          <w:sz w:val="24"/>
          <w:szCs w:val="24"/>
        </w:rPr>
        <w:t>ing</w:t>
      </w:r>
      <w:r w:rsidRPr="0036474B">
        <w:rPr>
          <w:rFonts w:ascii="Times New Roman" w:hAnsi="Times New Roman" w:cs="Times New Roman"/>
          <w:noProof/>
          <w:sz w:val="24"/>
          <w:szCs w:val="24"/>
        </w:rPr>
        <w:t>.</w:t>
      </w:r>
      <w:r w:rsidR="000410A5">
        <w:rPr>
          <w:rFonts w:ascii="Times New Roman" w:hAnsi="Times New Roman" w:cs="Times New Roman"/>
          <w:noProof/>
          <w:sz w:val="24"/>
          <w:szCs w:val="24"/>
        </w:rPr>
        <w:t xml:space="preserve"> </w:t>
      </w:r>
      <w:r w:rsidR="008A158F">
        <w:rPr>
          <w:rFonts w:ascii="Times New Roman" w:hAnsi="Times New Roman" w:cs="Times New Roman"/>
          <w:noProof/>
          <w:sz w:val="24"/>
          <w:szCs w:val="24"/>
        </w:rPr>
        <w:t xml:space="preserve">As </w:t>
      </w:r>
      <w:r w:rsidR="00274BA7">
        <w:rPr>
          <w:rFonts w:ascii="Times New Roman" w:hAnsi="Times New Roman" w:cs="Times New Roman"/>
          <w:noProof/>
          <w:sz w:val="24"/>
          <w:szCs w:val="24"/>
        </w:rPr>
        <w:t>shown in</w:t>
      </w:r>
      <w:r w:rsidR="00345136">
        <w:rPr>
          <w:rFonts w:ascii="Times New Roman" w:hAnsi="Times New Roman" w:cs="Times New Roman"/>
          <w:noProof/>
          <w:sz w:val="24"/>
          <w:szCs w:val="24"/>
        </w:rPr>
        <w:t xml:space="preserve"> Figure </w:t>
      </w:r>
      <w:r w:rsidR="001A6DC8">
        <w:rPr>
          <w:rFonts w:ascii="Times New Roman" w:hAnsi="Times New Roman" w:cs="Times New Roman"/>
          <w:noProof/>
          <w:sz w:val="24"/>
          <w:szCs w:val="24"/>
        </w:rPr>
        <w:t>2</w:t>
      </w:r>
      <w:r w:rsidR="005B63B3">
        <w:rPr>
          <w:rFonts w:ascii="Times New Roman" w:hAnsi="Times New Roman" w:cs="Times New Roman"/>
          <w:noProof/>
          <w:sz w:val="24"/>
          <w:szCs w:val="24"/>
        </w:rPr>
        <w:t>2</w:t>
      </w:r>
      <w:r w:rsidR="00DB0405">
        <w:rPr>
          <w:rFonts w:ascii="Times New Roman" w:hAnsi="Times New Roman" w:cs="Times New Roman"/>
          <w:noProof/>
          <w:sz w:val="24"/>
          <w:szCs w:val="24"/>
        </w:rPr>
        <w:t>, EU bank</w:t>
      </w:r>
      <w:r w:rsidR="00220E75">
        <w:rPr>
          <w:rFonts w:ascii="Times New Roman" w:hAnsi="Times New Roman" w:cs="Times New Roman"/>
          <w:noProof/>
          <w:sz w:val="24"/>
          <w:szCs w:val="24"/>
        </w:rPr>
        <w:t>s</w:t>
      </w:r>
      <w:r w:rsidR="00DB0405">
        <w:rPr>
          <w:rFonts w:ascii="Times New Roman" w:hAnsi="Times New Roman" w:cs="Times New Roman"/>
          <w:noProof/>
          <w:sz w:val="24"/>
          <w:szCs w:val="24"/>
        </w:rPr>
        <w:t xml:space="preserve"> have </w:t>
      </w:r>
      <w:r w:rsidR="00786DD6">
        <w:rPr>
          <w:rFonts w:ascii="Times New Roman" w:hAnsi="Times New Roman" w:cs="Times New Roman"/>
          <w:noProof/>
          <w:sz w:val="24"/>
          <w:szCs w:val="24"/>
        </w:rPr>
        <w:t xml:space="preserve">undergone in the past </w:t>
      </w:r>
      <w:r w:rsidR="00031760">
        <w:rPr>
          <w:rFonts w:ascii="Times New Roman" w:hAnsi="Times New Roman" w:cs="Times New Roman"/>
          <w:noProof/>
          <w:sz w:val="24"/>
          <w:szCs w:val="24"/>
        </w:rPr>
        <w:t>years</w:t>
      </w:r>
      <w:r w:rsidR="00DB0405">
        <w:rPr>
          <w:rFonts w:ascii="Times New Roman" w:hAnsi="Times New Roman" w:cs="Times New Roman"/>
          <w:noProof/>
          <w:sz w:val="24"/>
          <w:szCs w:val="24"/>
        </w:rPr>
        <w:t xml:space="preserve"> a consolidation within </w:t>
      </w:r>
      <w:r w:rsidR="009921CB">
        <w:rPr>
          <w:rFonts w:ascii="Times New Roman" w:hAnsi="Times New Roman" w:cs="Times New Roman"/>
          <w:noProof/>
          <w:sz w:val="24"/>
          <w:szCs w:val="24"/>
        </w:rPr>
        <w:t>Member States borders</w:t>
      </w:r>
      <w:r w:rsidR="008E02AF">
        <w:rPr>
          <w:rFonts w:ascii="Times New Roman" w:hAnsi="Times New Roman" w:cs="Times New Roman"/>
          <w:noProof/>
          <w:sz w:val="24"/>
          <w:szCs w:val="24"/>
        </w:rPr>
        <w:t xml:space="preserve">. Such dynamic </w:t>
      </w:r>
      <w:r w:rsidR="00996E9E">
        <w:rPr>
          <w:rFonts w:ascii="Times New Roman" w:hAnsi="Times New Roman" w:cs="Times New Roman"/>
          <w:noProof/>
          <w:sz w:val="24"/>
          <w:szCs w:val="24"/>
        </w:rPr>
        <w:t>had the effect of increasing concentration within each MS</w:t>
      </w:r>
      <w:r w:rsidR="00585D5F">
        <w:rPr>
          <w:rFonts w:ascii="Times New Roman" w:hAnsi="Times New Roman" w:cs="Times New Roman"/>
          <w:noProof/>
          <w:sz w:val="24"/>
          <w:szCs w:val="24"/>
        </w:rPr>
        <w:t xml:space="preserve">, but </w:t>
      </w:r>
      <w:r w:rsidR="00DC5D95">
        <w:rPr>
          <w:rFonts w:ascii="Times New Roman" w:hAnsi="Times New Roman" w:cs="Times New Roman"/>
          <w:noProof/>
          <w:sz w:val="24"/>
          <w:szCs w:val="24"/>
        </w:rPr>
        <w:t xml:space="preserve">failed to grant a </w:t>
      </w:r>
      <w:r w:rsidR="009921CB">
        <w:rPr>
          <w:rFonts w:ascii="Times New Roman" w:hAnsi="Times New Roman" w:cs="Times New Roman"/>
          <w:noProof/>
          <w:sz w:val="24"/>
          <w:szCs w:val="24"/>
        </w:rPr>
        <w:t xml:space="preserve">single EU </w:t>
      </w:r>
      <w:r w:rsidR="00DC5D95">
        <w:rPr>
          <w:rFonts w:ascii="Times New Roman" w:hAnsi="Times New Roman" w:cs="Times New Roman"/>
          <w:noProof/>
          <w:sz w:val="24"/>
          <w:szCs w:val="24"/>
        </w:rPr>
        <w:t xml:space="preserve">bank sufficient size to </w:t>
      </w:r>
      <w:r w:rsidR="009235BE">
        <w:rPr>
          <w:rFonts w:ascii="Times New Roman" w:hAnsi="Times New Roman" w:cs="Times New Roman"/>
          <w:noProof/>
          <w:sz w:val="24"/>
          <w:szCs w:val="24"/>
        </w:rPr>
        <w:t>reap economies of scale within the Single Market.</w:t>
      </w:r>
      <w:r w:rsidR="0061072B">
        <w:rPr>
          <w:rFonts w:ascii="Times New Roman" w:hAnsi="Times New Roman" w:cs="Times New Roman"/>
          <w:noProof/>
          <w:sz w:val="24"/>
          <w:szCs w:val="24"/>
        </w:rPr>
        <w:t xml:space="preserve"> Looking at the </w:t>
      </w:r>
      <w:r w:rsidR="006832F4">
        <w:rPr>
          <w:rFonts w:ascii="Times New Roman" w:hAnsi="Times New Roman" w:cs="Times New Roman"/>
          <w:noProof/>
          <w:sz w:val="24"/>
          <w:szCs w:val="24"/>
        </w:rPr>
        <w:t>five</w:t>
      </w:r>
      <w:r w:rsidR="0061072B">
        <w:rPr>
          <w:rFonts w:ascii="Times New Roman" w:hAnsi="Times New Roman" w:cs="Times New Roman"/>
          <w:noProof/>
          <w:sz w:val="24"/>
          <w:szCs w:val="24"/>
        </w:rPr>
        <w:t xml:space="preserve"> largest EU </w:t>
      </w:r>
      <w:r w:rsidR="009921CB">
        <w:rPr>
          <w:rFonts w:ascii="Times New Roman" w:hAnsi="Times New Roman" w:cs="Times New Roman"/>
          <w:noProof/>
          <w:sz w:val="24"/>
          <w:szCs w:val="24"/>
        </w:rPr>
        <w:t>banks</w:t>
      </w:r>
      <w:r w:rsidR="0061072B">
        <w:rPr>
          <w:rFonts w:ascii="Times New Roman" w:hAnsi="Times New Roman" w:cs="Times New Roman"/>
          <w:noProof/>
          <w:sz w:val="24"/>
          <w:szCs w:val="24"/>
        </w:rPr>
        <w:t xml:space="preserve">, and comparing </w:t>
      </w:r>
      <w:r w:rsidR="006832F4">
        <w:rPr>
          <w:rFonts w:ascii="Times New Roman" w:hAnsi="Times New Roman" w:cs="Times New Roman"/>
          <w:noProof/>
          <w:sz w:val="24"/>
          <w:szCs w:val="24"/>
        </w:rPr>
        <w:t>with the five</w:t>
      </w:r>
      <w:r w:rsidR="0061072B">
        <w:rPr>
          <w:rFonts w:ascii="Times New Roman" w:hAnsi="Times New Roman" w:cs="Times New Roman"/>
          <w:noProof/>
          <w:sz w:val="24"/>
          <w:szCs w:val="24"/>
        </w:rPr>
        <w:t xml:space="preserve"> largest US banks, one can observe that the </w:t>
      </w:r>
      <w:r w:rsidR="0045503C">
        <w:rPr>
          <w:rFonts w:ascii="Times New Roman" w:hAnsi="Times New Roman" w:cs="Times New Roman"/>
          <w:noProof/>
          <w:sz w:val="24"/>
          <w:szCs w:val="24"/>
        </w:rPr>
        <w:t xml:space="preserve">cumulative </w:t>
      </w:r>
      <w:r w:rsidR="002E1623">
        <w:rPr>
          <w:rFonts w:ascii="Times New Roman" w:hAnsi="Times New Roman" w:cs="Times New Roman"/>
          <w:noProof/>
          <w:sz w:val="24"/>
          <w:szCs w:val="24"/>
        </w:rPr>
        <w:t xml:space="preserve">market share </w:t>
      </w:r>
      <w:r w:rsidR="00647ABE">
        <w:rPr>
          <w:rFonts w:ascii="Times New Roman" w:hAnsi="Times New Roman" w:cs="Times New Roman"/>
          <w:noProof/>
          <w:sz w:val="24"/>
          <w:szCs w:val="24"/>
        </w:rPr>
        <w:t xml:space="preserve">of the former </w:t>
      </w:r>
      <w:r w:rsidR="00B4210F">
        <w:rPr>
          <w:rFonts w:ascii="Times New Roman" w:hAnsi="Times New Roman" w:cs="Times New Roman"/>
          <w:noProof/>
          <w:sz w:val="24"/>
          <w:szCs w:val="24"/>
        </w:rPr>
        <w:t xml:space="preserve">group </w:t>
      </w:r>
      <w:r w:rsidR="0021300D">
        <w:rPr>
          <w:rFonts w:ascii="Times New Roman" w:hAnsi="Times New Roman" w:cs="Times New Roman"/>
          <w:noProof/>
          <w:sz w:val="24"/>
          <w:szCs w:val="24"/>
        </w:rPr>
        <w:t>is</w:t>
      </w:r>
      <w:r w:rsidR="00647ABE">
        <w:rPr>
          <w:rFonts w:ascii="Times New Roman" w:hAnsi="Times New Roman" w:cs="Times New Roman"/>
          <w:noProof/>
          <w:sz w:val="24"/>
          <w:szCs w:val="24"/>
        </w:rPr>
        <w:t xml:space="preserve"> 31%, while </w:t>
      </w:r>
      <w:r w:rsidR="0021300D">
        <w:rPr>
          <w:rFonts w:ascii="Times New Roman" w:hAnsi="Times New Roman" w:cs="Times New Roman"/>
          <w:noProof/>
          <w:sz w:val="24"/>
          <w:szCs w:val="24"/>
        </w:rPr>
        <w:t xml:space="preserve">that of </w:t>
      </w:r>
      <w:r w:rsidR="00647ABE">
        <w:rPr>
          <w:rFonts w:ascii="Times New Roman" w:hAnsi="Times New Roman" w:cs="Times New Roman"/>
          <w:noProof/>
          <w:sz w:val="24"/>
          <w:szCs w:val="24"/>
        </w:rPr>
        <w:t xml:space="preserve">the latter </w:t>
      </w:r>
      <w:r w:rsidR="001258FE">
        <w:rPr>
          <w:rFonts w:ascii="Times New Roman" w:hAnsi="Times New Roman" w:cs="Times New Roman"/>
          <w:noProof/>
          <w:sz w:val="24"/>
          <w:szCs w:val="24"/>
        </w:rPr>
        <w:t>stands at 45%</w:t>
      </w:r>
      <w:r w:rsidR="00EB4439">
        <w:rPr>
          <w:rFonts w:ascii="Times New Roman" w:hAnsi="Times New Roman" w:cs="Times New Roman"/>
          <w:noProof/>
          <w:sz w:val="24"/>
          <w:szCs w:val="24"/>
        </w:rPr>
        <w:t>.</w:t>
      </w:r>
      <w:r w:rsidR="000457EA">
        <w:rPr>
          <w:rFonts w:ascii="Times New Roman" w:hAnsi="Times New Roman" w:cs="Times New Roman"/>
          <w:noProof/>
          <w:sz w:val="24"/>
          <w:szCs w:val="24"/>
        </w:rPr>
        <w:t xml:space="preserve"> Anecdotally, the difference </w:t>
      </w:r>
      <w:r w:rsidR="002E1623">
        <w:rPr>
          <w:rFonts w:ascii="Times New Roman" w:hAnsi="Times New Roman" w:cs="Times New Roman"/>
          <w:noProof/>
          <w:sz w:val="24"/>
          <w:szCs w:val="24"/>
        </w:rPr>
        <w:t xml:space="preserve">is </w:t>
      </w:r>
      <w:r w:rsidR="000457EA">
        <w:rPr>
          <w:rFonts w:ascii="Times New Roman" w:hAnsi="Times New Roman" w:cs="Times New Roman"/>
          <w:noProof/>
          <w:sz w:val="24"/>
          <w:szCs w:val="24"/>
        </w:rPr>
        <w:t xml:space="preserve">stark </w:t>
      </w:r>
      <w:r w:rsidR="00462435">
        <w:rPr>
          <w:rFonts w:ascii="Times New Roman" w:hAnsi="Times New Roman" w:cs="Times New Roman"/>
          <w:noProof/>
          <w:sz w:val="24"/>
          <w:szCs w:val="24"/>
        </w:rPr>
        <w:t xml:space="preserve">when </w:t>
      </w:r>
      <w:r w:rsidR="000457EA">
        <w:rPr>
          <w:rFonts w:ascii="Times New Roman" w:hAnsi="Times New Roman" w:cs="Times New Roman"/>
          <w:noProof/>
          <w:sz w:val="24"/>
          <w:szCs w:val="24"/>
        </w:rPr>
        <w:t xml:space="preserve">looking at the </w:t>
      </w:r>
      <w:r w:rsidR="0045146C">
        <w:rPr>
          <w:rFonts w:ascii="Times New Roman" w:hAnsi="Times New Roman" w:cs="Times New Roman"/>
          <w:noProof/>
          <w:sz w:val="24"/>
          <w:szCs w:val="24"/>
        </w:rPr>
        <w:t>largest bank</w:t>
      </w:r>
      <w:r w:rsidR="002E1623">
        <w:rPr>
          <w:rFonts w:ascii="Times New Roman" w:hAnsi="Times New Roman" w:cs="Times New Roman"/>
          <w:noProof/>
          <w:sz w:val="24"/>
          <w:szCs w:val="24"/>
        </w:rPr>
        <w:t xml:space="preserve"> </w:t>
      </w:r>
      <w:r w:rsidR="00462435">
        <w:rPr>
          <w:rFonts w:ascii="Times New Roman" w:hAnsi="Times New Roman" w:cs="Times New Roman"/>
          <w:noProof/>
          <w:sz w:val="24"/>
          <w:szCs w:val="24"/>
        </w:rPr>
        <w:t>in</w:t>
      </w:r>
      <w:r w:rsidR="000410A5">
        <w:rPr>
          <w:rFonts w:ascii="Times New Roman" w:hAnsi="Times New Roman" w:cs="Times New Roman"/>
          <w:noProof/>
          <w:sz w:val="24"/>
          <w:szCs w:val="24"/>
        </w:rPr>
        <w:t xml:space="preserve"> </w:t>
      </w:r>
      <w:r w:rsidR="0045146C">
        <w:rPr>
          <w:rFonts w:ascii="Times New Roman" w:hAnsi="Times New Roman" w:cs="Times New Roman"/>
          <w:noProof/>
          <w:sz w:val="24"/>
          <w:szCs w:val="24"/>
        </w:rPr>
        <w:t xml:space="preserve">each jurisdiction: </w:t>
      </w:r>
      <w:r w:rsidR="00436C30">
        <w:rPr>
          <w:rFonts w:ascii="Times New Roman" w:hAnsi="Times New Roman" w:cs="Times New Roman"/>
          <w:noProof/>
          <w:sz w:val="24"/>
          <w:szCs w:val="24"/>
        </w:rPr>
        <w:t>in the</w:t>
      </w:r>
      <w:r w:rsidR="0045146C">
        <w:rPr>
          <w:rFonts w:ascii="Times New Roman" w:hAnsi="Times New Roman" w:cs="Times New Roman"/>
          <w:noProof/>
          <w:sz w:val="24"/>
          <w:szCs w:val="24"/>
        </w:rPr>
        <w:t xml:space="preserve"> EU</w:t>
      </w:r>
      <w:r w:rsidR="00436C30">
        <w:rPr>
          <w:rFonts w:ascii="Times New Roman" w:hAnsi="Times New Roman" w:cs="Times New Roman"/>
          <w:noProof/>
          <w:sz w:val="24"/>
          <w:szCs w:val="24"/>
        </w:rPr>
        <w:t xml:space="preserve">, the market share of the largest bank is </w:t>
      </w:r>
      <w:r w:rsidR="0045146C">
        <w:rPr>
          <w:rFonts w:ascii="Times New Roman" w:hAnsi="Times New Roman" w:cs="Times New Roman"/>
          <w:noProof/>
          <w:sz w:val="24"/>
          <w:szCs w:val="24"/>
        </w:rPr>
        <w:t xml:space="preserve">8%, </w:t>
      </w:r>
      <w:r w:rsidR="00436C30">
        <w:rPr>
          <w:rFonts w:ascii="Times New Roman" w:hAnsi="Times New Roman" w:cs="Times New Roman"/>
          <w:noProof/>
          <w:sz w:val="24"/>
          <w:szCs w:val="24"/>
        </w:rPr>
        <w:t>while in the US, the market share of the largest bank is</w:t>
      </w:r>
      <w:r w:rsidR="0045146C">
        <w:rPr>
          <w:rFonts w:ascii="Times New Roman" w:hAnsi="Times New Roman" w:cs="Times New Roman"/>
          <w:noProof/>
          <w:sz w:val="24"/>
          <w:szCs w:val="24"/>
        </w:rPr>
        <w:t xml:space="preserve"> twice as much.</w:t>
      </w:r>
      <w:r w:rsidR="000410A5">
        <w:rPr>
          <w:rFonts w:ascii="Times New Roman" w:hAnsi="Times New Roman" w:cs="Times New Roman"/>
          <w:noProof/>
          <w:sz w:val="24"/>
          <w:szCs w:val="24"/>
        </w:rPr>
        <w:t xml:space="preserve"> </w:t>
      </w:r>
    </w:p>
    <w:p w14:paraId="194A71B4" w14:textId="0BE23171" w:rsidR="00B95F3B" w:rsidRPr="00710B44" w:rsidRDefault="00B95F3B" w:rsidP="001752EA">
      <w:pPr>
        <w:pStyle w:val="Caption"/>
        <w:keepNext/>
        <w:jc w:val="both"/>
        <w:rPr>
          <w:rFonts w:ascii="Times New Roman" w:hAnsi="Times New Roman" w:cs="Times New Roman"/>
          <w:noProof/>
          <w:color w:val="auto"/>
          <w:sz w:val="24"/>
          <w:szCs w:val="24"/>
        </w:rPr>
      </w:pPr>
      <w:r w:rsidRPr="00710B44">
        <w:rPr>
          <w:rFonts w:ascii="Times New Roman" w:hAnsi="Times New Roman" w:cs="Times New Roman"/>
          <w:noProof/>
          <w:color w:val="auto"/>
          <w:sz w:val="24"/>
          <w:szCs w:val="24"/>
        </w:rPr>
        <w:t>Figure</w:t>
      </w:r>
      <w:r w:rsidR="008F1B26">
        <w:rPr>
          <w:rFonts w:ascii="Times New Roman" w:hAnsi="Times New Roman" w:cs="Times New Roman"/>
          <w:noProof/>
          <w:color w:val="auto"/>
          <w:sz w:val="24"/>
          <w:szCs w:val="24"/>
        </w:rPr>
        <w:t xml:space="preserve"> 2</w:t>
      </w:r>
      <w:r w:rsidR="005B63B3">
        <w:rPr>
          <w:rFonts w:ascii="Times New Roman" w:hAnsi="Times New Roman" w:cs="Times New Roman"/>
          <w:noProof/>
          <w:color w:val="auto"/>
          <w:sz w:val="24"/>
          <w:szCs w:val="24"/>
        </w:rPr>
        <w:t>3</w:t>
      </w:r>
      <w:r w:rsidRPr="00710B44">
        <w:rPr>
          <w:rFonts w:ascii="Times New Roman" w:hAnsi="Times New Roman" w:cs="Times New Roman"/>
          <w:noProof/>
          <w:color w:val="auto"/>
          <w:sz w:val="24"/>
          <w:szCs w:val="24"/>
        </w:rPr>
        <w:t xml:space="preserve"> - Comparison of market share of the 5 largest banks in EU and the US</w:t>
      </w:r>
    </w:p>
    <w:p w14:paraId="481FA406" w14:textId="08222960" w:rsidR="00FC28EE" w:rsidRPr="0036474B" w:rsidRDefault="00B95F3B" w:rsidP="00C57968">
      <w:pPr>
        <w:jc w:val="both"/>
        <w:rPr>
          <w:rFonts w:ascii="Times New Roman" w:hAnsi="Times New Roman" w:cs="Times New Roman"/>
          <w:noProof/>
          <w:sz w:val="24"/>
          <w:szCs w:val="24"/>
        </w:rPr>
      </w:pPr>
      <w:r w:rsidRPr="00B95F3B">
        <w:rPr>
          <w:rFonts w:ascii="Times New Roman" w:hAnsi="Times New Roman" w:cs="Times New Roman"/>
          <w:noProof/>
          <w:sz w:val="24"/>
          <w:szCs w:val="24"/>
          <w:lang w:val="en-GB" w:eastAsia="en-GB"/>
        </w:rPr>
        <w:drawing>
          <wp:inline distT="0" distB="0" distL="0" distR="0" wp14:anchorId="2199F30A" wp14:editId="7CC72129">
            <wp:extent cx="5731510" cy="2679065"/>
            <wp:effectExtent l="0" t="0" r="2540" b="6985"/>
            <wp:docPr id="904563789" name="Picture 1" descr="A graph of various asse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563789" name="Picture 1" descr="A graph of various assets&#10;&#10;AI-generated content may be incorrect."/>
                    <pic:cNvPicPr/>
                  </pic:nvPicPr>
                  <pic:blipFill>
                    <a:blip r:embed="rId41"/>
                    <a:stretch>
                      <a:fillRect/>
                    </a:stretch>
                  </pic:blipFill>
                  <pic:spPr>
                    <a:xfrm>
                      <a:off x="0" y="0"/>
                      <a:ext cx="5731510" cy="2679065"/>
                    </a:xfrm>
                    <a:prstGeom prst="rect">
                      <a:avLst/>
                    </a:prstGeom>
                  </pic:spPr>
                </pic:pic>
              </a:graphicData>
            </a:graphic>
          </wp:inline>
        </w:drawing>
      </w:r>
    </w:p>
    <w:p w14:paraId="71E0396B" w14:textId="60AF34CA" w:rsidR="00B95F3B" w:rsidRPr="00710B44" w:rsidRDefault="00B95F3B" w:rsidP="00C57968">
      <w:pPr>
        <w:jc w:val="both"/>
        <w:rPr>
          <w:rFonts w:ascii="Times New Roman" w:hAnsi="Times New Roman" w:cs="Times New Roman"/>
          <w:i/>
          <w:iCs/>
          <w:noProof/>
          <w:sz w:val="28"/>
          <w:szCs w:val="28"/>
        </w:rPr>
      </w:pPr>
      <w:r w:rsidRPr="00710B44">
        <w:rPr>
          <w:rFonts w:ascii="Times New Roman" w:hAnsi="Times New Roman" w:cs="Times New Roman"/>
          <w:i/>
          <w:iCs/>
          <w:noProof/>
          <w:sz w:val="24"/>
          <w:szCs w:val="24"/>
        </w:rPr>
        <w:t xml:space="preserve">Source: ECB </w:t>
      </w:r>
      <w:r w:rsidR="0046236C" w:rsidRPr="00710B44">
        <w:rPr>
          <w:rFonts w:ascii="Times New Roman" w:hAnsi="Times New Roman" w:cs="Times New Roman"/>
          <w:i/>
          <w:iCs/>
          <w:noProof/>
          <w:sz w:val="24"/>
          <w:szCs w:val="24"/>
        </w:rPr>
        <w:t xml:space="preserve">data, banks individual annual reports, FED </w:t>
      </w:r>
      <w:r w:rsidR="00970F63" w:rsidRPr="00710B44">
        <w:rPr>
          <w:rFonts w:ascii="Times New Roman" w:hAnsi="Times New Roman" w:cs="Times New Roman"/>
          <w:i/>
          <w:iCs/>
          <w:noProof/>
          <w:sz w:val="24"/>
          <w:szCs w:val="24"/>
        </w:rPr>
        <w:t>data – (as of end 2025)</w:t>
      </w:r>
    </w:p>
    <w:p w14:paraId="444017AB" w14:textId="296B9A98" w:rsidR="001508EA" w:rsidRPr="0036474B" w:rsidRDefault="2B19806F" w:rsidP="007F37CE">
      <w:pPr>
        <w:jc w:val="both"/>
        <w:rPr>
          <w:rFonts w:ascii="Times New Roman" w:hAnsi="Times New Roman" w:cs="Times New Roman"/>
          <w:noProof/>
          <w:sz w:val="24"/>
          <w:szCs w:val="24"/>
          <w:lang w:val="en-GB"/>
        </w:rPr>
      </w:pPr>
      <w:r w:rsidRPr="0036474B">
        <w:rPr>
          <w:rFonts w:ascii="Times New Roman" w:hAnsi="Times New Roman" w:cs="Times New Roman"/>
          <w:b/>
          <w:bCs/>
          <w:noProof/>
          <w:sz w:val="24"/>
          <w:szCs w:val="24"/>
          <w:lang w:val="en-GB"/>
        </w:rPr>
        <w:t xml:space="preserve">The chronic lack of scale of EU banks </w:t>
      </w:r>
      <w:r w:rsidR="352EFAA3" w:rsidRPr="0036474B">
        <w:rPr>
          <w:rFonts w:ascii="Times New Roman" w:hAnsi="Times New Roman" w:cs="Times New Roman"/>
          <w:b/>
          <w:bCs/>
          <w:noProof/>
          <w:sz w:val="24"/>
          <w:szCs w:val="24"/>
          <w:lang w:val="en-GB"/>
        </w:rPr>
        <w:t xml:space="preserve">is limiting </w:t>
      </w:r>
      <w:r w:rsidR="00D944C6">
        <w:rPr>
          <w:rFonts w:ascii="Times New Roman" w:hAnsi="Times New Roman" w:cs="Times New Roman"/>
          <w:b/>
          <w:bCs/>
          <w:noProof/>
          <w:sz w:val="24"/>
          <w:szCs w:val="24"/>
          <w:lang w:val="en-GB"/>
        </w:rPr>
        <w:t>their</w:t>
      </w:r>
      <w:r w:rsidR="352EFAA3" w:rsidRPr="0036474B">
        <w:rPr>
          <w:rFonts w:ascii="Times New Roman" w:hAnsi="Times New Roman" w:cs="Times New Roman"/>
          <w:b/>
          <w:bCs/>
          <w:noProof/>
          <w:sz w:val="24"/>
          <w:szCs w:val="24"/>
          <w:lang w:val="en-GB"/>
        </w:rPr>
        <w:t xml:space="preserve"> ability to compete in specific market activities</w:t>
      </w:r>
      <w:r w:rsidR="42F82BC3" w:rsidRPr="0036474B">
        <w:rPr>
          <w:rFonts w:ascii="Times New Roman" w:hAnsi="Times New Roman" w:cs="Times New Roman"/>
          <w:noProof/>
          <w:sz w:val="24"/>
          <w:szCs w:val="24"/>
          <w:lang w:val="en-GB"/>
        </w:rPr>
        <w:t xml:space="preserve">. </w:t>
      </w:r>
      <w:r w:rsidR="4937C48B" w:rsidRPr="0036474B">
        <w:rPr>
          <w:rFonts w:ascii="Times New Roman" w:hAnsi="Times New Roman" w:cs="Times New Roman"/>
          <w:noProof/>
          <w:sz w:val="24"/>
          <w:szCs w:val="24"/>
          <w:lang w:val="en-GB"/>
        </w:rPr>
        <w:t>EU banks</w:t>
      </w:r>
      <w:r w:rsidR="58EE0512" w:rsidRPr="0036474B">
        <w:rPr>
          <w:rFonts w:ascii="Times New Roman" w:hAnsi="Times New Roman" w:cs="Times New Roman"/>
          <w:noProof/>
          <w:sz w:val="24"/>
          <w:szCs w:val="24"/>
          <w:lang w:val="en-GB"/>
        </w:rPr>
        <w:t xml:space="preserve"> have long established franchises </w:t>
      </w:r>
      <w:r w:rsidR="42BBB595" w:rsidRPr="0036474B">
        <w:rPr>
          <w:rFonts w:ascii="Times New Roman" w:hAnsi="Times New Roman" w:cs="Times New Roman"/>
          <w:noProof/>
          <w:sz w:val="24"/>
          <w:szCs w:val="24"/>
          <w:lang w:val="en-GB"/>
        </w:rPr>
        <w:t>in corporate and investment banking (CIB) activities</w:t>
      </w:r>
      <w:r w:rsidR="00BE7E8E" w:rsidRPr="0036474B">
        <w:rPr>
          <w:rStyle w:val="FootnoteReference"/>
          <w:rFonts w:ascii="Times New Roman" w:hAnsi="Times New Roman" w:cs="Times New Roman"/>
          <w:noProof/>
          <w:sz w:val="24"/>
          <w:szCs w:val="24"/>
          <w:lang w:val="en-GB"/>
        </w:rPr>
        <w:footnoteReference w:id="53"/>
      </w:r>
      <w:r w:rsidR="42BBB595" w:rsidRPr="0036474B">
        <w:rPr>
          <w:rFonts w:ascii="Times New Roman" w:hAnsi="Times New Roman" w:cs="Times New Roman"/>
          <w:noProof/>
          <w:sz w:val="24"/>
          <w:szCs w:val="24"/>
          <w:lang w:val="en-GB"/>
        </w:rPr>
        <w:t xml:space="preserve">, but they have struggled </w:t>
      </w:r>
      <w:r w:rsidR="2CBD9245" w:rsidRPr="0036474B">
        <w:rPr>
          <w:rFonts w:ascii="Times New Roman" w:hAnsi="Times New Roman" w:cs="Times New Roman"/>
          <w:noProof/>
          <w:sz w:val="24"/>
          <w:szCs w:val="24"/>
          <w:lang w:val="en-GB"/>
        </w:rPr>
        <w:t xml:space="preserve">to keep stable </w:t>
      </w:r>
      <w:r w:rsidR="7B51F7EF" w:rsidRPr="0036474B">
        <w:rPr>
          <w:rFonts w:ascii="Times New Roman" w:hAnsi="Times New Roman" w:cs="Times New Roman"/>
          <w:noProof/>
          <w:sz w:val="24"/>
          <w:szCs w:val="24"/>
          <w:lang w:val="en-GB"/>
        </w:rPr>
        <w:t>market share</w:t>
      </w:r>
      <w:r w:rsidR="4B18A226" w:rsidRPr="0036474B">
        <w:rPr>
          <w:rFonts w:ascii="Times New Roman" w:hAnsi="Times New Roman" w:cs="Times New Roman"/>
          <w:noProof/>
          <w:sz w:val="24"/>
          <w:szCs w:val="24"/>
          <w:lang w:val="en-GB"/>
        </w:rPr>
        <w:t>s</w:t>
      </w:r>
      <w:r w:rsidR="001378DF" w:rsidRPr="0036474B">
        <w:rPr>
          <w:rStyle w:val="FootnoteReference"/>
          <w:rFonts w:ascii="Times New Roman" w:hAnsi="Times New Roman" w:cs="Times New Roman"/>
          <w:noProof/>
          <w:sz w:val="24"/>
          <w:szCs w:val="24"/>
          <w:lang w:val="en-GB"/>
        </w:rPr>
        <w:footnoteReference w:id="54"/>
      </w:r>
      <w:r w:rsidR="2CBD9245" w:rsidRPr="0036474B">
        <w:rPr>
          <w:rFonts w:ascii="Times New Roman" w:hAnsi="Times New Roman" w:cs="Times New Roman"/>
          <w:noProof/>
          <w:sz w:val="24"/>
          <w:szCs w:val="24"/>
          <w:lang w:val="en-GB"/>
        </w:rPr>
        <w:t xml:space="preserve"> </w:t>
      </w:r>
      <w:r w:rsidR="1A82C8D5" w:rsidRPr="0036474B">
        <w:rPr>
          <w:rFonts w:ascii="Times New Roman" w:hAnsi="Times New Roman" w:cs="Times New Roman"/>
          <w:noProof/>
          <w:sz w:val="24"/>
          <w:szCs w:val="24"/>
          <w:lang w:val="en-GB"/>
        </w:rPr>
        <w:t>not only at global level, but also in EU financial markets.</w:t>
      </w:r>
      <w:r w:rsidR="2CBD9245" w:rsidRPr="0036474B">
        <w:rPr>
          <w:rFonts w:ascii="Times New Roman" w:hAnsi="Times New Roman" w:cs="Times New Roman"/>
          <w:noProof/>
          <w:sz w:val="24"/>
          <w:szCs w:val="24"/>
          <w:lang w:val="en-GB"/>
        </w:rPr>
        <w:t xml:space="preserve"> </w:t>
      </w:r>
      <w:r w:rsidR="68516060" w:rsidRPr="0036474B">
        <w:rPr>
          <w:rFonts w:ascii="Times New Roman" w:hAnsi="Times New Roman" w:cs="Times New Roman"/>
          <w:noProof/>
          <w:sz w:val="24"/>
          <w:szCs w:val="24"/>
          <w:lang w:val="en-GB"/>
        </w:rPr>
        <w:t>In particular</w:t>
      </w:r>
      <w:r w:rsidR="4D2BA99A" w:rsidRPr="0036474B">
        <w:rPr>
          <w:rFonts w:ascii="Times New Roman" w:hAnsi="Times New Roman" w:cs="Times New Roman"/>
          <w:noProof/>
          <w:sz w:val="24"/>
          <w:szCs w:val="24"/>
          <w:lang w:val="en-GB"/>
        </w:rPr>
        <w:t>, US banks have larger market shares in EMEA than the EU G-SIBs (40% vs 29%</w:t>
      </w:r>
      <w:r w:rsidR="7CEEC8C3" w:rsidRPr="0036474B">
        <w:rPr>
          <w:rFonts w:ascii="Times New Roman" w:hAnsi="Times New Roman" w:cs="Times New Roman"/>
          <w:noProof/>
          <w:sz w:val="24"/>
          <w:szCs w:val="24"/>
          <w:lang w:val="en-GB"/>
        </w:rPr>
        <w:t>,</w:t>
      </w:r>
      <w:r w:rsidR="4D2BA99A" w:rsidRPr="0036474B">
        <w:rPr>
          <w:rFonts w:ascii="Times New Roman" w:hAnsi="Times New Roman" w:cs="Times New Roman"/>
          <w:noProof/>
          <w:sz w:val="24"/>
          <w:szCs w:val="24"/>
          <w:lang w:val="en-GB"/>
        </w:rPr>
        <w:t xml:space="preserve"> respectively).</w:t>
      </w:r>
      <w:r w:rsidR="1C027EC6" w:rsidRPr="0036474B">
        <w:rPr>
          <w:rFonts w:ascii="Times New Roman" w:hAnsi="Times New Roman" w:cs="Times New Roman"/>
          <w:noProof/>
          <w:sz w:val="24"/>
          <w:szCs w:val="24"/>
          <w:lang w:val="en-GB"/>
        </w:rPr>
        <w:t xml:space="preserve"> Additionally, s</w:t>
      </w:r>
      <w:r w:rsidR="4D2BA99A" w:rsidRPr="0036474B">
        <w:rPr>
          <w:rFonts w:ascii="Times New Roman" w:hAnsi="Times New Roman" w:cs="Times New Roman"/>
          <w:noProof/>
          <w:sz w:val="24"/>
          <w:szCs w:val="24"/>
          <w:lang w:val="en-GB"/>
        </w:rPr>
        <w:t>pecific EU markets activities are dominated by US players e.g. fiduciary services, commodity trading, and to a lesser extent custody services and corporate finance (like M&amp;A)</w:t>
      </w:r>
      <w:r w:rsidR="00921845" w:rsidRPr="0036474B">
        <w:rPr>
          <w:rStyle w:val="FootnoteReference"/>
          <w:rFonts w:ascii="Times New Roman" w:hAnsi="Times New Roman" w:cs="Times New Roman"/>
          <w:noProof/>
          <w:sz w:val="24"/>
          <w:szCs w:val="24"/>
          <w:lang w:val="en-GB"/>
        </w:rPr>
        <w:footnoteReference w:id="55"/>
      </w:r>
      <w:r w:rsidR="4D2BA99A" w:rsidRPr="0036474B">
        <w:rPr>
          <w:rFonts w:ascii="Times New Roman" w:hAnsi="Times New Roman" w:cs="Times New Roman"/>
          <w:noProof/>
          <w:sz w:val="24"/>
          <w:szCs w:val="24"/>
          <w:lang w:val="en-GB"/>
        </w:rPr>
        <w:t>.</w:t>
      </w:r>
      <w:r w:rsidR="6C5081F3" w:rsidRPr="0036474B">
        <w:rPr>
          <w:rFonts w:ascii="Times New Roman" w:hAnsi="Times New Roman" w:cs="Times New Roman"/>
          <w:noProof/>
          <w:sz w:val="24"/>
          <w:szCs w:val="24"/>
          <w:lang w:val="en-GB"/>
        </w:rPr>
        <w:t xml:space="preserve"> </w:t>
      </w:r>
      <w:r w:rsidR="0021309E" w:rsidRPr="0036474B">
        <w:rPr>
          <w:rFonts w:ascii="Times New Roman" w:hAnsi="Times New Roman" w:cs="Times New Roman"/>
          <w:noProof/>
          <w:sz w:val="24"/>
          <w:szCs w:val="24"/>
          <w:lang w:val="en-GB"/>
        </w:rPr>
        <w:t>League tables across Equity Capital Markets, Debt Capital Markets, and M</w:t>
      </w:r>
      <w:r w:rsidR="0011023E" w:rsidRPr="0036474B">
        <w:rPr>
          <w:rFonts w:ascii="Times New Roman" w:hAnsi="Times New Roman" w:cs="Times New Roman"/>
          <w:noProof/>
          <w:sz w:val="24"/>
          <w:szCs w:val="24"/>
          <w:lang w:val="en-GB"/>
        </w:rPr>
        <w:t>&amp;As</w:t>
      </w:r>
      <w:r w:rsidR="004C62A2" w:rsidRPr="0036474B">
        <w:rPr>
          <w:rFonts w:ascii="Times New Roman" w:hAnsi="Times New Roman" w:cs="Times New Roman"/>
          <w:noProof/>
          <w:sz w:val="24"/>
          <w:szCs w:val="24"/>
          <w:lang w:val="en-GB"/>
        </w:rPr>
        <w:t xml:space="preserve"> confirm</w:t>
      </w:r>
      <w:r w:rsidR="009B66FF" w:rsidRPr="0036474B">
        <w:rPr>
          <w:rFonts w:ascii="Times New Roman" w:hAnsi="Times New Roman" w:cs="Times New Roman"/>
          <w:noProof/>
          <w:sz w:val="24"/>
          <w:szCs w:val="24"/>
          <w:lang w:val="en-GB"/>
        </w:rPr>
        <w:t xml:space="preserve"> the</w:t>
      </w:r>
      <w:r w:rsidR="004C62A2" w:rsidRPr="0036474B">
        <w:rPr>
          <w:rFonts w:ascii="Times New Roman" w:hAnsi="Times New Roman" w:cs="Times New Roman"/>
          <w:noProof/>
          <w:sz w:val="24"/>
          <w:szCs w:val="24"/>
          <w:lang w:val="en-GB"/>
        </w:rPr>
        <w:t xml:space="preserve"> picture of </w:t>
      </w:r>
      <w:r w:rsidR="009915B4" w:rsidRPr="0036474B">
        <w:rPr>
          <w:rFonts w:ascii="Times New Roman" w:hAnsi="Times New Roman" w:cs="Times New Roman"/>
          <w:noProof/>
          <w:sz w:val="24"/>
          <w:szCs w:val="24"/>
          <w:lang w:val="en-GB"/>
        </w:rPr>
        <w:t xml:space="preserve">EU banks struggling to keep </w:t>
      </w:r>
      <w:r w:rsidR="000D7AD3" w:rsidRPr="0036474B">
        <w:rPr>
          <w:rFonts w:ascii="Times New Roman" w:hAnsi="Times New Roman" w:cs="Times New Roman"/>
          <w:noProof/>
          <w:sz w:val="24"/>
          <w:szCs w:val="24"/>
          <w:lang w:val="en-GB"/>
        </w:rPr>
        <w:t xml:space="preserve">presence, even in </w:t>
      </w:r>
      <w:r w:rsidR="00A11C81" w:rsidRPr="0036474B">
        <w:rPr>
          <w:rFonts w:ascii="Times New Roman" w:hAnsi="Times New Roman" w:cs="Times New Roman"/>
          <w:noProof/>
          <w:sz w:val="24"/>
          <w:szCs w:val="24"/>
          <w:lang w:val="en-GB"/>
        </w:rPr>
        <w:t>the European market.</w:t>
      </w:r>
      <w:r w:rsidR="008762C5">
        <w:rPr>
          <w:rFonts w:ascii="Times New Roman" w:hAnsi="Times New Roman" w:cs="Times New Roman"/>
          <w:noProof/>
          <w:sz w:val="24"/>
          <w:szCs w:val="24"/>
          <w:lang w:val="en-GB"/>
        </w:rPr>
        <w:t xml:space="preserve"> In particular, </w:t>
      </w:r>
      <w:r w:rsidR="00CC1A76">
        <w:rPr>
          <w:rFonts w:ascii="Times New Roman" w:hAnsi="Times New Roman" w:cs="Times New Roman"/>
          <w:noProof/>
          <w:sz w:val="24"/>
          <w:szCs w:val="24"/>
          <w:lang w:val="en-GB"/>
        </w:rPr>
        <w:t xml:space="preserve">EU banks are essentially absent from Global League Tables for M&amp;A Advisory, </w:t>
      </w:r>
      <w:r w:rsidR="00E46DCA">
        <w:rPr>
          <w:rFonts w:ascii="Times New Roman" w:hAnsi="Times New Roman" w:cs="Times New Roman"/>
          <w:noProof/>
          <w:sz w:val="24"/>
          <w:szCs w:val="24"/>
          <w:lang w:val="en-GB"/>
        </w:rPr>
        <w:t>ra</w:t>
      </w:r>
      <w:r w:rsidR="00857DD2">
        <w:rPr>
          <w:rFonts w:ascii="Times New Roman" w:hAnsi="Times New Roman" w:cs="Times New Roman"/>
          <w:noProof/>
          <w:sz w:val="24"/>
          <w:szCs w:val="24"/>
          <w:lang w:val="en-GB"/>
        </w:rPr>
        <w:t xml:space="preserve">nk #6 and #8 in </w:t>
      </w:r>
      <w:r w:rsidR="00E41578">
        <w:rPr>
          <w:rFonts w:ascii="Times New Roman" w:hAnsi="Times New Roman" w:cs="Times New Roman"/>
          <w:noProof/>
          <w:sz w:val="24"/>
          <w:szCs w:val="24"/>
          <w:lang w:val="en-GB"/>
        </w:rPr>
        <w:t xml:space="preserve">Debt </w:t>
      </w:r>
      <w:r w:rsidR="00FE5D1A">
        <w:rPr>
          <w:rFonts w:ascii="Times New Roman" w:hAnsi="Times New Roman" w:cs="Times New Roman"/>
          <w:noProof/>
          <w:sz w:val="24"/>
          <w:szCs w:val="24"/>
          <w:lang w:val="en-GB"/>
        </w:rPr>
        <w:t xml:space="preserve">Capital Market </w:t>
      </w:r>
      <w:r w:rsidR="00017838">
        <w:rPr>
          <w:rFonts w:ascii="Times New Roman" w:hAnsi="Times New Roman" w:cs="Times New Roman"/>
          <w:noProof/>
          <w:sz w:val="24"/>
          <w:szCs w:val="24"/>
          <w:lang w:val="en-GB"/>
        </w:rPr>
        <w:t>and #10 in Equity Capital Market.</w:t>
      </w:r>
      <w:r w:rsidR="00E46DCA">
        <w:rPr>
          <w:rFonts w:ascii="Times New Roman" w:hAnsi="Times New Roman" w:cs="Times New Roman"/>
          <w:noProof/>
          <w:sz w:val="24"/>
          <w:szCs w:val="24"/>
          <w:lang w:val="en-GB"/>
        </w:rPr>
        <w:t xml:space="preserve"> </w:t>
      </w:r>
      <w:r w:rsidR="00432090">
        <w:rPr>
          <w:rFonts w:ascii="Times New Roman" w:hAnsi="Times New Roman" w:cs="Times New Roman"/>
          <w:noProof/>
          <w:sz w:val="24"/>
          <w:szCs w:val="24"/>
          <w:lang w:val="en-GB"/>
        </w:rPr>
        <w:t>In League Tables for Europe</w:t>
      </w:r>
      <w:r w:rsidR="00D64EAD">
        <w:rPr>
          <w:rFonts w:ascii="Times New Roman" w:hAnsi="Times New Roman" w:cs="Times New Roman"/>
          <w:noProof/>
          <w:sz w:val="24"/>
          <w:szCs w:val="24"/>
          <w:lang w:val="en-GB"/>
        </w:rPr>
        <w:t>an market</w:t>
      </w:r>
      <w:r w:rsidR="00432090">
        <w:rPr>
          <w:rFonts w:ascii="Times New Roman" w:hAnsi="Times New Roman" w:cs="Times New Roman"/>
          <w:noProof/>
          <w:sz w:val="24"/>
          <w:szCs w:val="24"/>
          <w:lang w:val="en-GB"/>
        </w:rPr>
        <w:t xml:space="preserve">, the situation remains grim </w:t>
      </w:r>
      <w:r w:rsidR="00D25692">
        <w:rPr>
          <w:rFonts w:ascii="Times New Roman" w:hAnsi="Times New Roman" w:cs="Times New Roman"/>
          <w:noProof/>
          <w:sz w:val="24"/>
          <w:szCs w:val="24"/>
          <w:lang w:val="en-GB"/>
        </w:rPr>
        <w:t>for M&amp;A</w:t>
      </w:r>
      <w:r w:rsidR="00745403">
        <w:rPr>
          <w:rFonts w:ascii="Times New Roman" w:hAnsi="Times New Roman" w:cs="Times New Roman"/>
          <w:noProof/>
          <w:sz w:val="24"/>
          <w:szCs w:val="24"/>
          <w:lang w:val="en-GB"/>
        </w:rPr>
        <w:t xml:space="preserve"> Advisory</w:t>
      </w:r>
      <w:r w:rsidR="00D64EAD">
        <w:rPr>
          <w:rFonts w:ascii="Times New Roman" w:hAnsi="Times New Roman" w:cs="Times New Roman"/>
          <w:noProof/>
          <w:sz w:val="24"/>
          <w:szCs w:val="24"/>
          <w:lang w:val="en-GB"/>
        </w:rPr>
        <w:t xml:space="preserve"> and Equity Capital Markets</w:t>
      </w:r>
      <w:r w:rsidR="00243614">
        <w:rPr>
          <w:rFonts w:ascii="Times New Roman" w:hAnsi="Times New Roman" w:cs="Times New Roman"/>
          <w:noProof/>
          <w:sz w:val="24"/>
          <w:szCs w:val="24"/>
          <w:lang w:val="en-GB"/>
        </w:rPr>
        <w:t>. Only in</w:t>
      </w:r>
      <w:r w:rsidR="006A1422">
        <w:rPr>
          <w:rFonts w:ascii="Times New Roman" w:hAnsi="Times New Roman" w:cs="Times New Roman"/>
          <w:noProof/>
          <w:sz w:val="24"/>
          <w:szCs w:val="24"/>
          <w:lang w:val="en-GB"/>
        </w:rPr>
        <w:t xml:space="preserve"> </w:t>
      </w:r>
      <w:r w:rsidR="00243614">
        <w:rPr>
          <w:rFonts w:ascii="Times New Roman" w:hAnsi="Times New Roman" w:cs="Times New Roman"/>
          <w:noProof/>
          <w:sz w:val="24"/>
          <w:szCs w:val="24"/>
          <w:lang w:val="en-GB"/>
        </w:rPr>
        <w:t>the area of</w:t>
      </w:r>
      <w:r w:rsidR="006A1422">
        <w:rPr>
          <w:rFonts w:ascii="Times New Roman" w:hAnsi="Times New Roman" w:cs="Times New Roman"/>
          <w:noProof/>
          <w:sz w:val="24"/>
          <w:szCs w:val="24"/>
          <w:lang w:val="en-GB"/>
        </w:rPr>
        <w:t xml:space="preserve"> Debt Capital Markets EU banks manage to </w:t>
      </w:r>
      <w:r w:rsidR="00C53CA2">
        <w:rPr>
          <w:rFonts w:ascii="Times New Roman" w:hAnsi="Times New Roman" w:cs="Times New Roman"/>
          <w:noProof/>
          <w:sz w:val="24"/>
          <w:szCs w:val="24"/>
          <w:lang w:val="en-GB"/>
        </w:rPr>
        <w:t xml:space="preserve">maintain </w:t>
      </w:r>
      <w:r w:rsidR="00243614">
        <w:rPr>
          <w:rFonts w:ascii="Times New Roman" w:hAnsi="Times New Roman" w:cs="Times New Roman"/>
          <w:noProof/>
          <w:sz w:val="24"/>
          <w:szCs w:val="24"/>
          <w:lang w:val="en-GB"/>
        </w:rPr>
        <w:t xml:space="preserve">a </w:t>
      </w:r>
      <w:r w:rsidR="00F22F1C">
        <w:rPr>
          <w:rFonts w:ascii="Times New Roman" w:hAnsi="Times New Roman" w:cs="Times New Roman"/>
          <w:noProof/>
          <w:sz w:val="24"/>
          <w:szCs w:val="24"/>
          <w:lang w:val="en-GB"/>
        </w:rPr>
        <w:t>relevant</w:t>
      </w:r>
      <w:r w:rsidR="00243614">
        <w:rPr>
          <w:rFonts w:ascii="Times New Roman" w:hAnsi="Times New Roman" w:cs="Times New Roman"/>
          <w:noProof/>
          <w:sz w:val="24"/>
          <w:szCs w:val="24"/>
          <w:lang w:val="en-GB"/>
        </w:rPr>
        <w:t xml:space="preserve"> market presence</w:t>
      </w:r>
      <w:r w:rsidR="005001F8">
        <w:rPr>
          <w:rFonts w:ascii="Times New Roman" w:hAnsi="Times New Roman" w:cs="Times New Roman"/>
          <w:noProof/>
          <w:sz w:val="24"/>
          <w:szCs w:val="24"/>
          <w:lang w:val="en-GB"/>
        </w:rPr>
        <w:t xml:space="preserve">, with </w:t>
      </w:r>
      <w:r w:rsidR="00D944C6">
        <w:rPr>
          <w:rFonts w:ascii="Times New Roman" w:hAnsi="Times New Roman" w:cs="Times New Roman"/>
          <w:noProof/>
          <w:sz w:val="24"/>
          <w:szCs w:val="24"/>
          <w:lang w:val="en-GB"/>
        </w:rPr>
        <w:t>four</w:t>
      </w:r>
      <w:r w:rsidR="005001F8">
        <w:rPr>
          <w:rFonts w:ascii="Times New Roman" w:hAnsi="Times New Roman" w:cs="Times New Roman"/>
          <w:noProof/>
          <w:sz w:val="24"/>
          <w:szCs w:val="24"/>
          <w:lang w:val="en-GB"/>
        </w:rPr>
        <w:t xml:space="preserve"> banks in the top 10</w:t>
      </w:r>
      <w:r w:rsidR="00243614">
        <w:rPr>
          <w:rFonts w:ascii="Times New Roman" w:hAnsi="Times New Roman" w:cs="Times New Roman"/>
          <w:noProof/>
          <w:sz w:val="24"/>
          <w:szCs w:val="24"/>
          <w:lang w:val="en-GB"/>
        </w:rPr>
        <w:t>.</w:t>
      </w:r>
    </w:p>
    <w:p w14:paraId="6C277117" w14:textId="77777777" w:rsidR="00525BDE" w:rsidRDefault="00525BDE" w:rsidP="007F37CE">
      <w:pPr>
        <w:jc w:val="both"/>
        <w:rPr>
          <w:rFonts w:ascii="Times New Roman" w:hAnsi="Times New Roman" w:cs="Times New Roman"/>
          <w:noProof/>
          <w:sz w:val="24"/>
          <w:szCs w:val="24"/>
          <w:lang w:val="en-GB"/>
        </w:rPr>
      </w:pPr>
    </w:p>
    <w:p w14:paraId="385B65FC" w14:textId="77777777" w:rsidR="00525BDE" w:rsidRPr="0036474B" w:rsidRDefault="00525BDE" w:rsidP="007F37CE">
      <w:pPr>
        <w:jc w:val="both"/>
        <w:rPr>
          <w:rFonts w:ascii="Times New Roman" w:hAnsi="Times New Roman" w:cs="Times New Roman"/>
          <w:noProof/>
          <w:sz w:val="24"/>
          <w:szCs w:val="24"/>
          <w:lang w:val="en-GB"/>
        </w:rPr>
      </w:pPr>
    </w:p>
    <w:p w14:paraId="1E1AF8AE" w14:textId="6D0D0F6B" w:rsidR="002539E8" w:rsidRPr="00F56801" w:rsidRDefault="002539E8" w:rsidP="0036474B">
      <w:pPr>
        <w:pStyle w:val="Caption"/>
        <w:keepNext/>
        <w:rPr>
          <w:rFonts w:ascii="Times New Roman" w:hAnsi="Times New Roman" w:cs="Times New Roman"/>
          <w:noProof/>
          <w:color w:val="auto"/>
          <w:sz w:val="24"/>
          <w:szCs w:val="24"/>
        </w:rPr>
      </w:pPr>
      <w:r w:rsidRPr="00F56801">
        <w:rPr>
          <w:rFonts w:ascii="Times New Roman" w:hAnsi="Times New Roman" w:cs="Times New Roman"/>
          <w:noProof/>
          <w:color w:val="auto"/>
          <w:sz w:val="24"/>
          <w:szCs w:val="24"/>
        </w:rPr>
        <w:t xml:space="preserve">Table </w:t>
      </w:r>
      <w:r w:rsidR="00F56801" w:rsidRPr="00F56801">
        <w:rPr>
          <w:rFonts w:ascii="Times New Roman" w:hAnsi="Times New Roman" w:cs="Times New Roman"/>
          <w:noProof/>
          <w:color w:val="auto"/>
          <w:sz w:val="24"/>
          <w:szCs w:val="24"/>
        </w:rPr>
        <w:t>1</w:t>
      </w:r>
      <w:r w:rsidRPr="00F56801">
        <w:rPr>
          <w:rFonts w:ascii="Times New Roman" w:hAnsi="Times New Roman" w:cs="Times New Roman"/>
          <w:noProof/>
          <w:color w:val="auto"/>
          <w:sz w:val="24"/>
          <w:szCs w:val="24"/>
        </w:rPr>
        <w:t xml:space="preserve"> - Merger and Acquisition</w:t>
      </w:r>
      <w:r w:rsidR="005F34FC" w:rsidRPr="00F56801">
        <w:rPr>
          <w:rFonts w:ascii="Times New Roman" w:hAnsi="Times New Roman" w:cs="Times New Roman"/>
          <w:noProof/>
          <w:color w:val="auto"/>
          <w:sz w:val="24"/>
          <w:szCs w:val="24"/>
        </w:rPr>
        <w:t xml:space="preserve"> Advisor Ranking – Financial Year 2025</w:t>
      </w:r>
    </w:p>
    <w:tbl>
      <w:tblPr>
        <w:tblStyle w:val="PlainTable1"/>
        <w:tblW w:w="0" w:type="auto"/>
        <w:tblLook w:val="04A0" w:firstRow="1" w:lastRow="0" w:firstColumn="1" w:lastColumn="0" w:noHBand="0" w:noVBand="1"/>
      </w:tblPr>
      <w:tblGrid>
        <w:gridCol w:w="918"/>
        <w:gridCol w:w="637"/>
        <w:gridCol w:w="1842"/>
        <w:gridCol w:w="790"/>
        <w:gridCol w:w="919"/>
        <w:gridCol w:w="919"/>
        <w:gridCol w:w="698"/>
        <w:gridCol w:w="2109"/>
      </w:tblGrid>
      <w:tr w:rsidR="002539E8" w:rsidRPr="00064CC0" w14:paraId="7F941404" w14:textId="77777777" w:rsidTr="0036474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8" w:type="dxa"/>
            <w:gridSpan w:val="5"/>
            <w:noWrap/>
            <w:hideMark/>
          </w:tcPr>
          <w:p w14:paraId="6396FFBC" w14:textId="77777777" w:rsidR="002539E8" w:rsidRPr="0036474B" w:rsidRDefault="002539E8">
            <w:pPr>
              <w:rPr>
                <w:rFonts w:ascii="Times New Roman" w:hAnsi="Times New Roman" w:cs="Times New Roman"/>
                <w:noProof/>
                <w:sz w:val="24"/>
                <w:szCs w:val="24"/>
              </w:rPr>
            </w:pPr>
            <w:r w:rsidRPr="0036474B">
              <w:rPr>
                <w:rFonts w:ascii="Times New Roman" w:hAnsi="Times New Roman" w:cs="Times New Roman"/>
                <w:noProof/>
                <w:sz w:val="24"/>
                <w:szCs w:val="24"/>
              </w:rPr>
              <w:t xml:space="preserve">Europe </w:t>
            </w:r>
          </w:p>
        </w:tc>
        <w:tc>
          <w:tcPr>
            <w:tcW w:w="3726" w:type="dxa"/>
            <w:gridSpan w:val="3"/>
            <w:noWrap/>
            <w:hideMark/>
          </w:tcPr>
          <w:p w14:paraId="32DDBC78" w14:textId="77777777" w:rsidR="002539E8" w:rsidRPr="0036474B" w:rsidRDefault="002539E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Global</w:t>
            </w:r>
          </w:p>
        </w:tc>
      </w:tr>
      <w:tr w:rsidR="00F307DE" w:rsidRPr="00064CC0" w14:paraId="3D909BFF" w14:textId="77777777" w:rsidTr="0036474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noWrap/>
            <w:hideMark/>
          </w:tcPr>
          <w:p w14:paraId="6ED0E825" w14:textId="77777777" w:rsidR="002539E8" w:rsidRPr="0036474B" w:rsidRDefault="002539E8">
            <w:pPr>
              <w:rPr>
                <w:rFonts w:ascii="Times New Roman" w:hAnsi="Times New Roman" w:cs="Times New Roman"/>
                <w:noProof/>
                <w:sz w:val="24"/>
                <w:szCs w:val="24"/>
              </w:rPr>
            </w:pPr>
            <w:r w:rsidRPr="0036474B">
              <w:rPr>
                <w:rFonts w:ascii="Times New Roman" w:hAnsi="Times New Roman" w:cs="Times New Roman"/>
                <w:noProof/>
                <w:sz w:val="24"/>
                <w:szCs w:val="24"/>
              </w:rPr>
              <w:t>Rank</w:t>
            </w:r>
          </w:p>
        </w:tc>
        <w:tc>
          <w:tcPr>
            <w:tcW w:w="637" w:type="dxa"/>
            <w:noWrap/>
            <w:hideMark/>
          </w:tcPr>
          <w:p w14:paraId="5F66B5AC"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HQ</w:t>
            </w:r>
          </w:p>
        </w:tc>
        <w:tc>
          <w:tcPr>
            <w:tcW w:w="1842" w:type="dxa"/>
            <w:noWrap/>
            <w:hideMark/>
          </w:tcPr>
          <w:p w14:paraId="0254666C"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Advisor</w:t>
            </w:r>
          </w:p>
        </w:tc>
        <w:tc>
          <w:tcPr>
            <w:tcW w:w="742" w:type="dxa"/>
            <w:noWrap/>
            <w:hideMark/>
          </w:tcPr>
          <w:p w14:paraId="7AE9F607"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Value $bn</w:t>
            </w:r>
          </w:p>
        </w:tc>
        <w:tc>
          <w:tcPr>
            <w:tcW w:w="919" w:type="dxa"/>
            <w:noWrap/>
            <w:hideMark/>
          </w:tcPr>
          <w:p w14:paraId="7C905E9B"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 deals</w:t>
            </w:r>
          </w:p>
        </w:tc>
        <w:tc>
          <w:tcPr>
            <w:tcW w:w="919" w:type="dxa"/>
            <w:noWrap/>
            <w:hideMark/>
          </w:tcPr>
          <w:p w14:paraId="498A5F03"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Rank</w:t>
            </w:r>
          </w:p>
        </w:tc>
        <w:tc>
          <w:tcPr>
            <w:tcW w:w="698" w:type="dxa"/>
            <w:noWrap/>
            <w:hideMark/>
          </w:tcPr>
          <w:p w14:paraId="5C6BD5EC"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HQ</w:t>
            </w:r>
          </w:p>
        </w:tc>
        <w:tc>
          <w:tcPr>
            <w:tcW w:w="2109" w:type="dxa"/>
            <w:noWrap/>
            <w:hideMark/>
          </w:tcPr>
          <w:p w14:paraId="2FFAA4CA"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Advisor</w:t>
            </w:r>
          </w:p>
        </w:tc>
      </w:tr>
      <w:tr w:rsidR="007928AB" w:rsidRPr="00064CC0" w14:paraId="16DBD33B" w14:textId="77777777" w:rsidTr="0036474B">
        <w:trPr>
          <w:trHeight w:val="300"/>
        </w:trPr>
        <w:tc>
          <w:tcPr>
            <w:cnfStyle w:val="001000000000" w:firstRow="0" w:lastRow="0" w:firstColumn="1" w:lastColumn="0" w:oddVBand="0" w:evenVBand="0" w:oddHBand="0" w:evenHBand="0" w:firstRowFirstColumn="0" w:firstRowLastColumn="0" w:lastRowFirstColumn="0" w:lastRowLastColumn="0"/>
            <w:tcW w:w="918" w:type="dxa"/>
            <w:noWrap/>
            <w:hideMark/>
          </w:tcPr>
          <w:p w14:paraId="6FBD4B78" w14:textId="77777777" w:rsidR="002539E8" w:rsidRPr="0036474B" w:rsidRDefault="002539E8">
            <w:pPr>
              <w:rPr>
                <w:rFonts w:ascii="Times New Roman" w:hAnsi="Times New Roman" w:cs="Times New Roman"/>
                <w:noProof/>
                <w:sz w:val="24"/>
                <w:szCs w:val="24"/>
              </w:rPr>
            </w:pPr>
            <w:r w:rsidRPr="0036474B">
              <w:rPr>
                <w:rFonts w:ascii="Times New Roman" w:hAnsi="Times New Roman" w:cs="Times New Roman"/>
                <w:noProof/>
                <w:sz w:val="24"/>
                <w:szCs w:val="24"/>
              </w:rPr>
              <w:t>1</w:t>
            </w:r>
          </w:p>
        </w:tc>
        <w:tc>
          <w:tcPr>
            <w:tcW w:w="637" w:type="dxa"/>
            <w:noWrap/>
            <w:hideMark/>
          </w:tcPr>
          <w:p w14:paraId="4C051F86"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1842" w:type="dxa"/>
            <w:noWrap/>
            <w:hideMark/>
          </w:tcPr>
          <w:p w14:paraId="7B9724ED"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Goldman Sachs</w:t>
            </w:r>
          </w:p>
        </w:tc>
        <w:tc>
          <w:tcPr>
            <w:tcW w:w="742" w:type="dxa"/>
            <w:noWrap/>
            <w:hideMark/>
          </w:tcPr>
          <w:p w14:paraId="7070A2B6"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565.1</w:t>
            </w:r>
          </w:p>
        </w:tc>
        <w:tc>
          <w:tcPr>
            <w:tcW w:w="919" w:type="dxa"/>
            <w:noWrap/>
            <w:hideMark/>
          </w:tcPr>
          <w:p w14:paraId="2C1F21D2"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204</w:t>
            </w:r>
          </w:p>
        </w:tc>
        <w:tc>
          <w:tcPr>
            <w:tcW w:w="919" w:type="dxa"/>
            <w:noWrap/>
            <w:hideMark/>
          </w:tcPr>
          <w:p w14:paraId="416138F3"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w:t>
            </w:r>
          </w:p>
        </w:tc>
        <w:tc>
          <w:tcPr>
            <w:tcW w:w="698" w:type="dxa"/>
            <w:noWrap/>
            <w:hideMark/>
          </w:tcPr>
          <w:p w14:paraId="49D29CF1"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2109" w:type="dxa"/>
            <w:noWrap/>
            <w:hideMark/>
          </w:tcPr>
          <w:p w14:paraId="2FDB9B26"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Goldman Sachs</w:t>
            </w:r>
          </w:p>
        </w:tc>
      </w:tr>
      <w:tr w:rsidR="00F307DE" w:rsidRPr="00064CC0" w14:paraId="7DADCFF4" w14:textId="77777777" w:rsidTr="0036474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noWrap/>
            <w:hideMark/>
          </w:tcPr>
          <w:p w14:paraId="0A432A6C" w14:textId="77777777" w:rsidR="002539E8" w:rsidRPr="0036474B" w:rsidRDefault="002539E8">
            <w:pPr>
              <w:rPr>
                <w:rFonts w:ascii="Times New Roman" w:hAnsi="Times New Roman" w:cs="Times New Roman"/>
                <w:noProof/>
                <w:sz w:val="24"/>
                <w:szCs w:val="24"/>
              </w:rPr>
            </w:pPr>
            <w:r w:rsidRPr="0036474B">
              <w:rPr>
                <w:rFonts w:ascii="Times New Roman" w:hAnsi="Times New Roman" w:cs="Times New Roman"/>
                <w:noProof/>
                <w:sz w:val="24"/>
                <w:szCs w:val="24"/>
              </w:rPr>
              <w:t>2</w:t>
            </w:r>
          </w:p>
        </w:tc>
        <w:tc>
          <w:tcPr>
            <w:tcW w:w="637" w:type="dxa"/>
            <w:noWrap/>
            <w:hideMark/>
          </w:tcPr>
          <w:p w14:paraId="4DBF1640"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1842" w:type="dxa"/>
            <w:noWrap/>
            <w:hideMark/>
          </w:tcPr>
          <w:p w14:paraId="36C564C0"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JPMorgan</w:t>
            </w:r>
          </w:p>
        </w:tc>
        <w:tc>
          <w:tcPr>
            <w:tcW w:w="742" w:type="dxa"/>
            <w:noWrap/>
            <w:hideMark/>
          </w:tcPr>
          <w:p w14:paraId="4DB6E8E0"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374</w:t>
            </w:r>
          </w:p>
        </w:tc>
        <w:tc>
          <w:tcPr>
            <w:tcW w:w="919" w:type="dxa"/>
            <w:noWrap/>
            <w:hideMark/>
          </w:tcPr>
          <w:p w14:paraId="7D10AC04"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163</w:t>
            </w:r>
          </w:p>
        </w:tc>
        <w:tc>
          <w:tcPr>
            <w:tcW w:w="919" w:type="dxa"/>
            <w:noWrap/>
            <w:hideMark/>
          </w:tcPr>
          <w:p w14:paraId="03A42312"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2</w:t>
            </w:r>
          </w:p>
        </w:tc>
        <w:tc>
          <w:tcPr>
            <w:tcW w:w="698" w:type="dxa"/>
            <w:noWrap/>
            <w:hideMark/>
          </w:tcPr>
          <w:p w14:paraId="4AE228B4"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2109" w:type="dxa"/>
            <w:noWrap/>
            <w:hideMark/>
          </w:tcPr>
          <w:p w14:paraId="61405FF3"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JPMorgan</w:t>
            </w:r>
          </w:p>
        </w:tc>
      </w:tr>
      <w:tr w:rsidR="007928AB" w:rsidRPr="00064CC0" w14:paraId="544C9E6C" w14:textId="77777777" w:rsidTr="0036474B">
        <w:trPr>
          <w:trHeight w:val="300"/>
        </w:trPr>
        <w:tc>
          <w:tcPr>
            <w:cnfStyle w:val="001000000000" w:firstRow="0" w:lastRow="0" w:firstColumn="1" w:lastColumn="0" w:oddVBand="0" w:evenVBand="0" w:oddHBand="0" w:evenHBand="0" w:firstRowFirstColumn="0" w:firstRowLastColumn="0" w:lastRowFirstColumn="0" w:lastRowLastColumn="0"/>
            <w:tcW w:w="918" w:type="dxa"/>
            <w:noWrap/>
            <w:hideMark/>
          </w:tcPr>
          <w:p w14:paraId="100FCC50" w14:textId="77777777" w:rsidR="002539E8" w:rsidRPr="0036474B" w:rsidRDefault="002539E8">
            <w:pPr>
              <w:rPr>
                <w:rFonts w:ascii="Times New Roman" w:hAnsi="Times New Roman" w:cs="Times New Roman"/>
                <w:noProof/>
                <w:sz w:val="24"/>
                <w:szCs w:val="24"/>
              </w:rPr>
            </w:pPr>
            <w:r w:rsidRPr="0036474B">
              <w:rPr>
                <w:rFonts w:ascii="Times New Roman" w:hAnsi="Times New Roman" w:cs="Times New Roman"/>
                <w:noProof/>
                <w:sz w:val="24"/>
                <w:szCs w:val="24"/>
              </w:rPr>
              <w:t>3</w:t>
            </w:r>
          </w:p>
        </w:tc>
        <w:tc>
          <w:tcPr>
            <w:tcW w:w="637" w:type="dxa"/>
            <w:noWrap/>
            <w:hideMark/>
          </w:tcPr>
          <w:p w14:paraId="491DD887"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1842" w:type="dxa"/>
            <w:noWrap/>
            <w:hideMark/>
          </w:tcPr>
          <w:p w14:paraId="1908871D"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Morgan Stanley</w:t>
            </w:r>
          </w:p>
        </w:tc>
        <w:tc>
          <w:tcPr>
            <w:tcW w:w="742" w:type="dxa"/>
            <w:noWrap/>
            <w:hideMark/>
          </w:tcPr>
          <w:p w14:paraId="773435BA"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338.6</w:t>
            </w:r>
          </w:p>
        </w:tc>
        <w:tc>
          <w:tcPr>
            <w:tcW w:w="919" w:type="dxa"/>
            <w:noWrap/>
            <w:hideMark/>
          </w:tcPr>
          <w:p w14:paraId="28FE2ABD"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123</w:t>
            </w:r>
          </w:p>
        </w:tc>
        <w:tc>
          <w:tcPr>
            <w:tcW w:w="919" w:type="dxa"/>
            <w:noWrap/>
            <w:hideMark/>
          </w:tcPr>
          <w:p w14:paraId="39BA6C67"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3</w:t>
            </w:r>
          </w:p>
        </w:tc>
        <w:tc>
          <w:tcPr>
            <w:tcW w:w="698" w:type="dxa"/>
            <w:noWrap/>
            <w:hideMark/>
          </w:tcPr>
          <w:p w14:paraId="3FDD79CB"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2109" w:type="dxa"/>
            <w:noWrap/>
            <w:hideMark/>
          </w:tcPr>
          <w:p w14:paraId="2E963A70"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Morgan Stanley</w:t>
            </w:r>
          </w:p>
        </w:tc>
      </w:tr>
      <w:tr w:rsidR="00F307DE" w:rsidRPr="00064CC0" w14:paraId="46870259" w14:textId="77777777" w:rsidTr="0036474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noWrap/>
            <w:hideMark/>
          </w:tcPr>
          <w:p w14:paraId="1A6676DE" w14:textId="77777777" w:rsidR="002539E8" w:rsidRPr="0036474B" w:rsidRDefault="002539E8">
            <w:pPr>
              <w:rPr>
                <w:rFonts w:ascii="Times New Roman" w:hAnsi="Times New Roman" w:cs="Times New Roman"/>
                <w:noProof/>
                <w:sz w:val="24"/>
                <w:szCs w:val="24"/>
              </w:rPr>
            </w:pPr>
            <w:r w:rsidRPr="0036474B">
              <w:rPr>
                <w:rFonts w:ascii="Times New Roman" w:hAnsi="Times New Roman" w:cs="Times New Roman"/>
                <w:noProof/>
                <w:sz w:val="24"/>
                <w:szCs w:val="24"/>
              </w:rPr>
              <w:t>4</w:t>
            </w:r>
          </w:p>
        </w:tc>
        <w:tc>
          <w:tcPr>
            <w:tcW w:w="637" w:type="dxa"/>
            <w:noWrap/>
            <w:hideMark/>
          </w:tcPr>
          <w:p w14:paraId="67EAF01F"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1842" w:type="dxa"/>
            <w:noWrap/>
            <w:hideMark/>
          </w:tcPr>
          <w:p w14:paraId="3B0ACE6C"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BofA Securities</w:t>
            </w:r>
          </w:p>
        </w:tc>
        <w:tc>
          <w:tcPr>
            <w:tcW w:w="742" w:type="dxa"/>
            <w:noWrap/>
            <w:hideMark/>
          </w:tcPr>
          <w:p w14:paraId="289DD410"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269.7</w:t>
            </w:r>
          </w:p>
        </w:tc>
        <w:tc>
          <w:tcPr>
            <w:tcW w:w="919" w:type="dxa"/>
            <w:noWrap/>
            <w:hideMark/>
          </w:tcPr>
          <w:p w14:paraId="49DD2096"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121</w:t>
            </w:r>
          </w:p>
        </w:tc>
        <w:tc>
          <w:tcPr>
            <w:tcW w:w="919" w:type="dxa"/>
            <w:noWrap/>
            <w:hideMark/>
          </w:tcPr>
          <w:p w14:paraId="4337EBDD"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4</w:t>
            </w:r>
          </w:p>
        </w:tc>
        <w:tc>
          <w:tcPr>
            <w:tcW w:w="698" w:type="dxa"/>
            <w:noWrap/>
            <w:hideMark/>
          </w:tcPr>
          <w:p w14:paraId="5360612A"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2109" w:type="dxa"/>
            <w:noWrap/>
            <w:hideMark/>
          </w:tcPr>
          <w:p w14:paraId="337C66F8"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BofA Securities</w:t>
            </w:r>
          </w:p>
        </w:tc>
      </w:tr>
      <w:tr w:rsidR="007928AB" w:rsidRPr="00064CC0" w14:paraId="1DA6DB7E" w14:textId="77777777" w:rsidTr="0036474B">
        <w:trPr>
          <w:trHeight w:val="300"/>
        </w:trPr>
        <w:tc>
          <w:tcPr>
            <w:cnfStyle w:val="001000000000" w:firstRow="0" w:lastRow="0" w:firstColumn="1" w:lastColumn="0" w:oddVBand="0" w:evenVBand="0" w:oddHBand="0" w:evenHBand="0" w:firstRowFirstColumn="0" w:firstRowLastColumn="0" w:lastRowFirstColumn="0" w:lastRowLastColumn="0"/>
            <w:tcW w:w="918" w:type="dxa"/>
            <w:noWrap/>
            <w:hideMark/>
          </w:tcPr>
          <w:p w14:paraId="4471EA65" w14:textId="77777777" w:rsidR="002539E8" w:rsidRPr="0036474B" w:rsidRDefault="002539E8">
            <w:pPr>
              <w:rPr>
                <w:rFonts w:ascii="Times New Roman" w:hAnsi="Times New Roman" w:cs="Times New Roman"/>
                <w:noProof/>
                <w:sz w:val="24"/>
                <w:szCs w:val="24"/>
              </w:rPr>
            </w:pPr>
            <w:r w:rsidRPr="0036474B">
              <w:rPr>
                <w:rFonts w:ascii="Times New Roman" w:hAnsi="Times New Roman" w:cs="Times New Roman"/>
                <w:noProof/>
                <w:sz w:val="24"/>
                <w:szCs w:val="24"/>
              </w:rPr>
              <w:t>5</w:t>
            </w:r>
          </w:p>
        </w:tc>
        <w:tc>
          <w:tcPr>
            <w:tcW w:w="637" w:type="dxa"/>
            <w:noWrap/>
            <w:hideMark/>
          </w:tcPr>
          <w:p w14:paraId="613A0B44"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1842" w:type="dxa"/>
            <w:noWrap/>
            <w:hideMark/>
          </w:tcPr>
          <w:p w14:paraId="0ACF2319"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Citi</w:t>
            </w:r>
          </w:p>
        </w:tc>
        <w:tc>
          <w:tcPr>
            <w:tcW w:w="742" w:type="dxa"/>
            <w:noWrap/>
            <w:hideMark/>
          </w:tcPr>
          <w:p w14:paraId="47821F11"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197.3</w:t>
            </w:r>
          </w:p>
        </w:tc>
        <w:tc>
          <w:tcPr>
            <w:tcW w:w="919" w:type="dxa"/>
            <w:noWrap/>
            <w:hideMark/>
          </w:tcPr>
          <w:p w14:paraId="65EEB6BA"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94</w:t>
            </w:r>
          </w:p>
        </w:tc>
        <w:tc>
          <w:tcPr>
            <w:tcW w:w="919" w:type="dxa"/>
            <w:noWrap/>
            <w:hideMark/>
          </w:tcPr>
          <w:p w14:paraId="11E4D876"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5</w:t>
            </w:r>
          </w:p>
        </w:tc>
        <w:tc>
          <w:tcPr>
            <w:tcW w:w="698" w:type="dxa"/>
            <w:noWrap/>
            <w:hideMark/>
          </w:tcPr>
          <w:p w14:paraId="1350E702"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2109" w:type="dxa"/>
            <w:noWrap/>
            <w:hideMark/>
          </w:tcPr>
          <w:p w14:paraId="21BAFDC9"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Citi</w:t>
            </w:r>
          </w:p>
        </w:tc>
      </w:tr>
      <w:tr w:rsidR="00F307DE" w:rsidRPr="00064CC0" w14:paraId="6C31388E" w14:textId="77777777" w:rsidTr="0036474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noWrap/>
            <w:hideMark/>
          </w:tcPr>
          <w:p w14:paraId="253F3197" w14:textId="77777777" w:rsidR="002539E8" w:rsidRPr="0036474B" w:rsidRDefault="002539E8">
            <w:pPr>
              <w:rPr>
                <w:rFonts w:ascii="Times New Roman" w:hAnsi="Times New Roman" w:cs="Times New Roman"/>
                <w:noProof/>
                <w:sz w:val="24"/>
                <w:szCs w:val="24"/>
              </w:rPr>
            </w:pPr>
            <w:r w:rsidRPr="0036474B">
              <w:rPr>
                <w:rFonts w:ascii="Times New Roman" w:hAnsi="Times New Roman" w:cs="Times New Roman"/>
                <w:noProof/>
                <w:sz w:val="24"/>
                <w:szCs w:val="24"/>
              </w:rPr>
              <w:t>6</w:t>
            </w:r>
          </w:p>
        </w:tc>
        <w:tc>
          <w:tcPr>
            <w:tcW w:w="637" w:type="dxa"/>
            <w:noWrap/>
            <w:hideMark/>
          </w:tcPr>
          <w:p w14:paraId="045E25E8"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1842" w:type="dxa"/>
            <w:noWrap/>
            <w:hideMark/>
          </w:tcPr>
          <w:p w14:paraId="2AE0E3AA"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Lazard</w:t>
            </w:r>
          </w:p>
        </w:tc>
        <w:tc>
          <w:tcPr>
            <w:tcW w:w="742" w:type="dxa"/>
            <w:noWrap/>
            <w:hideMark/>
          </w:tcPr>
          <w:p w14:paraId="108AB4F2"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175.9</w:t>
            </w:r>
          </w:p>
        </w:tc>
        <w:tc>
          <w:tcPr>
            <w:tcW w:w="919" w:type="dxa"/>
            <w:noWrap/>
            <w:hideMark/>
          </w:tcPr>
          <w:p w14:paraId="344C66A1"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146</w:t>
            </w:r>
          </w:p>
        </w:tc>
        <w:tc>
          <w:tcPr>
            <w:tcW w:w="919" w:type="dxa"/>
            <w:noWrap/>
            <w:hideMark/>
          </w:tcPr>
          <w:p w14:paraId="720A0999"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6</w:t>
            </w:r>
          </w:p>
        </w:tc>
        <w:tc>
          <w:tcPr>
            <w:tcW w:w="698" w:type="dxa"/>
            <w:noWrap/>
            <w:hideMark/>
          </w:tcPr>
          <w:p w14:paraId="061F2DFE"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2109" w:type="dxa"/>
            <w:noWrap/>
            <w:hideMark/>
          </w:tcPr>
          <w:p w14:paraId="7534230A"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Evercore Inc</w:t>
            </w:r>
          </w:p>
        </w:tc>
      </w:tr>
      <w:tr w:rsidR="007928AB" w:rsidRPr="00064CC0" w14:paraId="10F002A0" w14:textId="77777777" w:rsidTr="0036474B">
        <w:trPr>
          <w:trHeight w:val="300"/>
        </w:trPr>
        <w:tc>
          <w:tcPr>
            <w:cnfStyle w:val="001000000000" w:firstRow="0" w:lastRow="0" w:firstColumn="1" w:lastColumn="0" w:oddVBand="0" w:evenVBand="0" w:oddHBand="0" w:evenHBand="0" w:firstRowFirstColumn="0" w:firstRowLastColumn="0" w:lastRowFirstColumn="0" w:lastRowLastColumn="0"/>
            <w:tcW w:w="918" w:type="dxa"/>
            <w:noWrap/>
            <w:hideMark/>
          </w:tcPr>
          <w:p w14:paraId="37539E97" w14:textId="77777777" w:rsidR="002539E8" w:rsidRPr="0036474B" w:rsidRDefault="002539E8">
            <w:pPr>
              <w:rPr>
                <w:rFonts w:ascii="Times New Roman" w:hAnsi="Times New Roman" w:cs="Times New Roman"/>
                <w:noProof/>
                <w:sz w:val="24"/>
                <w:szCs w:val="24"/>
              </w:rPr>
            </w:pPr>
            <w:r w:rsidRPr="0036474B">
              <w:rPr>
                <w:rFonts w:ascii="Times New Roman" w:hAnsi="Times New Roman" w:cs="Times New Roman"/>
                <w:noProof/>
                <w:sz w:val="24"/>
                <w:szCs w:val="24"/>
              </w:rPr>
              <w:t>7</w:t>
            </w:r>
          </w:p>
        </w:tc>
        <w:tc>
          <w:tcPr>
            <w:tcW w:w="637" w:type="dxa"/>
            <w:noWrap/>
            <w:hideMark/>
          </w:tcPr>
          <w:p w14:paraId="1DF7DC34"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EU</w:t>
            </w:r>
          </w:p>
        </w:tc>
        <w:tc>
          <w:tcPr>
            <w:tcW w:w="1842" w:type="dxa"/>
            <w:noWrap/>
            <w:hideMark/>
          </w:tcPr>
          <w:p w14:paraId="48C76618"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Rothschild &amp; Co</w:t>
            </w:r>
          </w:p>
        </w:tc>
        <w:tc>
          <w:tcPr>
            <w:tcW w:w="742" w:type="dxa"/>
            <w:noWrap/>
            <w:hideMark/>
          </w:tcPr>
          <w:p w14:paraId="24A49132"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166.8</w:t>
            </w:r>
          </w:p>
        </w:tc>
        <w:tc>
          <w:tcPr>
            <w:tcW w:w="919" w:type="dxa"/>
            <w:noWrap/>
            <w:hideMark/>
          </w:tcPr>
          <w:p w14:paraId="5862E2E9"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328</w:t>
            </w:r>
          </w:p>
        </w:tc>
        <w:tc>
          <w:tcPr>
            <w:tcW w:w="919" w:type="dxa"/>
            <w:noWrap/>
            <w:hideMark/>
          </w:tcPr>
          <w:p w14:paraId="64A7E3E0"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7</w:t>
            </w:r>
          </w:p>
        </w:tc>
        <w:tc>
          <w:tcPr>
            <w:tcW w:w="698" w:type="dxa"/>
            <w:noWrap/>
            <w:hideMark/>
          </w:tcPr>
          <w:p w14:paraId="17DE0369"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UK</w:t>
            </w:r>
          </w:p>
        </w:tc>
        <w:tc>
          <w:tcPr>
            <w:tcW w:w="2109" w:type="dxa"/>
            <w:noWrap/>
            <w:hideMark/>
          </w:tcPr>
          <w:p w14:paraId="3B35905D"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Barclays</w:t>
            </w:r>
          </w:p>
        </w:tc>
      </w:tr>
      <w:tr w:rsidR="00F307DE" w:rsidRPr="00064CC0" w14:paraId="73DBA1D9" w14:textId="77777777" w:rsidTr="0036474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noWrap/>
            <w:hideMark/>
          </w:tcPr>
          <w:p w14:paraId="62A16880" w14:textId="77777777" w:rsidR="002539E8" w:rsidRPr="0036474B" w:rsidRDefault="002539E8">
            <w:pPr>
              <w:rPr>
                <w:rFonts w:ascii="Times New Roman" w:hAnsi="Times New Roman" w:cs="Times New Roman"/>
                <w:noProof/>
                <w:sz w:val="24"/>
                <w:szCs w:val="24"/>
              </w:rPr>
            </w:pPr>
            <w:r w:rsidRPr="0036474B">
              <w:rPr>
                <w:rFonts w:ascii="Times New Roman" w:hAnsi="Times New Roman" w:cs="Times New Roman"/>
                <w:noProof/>
                <w:sz w:val="24"/>
                <w:szCs w:val="24"/>
              </w:rPr>
              <w:t>8</w:t>
            </w:r>
          </w:p>
        </w:tc>
        <w:tc>
          <w:tcPr>
            <w:tcW w:w="637" w:type="dxa"/>
            <w:noWrap/>
            <w:hideMark/>
          </w:tcPr>
          <w:p w14:paraId="6532CF10"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EU</w:t>
            </w:r>
          </w:p>
        </w:tc>
        <w:tc>
          <w:tcPr>
            <w:tcW w:w="1842" w:type="dxa"/>
            <w:noWrap/>
            <w:hideMark/>
          </w:tcPr>
          <w:p w14:paraId="693E8D79"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BNP Paribas</w:t>
            </w:r>
          </w:p>
        </w:tc>
        <w:tc>
          <w:tcPr>
            <w:tcW w:w="742" w:type="dxa"/>
            <w:noWrap/>
            <w:hideMark/>
          </w:tcPr>
          <w:p w14:paraId="1FC6540B"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145.6</w:t>
            </w:r>
          </w:p>
        </w:tc>
        <w:tc>
          <w:tcPr>
            <w:tcW w:w="919" w:type="dxa"/>
            <w:noWrap/>
            <w:hideMark/>
          </w:tcPr>
          <w:p w14:paraId="1692F1DB"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116</w:t>
            </w:r>
          </w:p>
        </w:tc>
        <w:tc>
          <w:tcPr>
            <w:tcW w:w="919" w:type="dxa"/>
            <w:noWrap/>
            <w:hideMark/>
          </w:tcPr>
          <w:p w14:paraId="1E551974"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8</w:t>
            </w:r>
          </w:p>
        </w:tc>
        <w:tc>
          <w:tcPr>
            <w:tcW w:w="698" w:type="dxa"/>
            <w:noWrap/>
            <w:hideMark/>
          </w:tcPr>
          <w:p w14:paraId="41BE4823"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2109" w:type="dxa"/>
            <w:noWrap/>
            <w:hideMark/>
          </w:tcPr>
          <w:p w14:paraId="3BE24E1E"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Centerview Partners</w:t>
            </w:r>
          </w:p>
        </w:tc>
      </w:tr>
      <w:tr w:rsidR="007928AB" w:rsidRPr="00064CC0" w14:paraId="6AD8FD54" w14:textId="77777777" w:rsidTr="0036474B">
        <w:trPr>
          <w:trHeight w:val="300"/>
        </w:trPr>
        <w:tc>
          <w:tcPr>
            <w:cnfStyle w:val="001000000000" w:firstRow="0" w:lastRow="0" w:firstColumn="1" w:lastColumn="0" w:oddVBand="0" w:evenVBand="0" w:oddHBand="0" w:evenHBand="0" w:firstRowFirstColumn="0" w:firstRowLastColumn="0" w:lastRowFirstColumn="0" w:lastRowLastColumn="0"/>
            <w:tcW w:w="918" w:type="dxa"/>
            <w:noWrap/>
            <w:hideMark/>
          </w:tcPr>
          <w:p w14:paraId="4BDCF093" w14:textId="77777777" w:rsidR="002539E8" w:rsidRPr="0036474B" w:rsidRDefault="002539E8">
            <w:pPr>
              <w:rPr>
                <w:rFonts w:ascii="Times New Roman" w:hAnsi="Times New Roman" w:cs="Times New Roman"/>
                <w:noProof/>
                <w:sz w:val="24"/>
                <w:szCs w:val="24"/>
              </w:rPr>
            </w:pPr>
            <w:r w:rsidRPr="0036474B">
              <w:rPr>
                <w:rFonts w:ascii="Times New Roman" w:hAnsi="Times New Roman" w:cs="Times New Roman"/>
                <w:noProof/>
                <w:sz w:val="24"/>
                <w:szCs w:val="24"/>
              </w:rPr>
              <w:t>9</w:t>
            </w:r>
          </w:p>
        </w:tc>
        <w:tc>
          <w:tcPr>
            <w:tcW w:w="637" w:type="dxa"/>
            <w:noWrap/>
            <w:hideMark/>
          </w:tcPr>
          <w:p w14:paraId="76062339"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CH</w:t>
            </w:r>
          </w:p>
        </w:tc>
        <w:tc>
          <w:tcPr>
            <w:tcW w:w="1842" w:type="dxa"/>
            <w:noWrap/>
            <w:hideMark/>
          </w:tcPr>
          <w:p w14:paraId="64822A28"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UBS</w:t>
            </w:r>
          </w:p>
        </w:tc>
        <w:tc>
          <w:tcPr>
            <w:tcW w:w="742" w:type="dxa"/>
            <w:noWrap/>
            <w:hideMark/>
          </w:tcPr>
          <w:p w14:paraId="70982276"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140.4</w:t>
            </w:r>
          </w:p>
        </w:tc>
        <w:tc>
          <w:tcPr>
            <w:tcW w:w="919" w:type="dxa"/>
            <w:noWrap/>
            <w:hideMark/>
          </w:tcPr>
          <w:p w14:paraId="176EF238"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103</w:t>
            </w:r>
          </w:p>
        </w:tc>
        <w:tc>
          <w:tcPr>
            <w:tcW w:w="919" w:type="dxa"/>
            <w:noWrap/>
            <w:hideMark/>
          </w:tcPr>
          <w:p w14:paraId="164F10CF"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9</w:t>
            </w:r>
          </w:p>
        </w:tc>
        <w:tc>
          <w:tcPr>
            <w:tcW w:w="698" w:type="dxa"/>
            <w:noWrap/>
            <w:hideMark/>
          </w:tcPr>
          <w:p w14:paraId="72448D18"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2109" w:type="dxa"/>
            <w:noWrap/>
            <w:hideMark/>
          </w:tcPr>
          <w:p w14:paraId="4AE5BEE4" w14:textId="77777777" w:rsidR="002539E8" w:rsidRPr="0036474B" w:rsidRDefault="002539E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Wells Fargo</w:t>
            </w:r>
          </w:p>
        </w:tc>
      </w:tr>
      <w:tr w:rsidR="00F307DE" w:rsidRPr="00064CC0" w14:paraId="4CF6BBBE" w14:textId="77777777" w:rsidTr="0036474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noWrap/>
            <w:hideMark/>
          </w:tcPr>
          <w:p w14:paraId="217B6AD1" w14:textId="77777777" w:rsidR="002539E8" w:rsidRPr="0036474B" w:rsidRDefault="002539E8">
            <w:pPr>
              <w:rPr>
                <w:rFonts w:ascii="Times New Roman" w:hAnsi="Times New Roman" w:cs="Times New Roman"/>
                <w:noProof/>
                <w:sz w:val="24"/>
                <w:szCs w:val="24"/>
              </w:rPr>
            </w:pPr>
            <w:r w:rsidRPr="0036474B">
              <w:rPr>
                <w:rFonts w:ascii="Times New Roman" w:hAnsi="Times New Roman" w:cs="Times New Roman"/>
                <w:noProof/>
                <w:sz w:val="24"/>
                <w:szCs w:val="24"/>
              </w:rPr>
              <w:t>10</w:t>
            </w:r>
          </w:p>
        </w:tc>
        <w:tc>
          <w:tcPr>
            <w:tcW w:w="637" w:type="dxa"/>
            <w:noWrap/>
            <w:hideMark/>
          </w:tcPr>
          <w:p w14:paraId="16BD8B9A"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UK</w:t>
            </w:r>
          </w:p>
        </w:tc>
        <w:tc>
          <w:tcPr>
            <w:tcW w:w="1842" w:type="dxa"/>
            <w:noWrap/>
            <w:hideMark/>
          </w:tcPr>
          <w:p w14:paraId="00A144DA"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Barclays</w:t>
            </w:r>
          </w:p>
        </w:tc>
        <w:tc>
          <w:tcPr>
            <w:tcW w:w="742" w:type="dxa"/>
            <w:noWrap/>
            <w:hideMark/>
          </w:tcPr>
          <w:p w14:paraId="45DB119F"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139.4</w:t>
            </w:r>
          </w:p>
        </w:tc>
        <w:tc>
          <w:tcPr>
            <w:tcW w:w="919" w:type="dxa"/>
            <w:noWrap/>
            <w:hideMark/>
          </w:tcPr>
          <w:p w14:paraId="003FE3F9"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67</w:t>
            </w:r>
          </w:p>
        </w:tc>
        <w:tc>
          <w:tcPr>
            <w:tcW w:w="919" w:type="dxa"/>
            <w:noWrap/>
            <w:hideMark/>
          </w:tcPr>
          <w:p w14:paraId="2E1972EB"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10</w:t>
            </w:r>
          </w:p>
        </w:tc>
        <w:tc>
          <w:tcPr>
            <w:tcW w:w="698" w:type="dxa"/>
            <w:noWrap/>
            <w:hideMark/>
          </w:tcPr>
          <w:p w14:paraId="215A6256"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CH</w:t>
            </w:r>
          </w:p>
        </w:tc>
        <w:tc>
          <w:tcPr>
            <w:tcW w:w="2109" w:type="dxa"/>
            <w:noWrap/>
            <w:hideMark/>
          </w:tcPr>
          <w:p w14:paraId="237B519D" w14:textId="77777777" w:rsidR="002539E8" w:rsidRPr="0036474B" w:rsidRDefault="002539E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UBS</w:t>
            </w:r>
          </w:p>
        </w:tc>
      </w:tr>
    </w:tbl>
    <w:p w14:paraId="0BDF85F4" w14:textId="75B210B1" w:rsidR="00B41081" w:rsidRPr="0036474B" w:rsidRDefault="005F34FC" w:rsidP="00A86529">
      <w:pPr>
        <w:jc w:val="both"/>
        <w:rPr>
          <w:rFonts w:ascii="Times New Roman" w:hAnsi="Times New Roman" w:cs="Times New Roman"/>
          <w:i/>
          <w:iCs/>
          <w:noProof/>
          <w:sz w:val="24"/>
          <w:szCs w:val="24"/>
          <w:lang w:val="en-GB"/>
        </w:rPr>
      </w:pPr>
      <w:r w:rsidRPr="0036474B">
        <w:rPr>
          <w:rFonts w:ascii="Times New Roman" w:hAnsi="Times New Roman" w:cs="Times New Roman"/>
          <w:i/>
          <w:iCs/>
          <w:noProof/>
          <w:sz w:val="24"/>
          <w:szCs w:val="24"/>
          <w:lang w:val="en-GB"/>
        </w:rPr>
        <w:t xml:space="preserve">Source: Dealogic </w:t>
      </w:r>
    </w:p>
    <w:p w14:paraId="4C11193B" w14:textId="21F2DAE1" w:rsidR="00C16BDF" w:rsidRPr="00824CC7" w:rsidRDefault="00C16BDF" w:rsidP="00C16BDF">
      <w:pPr>
        <w:pStyle w:val="Caption"/>
        <w:keepNext/>
        <w:rPr>
          <w:rFonts w:ascii="Times New Roman" w:hAnsi="Times New Roman" w:cs="Times New Roman"/>
          <w:noProof/>
          <w:color w:val="auto"/>
          <w:sz w:val="24"/>
          <w:szCs w:val="24"/>
        </w:rPr>
      </w:pPr>
      <w:r w:rsidRPr="00824CC7">
        <w:rPr>
          <w:rFonts w:ascii="Times New Roman" w:hAnsi="Times New Roman" w:cs="Times New Roman"/>
          <w:noProof/>
          <w:color w:val="auto"/>
          <w:sz w:val="24"/>
          <w:szCs w:val="24"/>
        </w:rPr>
        <w:t xml:space="preserve">Table </w:t>
      </w:r>
      <w:r w:rsidR="00824CC7" w:rsidRPr="00824CC7">
        <w:rPr>
          <w:rFonts w:ascii="Times New Roman" w:hAnsi="Times New Roman" w:cs="Times New Roman"/>
          <w:noProof/>
          <w:color w:val="auto"/>
          <w:sz w:val="24"/>
          <w:szCs w:val="24"/>
        </w:rPr>
        <w:t>2</w:t>
      </w:r>
      <w:r w:rsidRPr="00824CC7">
        <w:rPr>
          <w:rFonts w:ascii="Times New Roman" w:hAnsi="Times New Roman" w:cs="Times New Roman"/>
          <w:noProof/>
          <w:color w:val="auto"/>
          <w:sz w:val="24"/>
          <w:szCs w:val="24"/>
        </w:rPr>
        <w:t xml:space="preserve"> - Debt Capital Markets (DCM) Bookrunner Ranking</w:t>
      </w:r>
    </w:p>
    <w:tbl>
      <w:tblPr>
        <w:tblStyle w:val="PlainTable1"/>
        <w:tblW w:w="0" w:type="auto"/>
        <w:tblLook w:val="04A0" w:firstRow="1" w:lastRow="0" w:firstColumn="1" w:lastColumn="0" w:noHBand="0" w:noVBand="1"/>
      </w:tblPr>
      <w:tblGrid>
        <w:gridCol w:w="777"/>
        <w:gridCol w:w="705"/>
        <w:gridCol w:w="1852"/>
        <w:gridCol w:w="1056"/>
        <w:gridCol w:w="756"/>
        <w:gridCol w:w="723"/>
        <w:gridCol w:w="729"/>
        <w:gridCol w:w="2186"/>
      </w:tblGrid>
      <w:tr w:rsidR="00E36AA4" w:rsidRPr="00064CC0" w14:paraId="5DA3178A" w14:textId="77777777" w:rsidTr="0036474B">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46" w:type="dxa"/>
            <w:gridSpan w:val="5"/>
            <w:noWrap/>
            <w:hideMark/>
          </w:tcPr>
          <w:p w14:paraId="1544C23C" w14:textId="77777777" w:rsidR="00E36AA4" w:rsidRPr="0036474B" w:rsidRDefault="00E36AA4">
            <w:pPr>
              <w:rPr>
                <w:rFonts w:ascii="Times New Roman" w:hAnsi="Times New Roman" w:cs="Times New Roman"/>
                <w:noProof/>
                <w:sz w:val="24"/>
                <w:szCs w:val="24"/>
              </w:rPr>
            </w:pPr>
            <w:r w:rsidRPr="0036474B">
              <w:rPr>
                <w:rFonts w:ascii="Times New Roman" w:hAnsi="Times New Roman" w:cs="Times New Roman"/>
                <w:noProof/>
                <w:sz w:val="24"/>
                <w:szCs w:val="24"/>
              </w:rPr>
              <w:t>Europe</w:t>
            </w:r>
          </w:p>
        </w:tc>
        <w:tc>
          <w:tcPr>
            <w:tcW w:w="3638" w:type="dxa"/>
            <w:gridSpan w:val="3"/>
            <w:noWrap/>
            <w:hideMark/>
          </w:tcPr>
          <w:p w14:paraId="09DC25CE" w14:textId="77777777" w:rsidR="00E36AA4" w:rsidRPr="0036474B" w:rsidRDefault="00E36AA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Global</w:t>
            </w:r>
          </w:p>
        </w:tc>
      </w:tr>
      <w:tr w:rsidR="00F307DE" w:rsidRPr="00064CC0" w14:paraId="7990F277" w14:textId="77777777" w:rsidTr="0036474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7" w:type="dxa"/>
            <w:noWrap/>
            <w:hideMark/>
          </w:tcPr>
          <w:p w14:paraId="54CB02D1" w14:textId="77777777" w:rsidR="00E36AA4" w:rsidRPr="0036474B" w:rsidRDefault="00E36AA4">
            <w:pPr>
              <w:rPr>
                <w:rFonts w:ascii="Times New Roman" w:hAnsi="Times New Roman" w:cs="Times New Roman"/>
                <w:noProof/>
                <w:sz w:val="24"/>
                <w:szCs w:val="24"/>
              </w:rPr>
            </w:pPr>
            <w:r w:rsidRPr="0036474B">
              <w:rPr>
                <w:rFonts w:ascii="Times New Roman" w:hAnsi="Times New Roman" w:cs="Times New Roman"/>
                <w:noProof/>
                <w:sz w:val="24"/>
                <w:szCs w:val="24"/>
              </w:rPr>
              <w:t>Rank</w:t>
            </w:r>
          </w:p>
        </w:tc>
        <w:tc>
          <w:tcPr>
            <w:tcW w:w="705" w:type="dxa"/>
            <w:noWrap/>
            <w:hideMark/>
          </w:tcPr>
          <w:p w14:paraId="0B37E52B"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HQ</w:t>
            </w:r>
          </w:p>
        </w:tc>
        <w:tc>
          <w:tcPr>
            <w:tcW w:w="1852" w:type="dxa"/>
            <w:noWrap/>
            <w:hideMark/>
          </w:tcPr>
          <w:p w14:paraId="7A5F62E8"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Bookrunner</w:t>
            </w:r>
          </w:p>
        </w:tc>
        <w:tc>
          <w:tcPr>
            <w:tcW w:w="1056" w:type="dxa"/>
            <w:noWrap/>
            <w:hideMark/>
          </w:tcPr>
          <w:p w14:paraId="386258A4"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Value $bn</w:t>
            </w:r>
          </w:p>
        </w:tc>
        <w:tc>
          <w:tcPr>
            <w:tcW w:w="756" w:type="dxa"/>
            <w:noWrap/>
            <w:hideMark/>
          </w:tcPr>
          <w:p w14:paraId="2FEF56E2"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 deals</w:t>
            </w:r>
          </w:p>
        </w:tc>
        <w:tc>
          <w:tcPr>
            <w:tcW w:w="723" w:type="dxa"/>
            <w:noWrap/>
            <w:hideMark/>
          </w:tcPr>
          <w:p w14:paraId="0BE4E4A3"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Rank</w:t>
            </w:r>
          </w:p>
        </w:tc>
        <w:tc>
          <w:tcPr>
            <w:tcW w:w="729" w:type="dxa"/>
            <w:noWrap/>
            <w:hideMark/>
          </w:tcPr>
          <w:p w14:paraId="6723EE18"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HQ</w:t>
            </w:r>
          </w:p>
        </w:tc>
        <w:tc>
          <w:tcPr>
            <w:tcW w:w="2186" w:type="dxa"/>
            <w:noWrap/>
            <w:hideMark/>
          </w:tcPr>
          <w:p w14:paraId="6872075A"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Bookrunner</w:t>
            </w:r>
          </w:p>
        </w:tc>
      </w:tr>
      <w:tr w:rsidR="00E36AA4" w:rsidRPr="00064CC0" w14:paraId="10735005" w14:textId="77777777" w:rsidTr="0036474B">
        <w:trPr>
          <w:trHeight w:val="300"/>
        </w:trPr>
        <w:tc>
          <w:tcPr>
            <w:cnfStyle w:val="001000000000" w:firstRow="0" w:lastRow="0" w:firstColumn="1" w:lastColumn="0" w:oddVBand="0" w:evenVBand="0" w:oddHBand="0" w:evenHBand="0" w:firstRowFirstColumn="0" w:firstRowLastColumn="0" w:lastRowFirstColumn="0" w:lastRowLastColumn="0"/>
            <w:tcW w:w="777" w:type="dxa"/>
            <w:noWrap/>
            <w:hideMark/>
          </w:tcPr>
          <w:p w14:paraId="48B2B937" w14:textId="77777777" w:rsidR="00E36AA4" w:rsidRPr="0036474B" w:rsidRDefault="00E36AA4">
            <w:pPr>
              <w:rPr>
                <w:rFonts w:ascii="Times New Roman" w:hAnsi="Times New Roman" w:cs="Times New Roman"/>
                <w:noProof/>
                <w:sz w:val="24"/>
                <w:szCs w:val="24"/>
              </w:rPr>
            </w:pPr>
            <w:r w:rsidRPr="0036474B">
              <w:rPr>
                <w:rFonts w:ascii="Times New Roman" w:hAnsi="Times New Roman" w:cs="Times New Roman"/>
                <w:noProof/>
                <w:sz w:val="24"/>
                <w:szCs w:val="24"/>
              </w:rPr>
              <w:t>1</w:t>
            </w:r>
          </w:p>
        </w:tc>
        <w:tc>
          <w:tcPr>
            <w:tcW w:w="705" w:type="dxa"/>
            <w:hideMark/>
          </w:tcPr>
          <w:p w14:paraId="0B7841BC"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EU</w:t>
            </w:r>
          </w:p>
        </w:tc>
        <w:tc>
          <w:tcPr>
            <w:tcW w:w="1852" w:type="dxa"/>
            <w:noWrap/>
            <w:hideMark/>
          </w:tcPr>
          <w:p w14:paraId="1F7E791A"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BNP Paribas</w:t>
            </w:r>
          </w:p>
        </w:tc>
        <w:tc>
          <w:tcPr>
            <w:tcW w:w="1056" w:type="dxa"/>
            <w:noWrap/>
            <w:hideMark/>
          </w:tcPr>
          <w:p w14:paraId="51F8AFF0"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197.61</w:t>
            </w:r>
          </w:p>
        </w:tc>
        <w:tc>
          <w:tcPr>
            <w:tcW w:w="756" w:type="dxa"/>
            <w:noWrap/>
            <w:hideMark/>
          </w:tcPr>
          <w:p w14:paraId="4C826DB1"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833</w:t>
            </w:r>
          </w:p>
        </w:tc>
        <w:tc>
          <w:tcPr>
            <w:tcW w:w="723" w:type="dxa"/>
            <w:noWrap/>
            <w:hideMark/>
          </w:tcPr>
          <w:p w14:paraId="42B70188"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w:t>
            </w:r>
          </w:p>
        </w:tc>
        <w:tc>
          <w:tcPr>
            <w:tcW w:w="729" w:type="dxa"/>
            <w:noWrap/>
            <w:hideMark/>
          </w:tcPr>
          <w:p w14:paraId="01C29D45"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2186" w:type="dxa"/>
            <w:noWrap/>
            <w:hideMark/>
          </w:tcPr>
          <w:p w14:paraId="221811E5"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JPMorgan</w:t>
            </w:r>
          </w:p>
        </w:tc>
      </w:tr>
      <w:tr w:rsidR="00F307DE" w:rsidRPr="00064CC0" w14:paraId="0A348DCC" w14:textId="77777777" w:rsidTr="0036474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7" w:type="dxa"/>
            <w:noWrap/>
            <w:hideMark/>
          </w:tcPr>
          <w:p w14:paraId="32D1816C" w14:textId="77777777" w:rsidR="00E36AA4" w:rsidRPr="0036474B" w:rsidRDefault="00E36AA4">
            <w:pPr>
              <w:rPr>
                <w:rFonts w:ascii="Times New Roman" w:hAnsi="Times New Roman" w:cs="Times New Roman"/>
                <w:noProof/>
                <w:sz w:val="24"/>
                <w:szCs w:val="24"/>
              </w:rPr>
            </w:pPr>
            <w:r w:rsidRPr="0036474B">
              <w:rPr>
                <w:rFonts w:ascii="Times New Roman" w:hAnsi="Times New Roman" w:cs="Times New Roman"/>
                <w:noProof/>
                <w:sz w:val="24"/>
                <w:szCs w:val="24"/>
              </w:rPr>
              <w:t>2</w:t>
            </w:r>
          </w:p>
        </w:tc>
        <w:tc>
          <w:tcPr>
            <w:tcW w:w="705" w:type="dxa"/>
            <w:noWrap/>
            <w:hideMark/>
          </w:tcPr>
          <w:p w14:paraId="2A5EC927"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1852" w:type="dxa"/>
            <w:noWrap/>
            <w:hideMark/>
          </w:tcPr>
          <w:p w14:paraId="1157AA7F"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JPMorgan</w:t>
            </w:r>
          </w:p>
        </w:tc>
        <w:tc>
          <w:tcPr>
            <w:tcW w:w="1056" w:type="dxa"/>
            <w:noWrap/>
            <w:hideMark/>
          </w:tcPr>
          <w:p w14:paraId="6B348EFE"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163.84</w:t>
            </w:r>
          </w:p>
        </w:tc>
        <w:tc>
          <w:tcPr>
            <w:tcW w:w="756" w:type="dxa"/>
            <w:noWrap/>
            <w:hideMark/>
          </w:tcPr>
          <w:p w14:paraId="5A5EA3B4"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645</w:t>
            </w:r>
          </w:p>
        </w:tc>
        <w:tc>
          <w:tcPr>
            <w:tcW w:w="723" w:type="dxa"/>
            <w:noWrap/>
            <w:hideMark/>
          </w:tcPr>
          <w:p w14:paraId="7BBB0CEC"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2</w:t>
            </w:r>
          </w:p>
        </w:tc>
        <w:tc>
          <w:tcPr>
            <w:tcW w:w="729" w:type="dxa"/>
            <w:noWrap/>
            <w:hideMark/>
          </w:tcPr>
          <w:p w14:paraId="51EBC673"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2186" w:type="dxa"/>
            <w:noWrap/>
            <w:hideMark/>
          </w:tcPr>
          <w:p w14:paraId="5D290869"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Citi</w:t>
            </w:r>
          </w:p>
        </w:tc>
      </w:tr>
      <w:tr w:rsidR="00E36AA4" w:rsidRPr="00064CC0" w14:paraId="658B0108" w14:textId="77777777" w:rsidTr="0036474B">
        <w:trPr>
          <w:trHeight w:val="300"/>
        </w:trPr>
        <w:tc>
          <w:tcPr>
            <w:cnfStyle w:val="001000000000" w:firstRow="0" w:lastRow="0" w:firstColumn="1" w:lastColumn="0" w:oddVBand="0" w:evenVBand="0" w:oddHBand="0" w:evenHBand="0" w:firstRowFirstColumn="0" w:firstRowLastColumn="0" w:lastRowFirstColumn="0" w:lastRowLastColumn="0"/>
            <w:tcW w:w="777" w:type="dxa"/>
            <w:noWrap/>
            <w:hideMark/>
          </w:tcPr>
          <w:p w14:paraId="1D3082EF" w14:textId="77777777" w:rsidR="00E36AA4" w:rsidRPr="0036474B" w:rsidRDefault="00E36AA4">
            <w:pPr>
              <w:rPr>
                <w:rFonts w:ascii="Times New Roman" w:hAnsi="Times New Roman" w:cs="Times New Roman"/>
                <w:noProof/>
                <w:sz w:val="24"/>
                <w:szCs w:val="24"/>
              </w:rPr>
            </w:pPr>
            <w:r w:rsidRPr="0036474B">
              <w:rPr>
                <w:rFonts w:ascii="Times New Roman" w:hAnsi="Times New Roman" w:cs="Times New Roman"/>
                <w:noProof/>
                <w:sz w:val="24"/>
                <w:szCs w:val="24"/>
              </w:rPr>
              <w:t>3</w:t>
            </w:r>
          </w:p>
        </w:tc>
        <w:tc>
          <w:tcPr>
            <w:tcW w:w="705" w:type="dxa"/>
            <w:hideMark/>
          </w:tcPr>
          <w:p w14:paraId="691BCAA9"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EU</w:t>
            </w:r>
          </w:p>
        </w:tc>
        <w:tc>
          <w:tcPr>
            <w:tcW w:w="1852" w:type="dxa"/>
            <w:noWrap/>
            <w:hideMark/>
          </w:tcPr>
          <w:p w14:paraId="6A3AAC4E"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Deutsche Bank</w:t>
            </w:r>
          </w:p>
        </w:tc>
        <w:tc>
          <w:tcPr>
            <w:tcW w:w="1056" w:type="dxa"/>
            <w:noWrap/>
            <w:hideMark/>
          </w:tcPr>
          <w:p w14:paraId="67F1104A"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155.84</w:t>
            </w:r>
          </w:p>
        </w:tc>
        <w:tc>
          <w:tcPr>
            <w:tcW w:w="756" w:type="dxa"/>
            <w:noWrap/>
            <w:hideMark/>
          </w:tcPr>
          <w:p w14:paraId="260ACC90"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598</w:t>
            </w:r>
          </w:p>
        </w:tc>
        <w:tc>
          <w:tcPr>
            <w:tcW w:w="723" w:type="dxa"/>
            <w:noWrap/>
            <w:hideMark/>
          </w:tcPr>
          <w:p w14:paraId="07567673"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3</w:t>
            </w:r>
          </w:p>
        </w:tc>
        <w:tc>
          <w:tcPr>
            <w:tcW w:w="729" w:type="dxa"/>
            <w:noWrap/>
            <w:hideMark/>
          </w:tcPr>
          <w:p w14:paraId="1B0ACDDB"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2186" w:type="dxa"/>
            <w:noWrap/>
            <w:hideMark/>
          </w:tcPr>
          <w:p w14:paraId="08880741"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BofA Securities</w:t>
            </w:r>
          </w:p>
        </w:tc>
      </w:tr>
      <w:tr w:rsidR="00F307DE" w:rsidRPr="00064CC0" w14:paraId="0C90CB49" w14:textId="77777777" w:rsidTr="0036474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7" w:type="dxa"/>
            <w:noWrap/>
            <w:hideMark/>
          </w:tcPr>
          <w:p w14:paraId="20B3877E" w14:textId="77777777" w:rsidR="00E36AA4" w:rsidRPr="0036474B" w:rsidRDefault="00E36AA4">
            <w:pPr>
              <w:rPr>
                <w:rFonts w:ascii="Times New Roman" w:hAnsi="Times New Roman" w:cs="Times New Roman"/>
                <w:noProof/>
                <w:sz w:val="24"/>
                <w:szCs w:val="24"/>
              </w:rPr>
            </w:pPr>
            <w:r w:rsidRPr="0036474B">
              <w:rPr>
                <w:rFonts w:ascii="Times New Roman" w:hAnsi="Times New Roman" w:cs="Times New Roman"/>
                <w:noProof/>
                <w:sz w:val="24"/>
                <w:szCs w:val="24"/>
              </w:rPr>
              <w:t>4</w:t>
            </w:r>
          </w:p>
        </w:tc>
        <w:tc>
          <w:tcPr>
            <w:tcW w:w="705" w:type="dxa"/>
            <w:noWrap/>
            <w:hideMark/>
          </w:tcPr>
          <w:p w14:paraId="2261C2B8"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UK</w:t>
            </w:r>
          </w:p>
        </w:tc>
        <w:tc>
          <w:tcPr>
            <w:tcW w:w="1852" w:type="dxa"/>
            <w:noWrap/>
            <w:hideMark/>
          </w:tcPr>
          <w:p w14:paraId="1B77CD6F"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Barclays</w:t>
            </w:r>
          </w:p>
        </w:tc>
        <w:tc>
          <w:tcPr>
            <w:tcW w:w="1056" w:type="dxa"/>
            <w:noWrap/>
            <w:hideMark/>
          </w:tcPr>
          <w:p w14:paraId="5E10E4D4"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146.95</w:t>
            </w:r>
          </w:p>
        </w:tc>
        <w:tc>
          <w:tcPr>
            <w:tcW w:w="756" w:type="dxa"/>
            <w:noWrap/>
            <w:hideMark/>
          </w:tcPr>
          <w:p w14:paraId="49277A1F"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725</w:t>
            </w:r>
          </w:p>
        </w:tc>
        <w:tc>
          <w:tcPr>
            <w:tcW w:w="723" w:type="dxa"/>
            <w:noWrap/>
            <w:hideMark/>
          </w:tcPr>
          <w:p w14:paraId="0A84E0B0"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4</w:t>
            </w:r>
          </w:p>
        </w:tc>
        <w:tc>
          <w:tcPr>
            <w:tcW w:w="729" w:type="dxa"/>
            <w:noWrap/>
            <w:hideMark/>
          </w:tcPr>
          <w:p w14:paraId="26AC8938"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2186" w:type="dxa"/>
            <w:noWrap/>
            <w:hideMark/>
          </w:tcPr>
          <w:p w14:paraId="4418F58C"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Morgan Stanley</w:t>
            </w:r>
          </w:p>
        </w:tc>
      </w:tr>
      <w:tr w:rsidR="00E36AA4" w:rsidRPr="00064CC0" w14:paraId="2751EEFF" w14:textId="77777777" w:rsidTr="0036474B">
        <w:trPr>
          <w:trHeight w:val="300"/>
        </w:trPr>
        <w:tc>
          <w:tcPr>
            <w:cnfStyle w:val="001000000000" w:firstRow="0" w:lastRow="0" w:firstColumn="1" w:lastColumn="0" w:oddVBand="0" w:evenVBand="0" w:oddHBand="0" w:evenHBand="0" w:firstRowFirstColumn="0" w:firstRowLastColumn="0" w:lastRowFirstColumn="0" w:lastRowLastColumn="0"/>
            <w:tcW w:w="777" w:type="dxa"/>
            <w:noWrap/>
            <w:hideMark/>
          </w:tcPr>
          <w:p w14:paraId="29D377AD" w14:textId="77777777" w:rsidR="00E36AA4" w:rsidRPr="0036474B" w:rsidRDefault="00E36AA4">
            <w:pPr>
              <w:rPr>
                <w:rFonts w:ascii="Times New Roman" w:hAnsi="Times New Roman" w:cs="Times New Roman"/>
                <w:noProof/>
                <w:sz w:val="24"/>
                <w:szCs w:val="24"/>
              </w:rPr>
            </w:pPr>
            <w:r w:rsidRPr="0036474B">
              <w:rPr>
                <w:rFonts w:ascii="Times New Roman" w:hAnsi="Times New Roman" w:cs="Times New Roman"/>
                <w:noProof/>
                <w:sz w:val="24"/>
                <w:szCs w:val="24"/>
              </w:rPr>
              <w:t>5</w:t>
            </w:r>
          </w:p>
        </w:tc>
        <w:tc>
          <w:tcPr>
            <w:tcW w:w="705" w:type="dxa"/>
            <w:hideMark/>
          </w:tcPr>
          <w:p w14:paraId="30A2FE9E"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1852" w:type="dxa"/>
            <w:noWrap/>
            <w:hideMark/>
          </w:tcPr>
          <w:p w14:paraId="780EB3E9"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Citi</w:t>
            </w:r>
          </w:p>
        </w:tc>
        <w:tc>
          <w:tcPr>
            <w:tcW w:w="1056" w:type="dxa"/>
            <w:noWrap/>
            <w:hideMark/>
          </w:tcPr>
          <w:p w14:paraId="6718DA8B"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131.56</w:t>
            </w:r>
          </w:p>
        </w:tc>
        <w:tc>
          <w:tcPr>
            <w:tcW w:w="756" w:type="dxa"/>
            <w:noWrap/>
            <w:hideMark/>
          </w:tcPr>
          <w:p w14:paraId="3F84EBB9"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508</w:t>
            </w:r>
          </w:p>
        </w:tc>
        <w:tc>
          <w:tcPr>
            <w:tcW w:w="723" w:type="dxa"/>
            <w:noWrap/>
            <w:hideMark/>
          </w:tcPr>
          <w:p w14:paraId="69540141"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5</w:t>
            </w:r>
          </w:p>
        </w:tc>
        <w:tc>
          <w:tcPr>
            <w:tcW w:w="729" w:type="dxa"/>
            <w:noWrap/>
            <w:hideMark/>
          </w:tcPr>
          <w:p w14:paraId="56C10DC7"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UK</w:t>
            </w:r>
          </w:p>
        </w:tc>
        <w:tc>
          <w:tcPr>
            <w:tcW w:w="2186" w:type="dxa"/>
            <w:noWrap/>
            <w:hideMark/>
          </w:tcPr>
          <w:p w14:paraId="473A6C1A"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Barclays</w:t>
            </w:r>
          </w:p>
        </w:tc>
      </w:tr>
      <w:tr w:rsidR="00F307DE" w:rsidRPr="00064CC0" w14:paraId="07B6AB1E" w14:textId="77777777" w:rsidTr="0036474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7" w:type="dxa"/>
            <w:noWrap/>
            <w:hideMark/>
          </w:tcPr>
          <w:p w14:paraId="0D4A8667" w14:textId="77777777" w:rsidR="00E36AA4" w:rsidRPr="0036474B" w:rsidRDefault="00E36AA4">
            <w:pPr>
              <w:rPr>
                <w:rFonts w:ascii="Times New Roman" w:hAnsi="Times New Roman" w:cs="Times New Roman"/>
                <w:noProof/>
                <w:sz w:val="24"/>
                <w:szCs w:val="24"/>
              </w:rPr>
            </w:pPr>
            <w:r w:rsidRPr="0036474B">
              <w:rPr>
                <w:rFonts w:ascii="Times New Roman" w:hAnsi="Times New Roman" w:cs="Times New Roman"/>
                <w:noProof/>
                <w:sz w:val="24"/>
                <w:szCs w:val="24"/>
              </w:rPr>
              <w:t>6</w:t>
            </w:r>
          </w:p>
        </w:tc>
        <w:tc>
          <w:tcPr>
            <w:tcW w:w="705" w:type="dxa"/>
            <w:noWrap/>
            <w:hideMark/>
          </w:tcPr>
          <w:p w14:paraId="7F12E81E"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UK</w:t>
            </w:r>
          </w:p>
        </w:tc>
        <w:tc>
          <w:tcPr>
            <w:tcW w:w="1852" w:type="dxa"/>
            <w:noWrap/>
            <w:hideMark/>
          </w:tcPr>
          <w:p w14:paraId="135FCAC6"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HSBC</w:t>
            </w:r>
          </w:p>
        </w:tc>
        <w:tc>
          <w:tcPr>
            <w:tcW w:w="1056" w:type="dxa"/>
            <w:noWrap/>
            <w:hideMark/>
          </w:tcPr>
          <w:p w14:paraId="5CF2DBC7"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126.88</w:t>
            </w:r>
          </w:p>
        </w:tc>
        <w:tc>
          <w:tcPr>
            <w:tcW w:w="756" w:type="dxa"/>
            <w:noWrap/>
            <w:hideMark/>
          </w:tcPr>
          <w:p w14:paraId="6BE656EE"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507</w:t>
            </w:r>
          </w:p>
        </w:tc>
        <w:tc>
          <w:tcPr>
            <w:tcW w:w="723" w:type="dxa"/>
            <w:noWrap/>
            <w:hideMark/>
          </w:tcPr>
          <w:p w14:paraId="7EA1C90A"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6</w:t>
            </w:r>
          </w:p>
        </w:tc>
        <w:tc>
          <w:tcPr>
            <w:tcW w:w="729" w:type="dxa"/>
            <w:noWrap/>
            <w:hideMark/>
          </w:tcPr>
          <w:p w14:paraId="1FAA8A15"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EU</w:t>
            </w:r>
          </w:p>
        </w:tc>
        <w:tc>
          <w:tcPr>
            <w:tcW w:w="2186" w:type="dxa"/>
            <w:noWrap/>
            <w:hideMark/>
          </w:tcPr>
          <w:p w14:paraId="6C800E6F"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BNP Paribas</w:t>
            </w:r>
          </w:p>
        </w:tc>
      </w:tr>
      <w:tr w:rsidR="00E36AA4" w:rsidRPr="00064CC0" w14:paraId="07A9E068" w14:textId="77777777" w:rsidTr="0036474B">
        <w:trPr>
          <w:trHeight w:val="300"/>
        </w:trPr>
        <w:tc>
          <w:tcPr>
            <w:cnfStyle w:val="001000000000" w:firstRow="0" w:lastRow="0" w:firstColumn="1" w:lastColumn="0" w:oddVBand="0" w:evenVBand="0" w:oddHBand="0" w:evenHBand="0" w:firstRowFirstColumn="0" w:firstRowLastColumn="0" w:lastRowFirstColumn="0" w:lastRowLastColumn="0"/>
            <w:tcW w:w="777" w:type="dxa"/>
            <w:noWrap/>
            <w:hideMark/>
          </w:tcPr>
          <w:p w14:paraId="05CF5BDE" w14:textId="77777777" w:rsidR="00E36AA4" w:rsidRPr="0036474B" w:rsidRDefault="00E36AA4">
            <w:pPr>
              <w:rPr>
                <w:rFonts w:ascii="Times New Roman" w:hAnsi="Times New Roman" w:cs="Times New Roman"/>
                <w:noProof/>
                <w:sz w:val="24"/>
                <w:szCs w:val="24"/>
              </w:rPr>
            </w:pPr>
            <w:r w:rsidRPr="0036474B">
              <w:rPr>
                <w:rFonts w:ascii="Times New Roman" w:hAnsi="Times New Roman" w:cs="Times New Roman"/>
                <w:noProof/>
                <w:sz w:val="24"/>
                <w:szCs w:val="24"/>
              </w:rPr>
              <w:t>7</w:t>
            </w:r>
          </w:p>
        </w:tc>
        <w:tc>
          <w:tcPr>
            <w:tcW w:w="705" w:type="dxa"/>
            <w:hideMark/>
          </w:tcPr>
          <w:p w14:paraId="7F040F70"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EU</w:t>
            </w:r>
          </w:p>
        </w:tc>
        <w:tc>
          <w:tcPr>
            <w:tcW w:w="1852" w:type="dxa"/>
            <w:noWrap/>
            <w:hideMark/>
          </w:tcPr>
          <w:p w14:paraId="59D139F1"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Credit Agricole CIB</w:t>
            </w:r>
          </w:p>
        </w:tc>
        <w:tc>
          <w:tcPr>
            <w:tcW w:w="1056" w:type="dxa"/>
            <w:noWrap/>
            <w:hideMark/>
          </w:tcPr>
          <w:p w14:paraId="4AA8AEF0"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126.03</w:t>
            </w:r>
          </w:p>
        </w:tc>
        <w:tc>
          <w:tcPr>
            <w:tcW w:w="756" w:type="dxa"/>
            <w:noWrap/>
            <w:hideMark/>
          </w:tcPr>
          <w:p w14:paraId="444C059A"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520</w:t>
            </w:r>
          </w:p>
        </w:tc>
        <w:tc>
          <w:tcPr>
            <w:tcW w:w="723" w:type="dxa"/>
            <w:noWrap/>
            <w:hideMark/>
          </w:tcPr>
          <w:p w14:paraId="337FCBAC"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7</w:t>
            </w:r>
          </w:p>
        </w:tc>
        <w:tc>
          <w:tcPr>
            <w:tcW w:w="729" w:type="dxa"/>
            <w:hideMark/>
          </w:tcPr>
          <w:p w14:paraId="48B56072"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2186" w:type="dxa"/>
            <w:noWrap/>
            <w:hideMark/>
          </w:tcPr>
          <w:p w14:paraId="7141E2E2"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Goldman Sachs</w:t>
            </w:r>
          </w:p>
        </w:tc>
      </w:tr>
      <w:tr w:rsidR="00F307DE" w:rsidRPr="00064CC0" w14:paraId="2AF2138A" w14:textId="77777777" w:rsidTr="0036474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7" w:type="dxa"/>
            <w:noWrap/>
            <w:hideMark/>
          </w:tcPr>
          <w:p w14:paraId="1B12A344" w14:textId="77777777" w:rsidR="00E36AA4" w:rsidRPr="0036474B" w:rsidRDefault="00E36AA4">
            <w:pPr>
              <w:rPr>
                <w:rFonts w:ascii="Times New Roman" w:hAnsi="Times New Roman" w:cs="Times New Roman"/>
                <w:noProof/>
                <w:sz w:val="24"/>
                <w:szCs w:val="24"/>
              </w:rPr>
            </w:pPr>
            <w:r w:rsidRPr="0036474B">
              <w:rPr>
                <w:rFonts w:ascii="Times New Roman" w:hAnsi="Times New Roman" w:cs="Times New Roman"/>
                <w:noProof/>
                <w:sz w:val="24"/>
                <w:szCs w:val="24"/>
              </w:rPr>
              <w:t>8</w:t>
            </w:r>
          </w:p>
        </w:tc>
        <w:tc>
          <w:tcPr>
            <w:tcW w:w="705" w:type="dxa"/>
            <w:noWrap/>
            <w:hideMark/>
          </w:tcPr>
          <w:p w14:paraId="350E24FF"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1852" w:type="dxa"/>
            <w:noWrap/>
            <w:hideMark/>
          </w:tcPr>
          <w:p w14:paraId="7AAE1470"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BofA Securities</w:t>
            </w:r>
          </w:p>
        </w:tc>
        <w:tc>
          <w:tcPr>
            <w:tcW w:w="1056" w:type="dxa"/>
            <w:noWrap/>
            <w:hideMark/>
          </w:tcPr>
          <w:p w14:paraId="035309AC"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124.33</w:t>
            </w:r>
          </w:p>
        </w:tc>
        <w:tc>
          <w:tcPr>
            <w:tcW w:w="756" w:type="dxa"/>
            <w:noWrap/>
            <w:hideMark/>
          </w:tcPr>
          <w:p w14:paraId="23A6BE10"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505</w:t>
            </w:r>
          </w:p>
        </w:tc>
        <w:tc>
          <w:tcPr>
            <w:tcW w:w="723" w:type="dxa"/>
            <w:noWrap/>
            <w:hideMark/>
          </w:tcPr>
          <w:p w14:paraId="4ED63698"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8</w:t>
            </w:r>
          </w:p>
        </w:tc>
        <w:tc>
          <w:tcPr>
            <w:tcW w:w="729" w:type="dxa"/>
            <w:noWrap/>
            <w:hideMark/>
          </w:tcPr>
          <w:p w14:paraId="0AF93A57"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EU</w:t>
            </w:r>
          </w:p>
        </w:tc>
        <w:tc>
          <w:tcPr>
            <w:tcW w:w="2186" w:type="dxa"/>
            <w:noWrap/>
            <w:hideMark/>
          </w:tcPr>
          <w:p w14:paraId="163FDC45"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Deutsche Bank</w:t>
            </w:r>
          </w:p>
        </w:tc>
      </w:tr>
      <w:tr w:rsidR="00E36AA4" w:rsidRPr="00064CC0" w14:paraId="79255A87" w14:textId="77777777" w:rsidTr="0036474B">
        <w:trPr>
          <w:trHeight w:val="300"/>
        </w:trPr>
        <w:tc>
          <w:tcPr>
            <w:cnfStyle w:val="001000000000" w:firstRow="0" w:lastRow="0" w:firstColumn="1" w:lastColumn="0" w:oddVBand="0" w:evenVBand="0" w:oddHBand="0" w:evenHBand="0" w:firstRowFirstColumn="0" w:firstRowLastColumn="0" w:lastRowFirstColumn="0" w:lastRowLastColumn="0"/>
            <w:tcW w:w="777" w:type="dxa"/>
            <w:noWrap/>
            <w:hideMark/>
          </w:tcPr>
          <w:p w14:paraId="23E4721F" w14:textId="77777777" w:rsidR="00E36AA4" w:rsidRPr="0036474B" w:rsidRDefault="00E36AA4">
            <w:pPr>
              <w:rPr>
                <w:rFonts w:ascii="Times New Roman" w:hAnsi="Times New Roman" w:cs="Times New Roman"/>
                <w:noProof/>
                <w:sz w:val="24"/>
                <w:szCs w:val="24"/>
              </w:rPr>
            </w:pPr>
            <w:r w:rsidRPr="0036474B">
              <w:rPr>
                <w:rFonts w:ascii="Times New Roman" w:hAnsi="Times New Roman" w:cs="Times New Roman"/>
                <w:noProof/>
                <w:sz w:val="24"/>
                <w:szCs w:val="24"/>
              </w:rPr>
              <w:t>9</w:t>
            </w:r>
          </w:p>
        </w:tc>
        <w:tc>
          <w:tcPr>
            <w:tcW w:w="705" w:type="dxa"/>
            <w:hideMark/>
          </w:tcPr>
          <w:p w14:paraId="0DFAD2B3"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1852" w:type="dxa"/>
            <w:noWrap/>
            <w:hideMark/>
          </w:tcPr>
          <w:p w14:paraId="6A71E2C9"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Morgan Stanley</w:t>
            </w:r>
          </w:p>
        </w:tc>
        <w:tc>
          <w:tcPr>
            <w:tcW w:w="1056" w:type="dxa"/>
            <w:noWrap/>
            <w:hideMark/>
          </w:tcPr>
          <w:p w14:paraId="2E1616FB"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107.1</w:t>
            </w:r>
          </w:p>
        </w:tc>
        <w:tc>
          <w:tcPr>
            <w:tcW w:w="756" w:type="dxa"/>
            <w:noWrap/>
            <w:hideMark/>
          </w:tcPr>
          <w:p w14:paraId="207C6C7C"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400</w:t>
            </w:r>
          </w:p>
        </w:tc>
        <w:tc>
          <w:tcPr>
            <w:tcW w:w="723" w:type="dxa"/>
            <w:noWrap/>
            <w:hideMark/>
          </w:tcPr>
          <w:p w14:paraId="605A8798"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9</w:t>
            </w:r>
          </w:p>
        </w:tc>
        <w:tc>
          <w:tcPr>
            <w:tcW w:w="729" w:type="dxa"/>
            <w:noWrap/>
            <w:hideMark/>
          </w:tcPr>
          <w:p w14:paraId="0C10B50D"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2186" w:type="dxa"/>
            <w:noWrap/>
            <w:hideMark/>
          </w:tcPr>
          <w:p w14:paraId="77FE7D99"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Wells Fargo</w:t>
            </w:r>
          </w:p>
        </w:tc>
      </w:tr>
      <w:tr w:rsidR="00F307DE" w:rsidRPr="00064CC0" w14:paraId="779E8F4F" w14:textId="77777777" w:rsidTr="0036474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7" w:type="dxa"/>
            <w:noWrap/>
            <w:hideMark/>
          </w:tcPr>
          <w:p w14:paraId="290EE84D" w14:textId="77777777" w:rsidR="00E36AA4" w:rsidRPr="0036474B" w:rsidRDefault="00E36AA4">
            <w:pPr>
              <w:rPr>
                <w:rFonts w:ascii="Times New Roman" w:hAnsi="Times New Roman" w:cs="Times New Roman"/>
                <w:noProof/>
                <w:sz w:val="24"/>
                <w:szCs w:val="24"/>
              </w:rPr>
            </w:pPr>
            <w:r w:rsidRPr="0036474B">
              <w:rPr>
                <w:rFonts w:ascii="Times New Roman" w:hAnsi="Times New Roman" w:cs="Times New Roman"/>
                <w:noProof/>
                <w:sz w:val="24"/>
                <w:szCs w:val="24"/>
              </w:rPr>
              <w:t>10</w:t>
            </w:r>
          </w:p>
        </w:tc>
        <w:tc>
          <w:tcPr>
            <w:tcW w:w="705" w:type="dxa"/>
            <w:hideMark/>
          </w:tcPr>
          <w:p w14:paraId="3BF2A42B"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EU</w:t>
            </w:r>
          </w:p>
        </w:tc>
        <w:tc>
          <w:tcPr>
            <w:tcW w:w="1852" w:type="dxa"/>
            <w:noWrap/>
            <w:hideMark/>
          </w:tcPr>
          <w:p w14:paraId="6690E96C" w14:textId="144E3F2B"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S</w:t>
            </w:r>
            <w:r w:rsidR="00C16BDF" w:rsidRPr="0036474B">
              <w:rPr>
                <w:rFonts w:ascii="Times New Roman" w:hAnsi="Times New Roman" w:cs="Times New Roman"/>
                <w:noProof/>
                <w:sz w:val="24"/>
                <w:szCs w:val="24"/>
              </w:rPr>
              <w:t>ocGen</w:t>
            </w:r>
            <w:r w:rsidRPr="0036474B">
              <w:rPr>
                <w:rFonts w:ascii="Times New Roman" w:hAnsi="Times New Roman" w:cs="Times New Roman"/>
                <w:noProof/>
                <w:sz w:val="24"/>
                <w:szCs w:val="24"/>
              </w:rPr>
              <w:t xml:space="preserve"> CIB</w:t>
            </w:r>
          </w:p>
        </w:tc>
        <w:tc>
          <w:tcPr>
            <w:tcW w:w="1056" w:type="dxa"/>
            <w:noWrap/>
            <w:hideMark/>
          </w:tcPr>
          <w:p w14:paraId="6057D256"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102.26</w:t>
            </w:r>
          </w:p>
        </w:tc>
        <w:tc>
          <w:tcPr>
            <w:tcW w:w="756" w:type="dxa"/>
            <w:noWrap/>
            <w:hideMark/>
          </w:tcPr>
          <w:p w14:paraId="242D21FC"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400</w:t>
            </w:r>
          </w:p>
        </w:tc>
        <w:tc>
          <w:tcPr>
            <w:tcW w:w="723" w:type="dxa"/>
            <w:noWrap/>
            <w:hideMark/>
          </w:tcPr>
          <w:p w14:paraId="727D73DF"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10</w:t>
            </w:r>
          </w:p>
        </w:tc>
        <w:tc>
          <w:tcPr>
            <w:tcW w:w="729" w:type="dxa"/>
            <w:hideMark/>
          </w:tcPr>
          <w:p w14:paraId="51D31C1C"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UK</w:t>
            </w:r>
          </w:p>
        </w:tc>
        <w:tc>
          <w:tcPr>
            <w:tcW w:w="2186" w:type="dxa"/>
            <w:noWrap/>
            <w:hideMark/>
          </w:tcPr>
          <w:p w14:paraId="2AEA3FCE"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HSBC</w:t>
            </w:r>
          </w:p>
        </w:tc>
      </w:tr>
      <w:tr w:rsidR="00E36AA4" w:rsidRPr="00064CC0" w14:paraId="6892F2A0" w14:textId="77777777" w:rsidTr="0036474B">
        <w:trPr>
          <w:trHeight w:val="300"/>
        </w:trPr>
        <w:tc>
          <w:tcPr>
            <w:cnfStyle w:val="001000000000" w:firstRow="0" w:lastRow="0" w:firstColumn="1" w:lastColumn="0" w:oddVBand="0" w:evenVBand="0" w:oddHBand="0" w:evenHBand="0" w:firstRowFirstColumn="0" w:firstRowLastColumn="0" w:lastRowFirstColumn="0" w:lastRowLastColumn="0"/>
            <w:tcW w:w="777" w:type="dxa"/>
            <w:noWrap/>
            <w:hideMark/>
          </w:tcPr>
          <w:p w14:paraId="18ECC2DC" w14:textId="77777777" w:rsidR="00E36AA4" w:rsidRPr="0036474B" w:rsidRDefault="00E36AA4">
            <w:pPr>
              <w:rPr>
                <w:rFonts w:ascii="Times New Roman" w:hAnsi="Times New Roman" w:cs="Times New Roman"/>
                <w:noProof/>
                <w:sz w:val="24"/>
                <w:szCs w:val="24"/>
              </w:rPr>
            </w:pPr>
          </w:p>
        </w:tc>
        <w:tc>
          <w:tcPr>
            <w:tcW w:w="705" w:type="dxa"/>
            <w:noWrap/>
            <w:hideMark/>
          </w:tcPr>
          <w:p w14:paraId="4DFC40D2"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p>
        </w:tc>
        <w:tc>
          <w:tcPr>
            <w:tcW w:w="1852" w:type="dxa"/>
            <w:noWrap/>
            <w:hideMark/>
          </w:tcPr>
          <w:p w14:paraId="614F9C64"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Subtotal</w:t>
            </w:r>
          </w:p>
        </w:tc>
        <w:tc>
          <w:tcPr>
            <w:tcW w:w="1056" w:type="dxa"/>
            <w:noWrap/>
            <w:hideMark/>
          </w:tcPr>
          <w:p w14:paraId="462F9BF1"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1,382.40</w:t>
            </w:r>
          </w:p>
        </w:tc>
        <w:tc>
          <w:tcPr>
            <w:tcW w:w="756" w:type="dxa"/>
            <w:noWrap/>
            <w:hideMark/>
          </w:tcPr>
          <w:p w14:paraId="2B7E50CE"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3,097</w:t>
            </w:r>
          </w:p>
        </w:tc>
        <w:tc>
          <w:tcPr>
            <w:tcW w:w="723" w:type="dxa"/>
            <w:noWrap/>
            <w:hideMark/>
          </w:tcPr>
          <w:p w14:paraId="27EECA07"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p>
        </w:tc>
        <w:tc>
          <w:tcPr>
            <w:tcW w:w="729" w:type="dxa"/>
            <w:noWrap/>
            <w:hideMark/>
          </w:tcPr>
          <w:p w14:paraId="0EC92432"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p>
        </w:tc>
        <w:tc>
          <w:tcPr>
            <w:tcW w:w="2186" w:type="dxa"/>
            <w:noWrap/>
            <w:hideMark/>
          </w:tcPr>
          <w:p w14:paraId="557E47BD" w14:textId="77777777" w:rsidR="00E36AA4" w:rsidRPr="0036474B" w:rsidRDefault="00E36A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Subtotal</w:t>
            </w:r>
          </w:p>
        </w:tc>
      </w:tr>
      <w:tr w:rsidR="00F307DE" w:rsidRPr="00064CC0" w14:paraId="2886436D" w14:textId="77777777" w:rsidTr="0036474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7" w:type="dxa"/>
            <w:noWrap/>
            <w:hideMark/>
          </w:tcPr>
          <w:p w14:paraId="6872E393" w14:textId="77777777" w:rsidR="00E36AA4" w:rsidRPr="0036474B" w:rsidRDefault="00E36AA4">
            <w:pPr>
              <w:rPr>
                <w:rFonts w:ascii="Times New Roman" w:hAnsi="Times New Roman" w:cs="Times New Roman"/>
                <w:noProof/>
                <w:sz w:val="24"/>
                <w:szCs w:val="24"/>
              </w:rPr>
            </w:pPr>
          </w:p>
        </w:tc>
        <w:tc>
          <w:tcPr>
            <w:tcW w:w="705" w:type="dxa"/>
            <w:noWrap/>
            <w:hideMark/>
          </w:tcPr>
          <w:p w14:paraId="1A917D7C"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p>
        </w:tc>
        <w:tc>
          <w:tcPr>
            <w:tcW w:w="1852" w:type="dxa"/>
            <w:noWrap/>
            <w:hideMark/>
          </w:tcPr>
          <w:p w14:paraId="5A87B3EB"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Total</w:t>
            </w:r>
          </w:p>
        </w:tc>
        <w:tc>
          <w:tcPr>
            <w:tcW w:w="1056" w:type="dxa"/>
            <w:noWrap/>
            <w:hideMark/>
          </w:tcPr>
          <w:p w14:paraId="230E2F37"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2,826.10</w:t>
            </w:r>
          </w:p>
        </w:tc>
        <w:tc>
          <w:tcPr>
            <w:tcW w:w="756" w:type="dxa"/>
            <w:noWrap/>
            <w:hideMark/>
          </w:tcPr>
          <w:p w14:paraId="72361995"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5,689</w:t>
            </w:r>
          </w:p>
        </w:tc>
        <w:tc>
          <w:tcPr>
            <w:tcW w:w="723" w:type="dxa"/>
            <w:noWrap/>
            <w:hideMark/>
          </w:tcPr>
          <w:p w14:paraId="208069B5"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p>
        </w:tc>
        <w:tc>
          <w:tcPr>
            <w:tcW w:w="729" w:type="dxa"/>
            <w:noWrap/>
            <w:hideMark/>
          </w:tcPr>
          <w:p w14:paraId="796412E7"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p>
        </w:tc>
        <w:tc>
          <w:tcPr>
            <w:tcW w:w="2186" w:type="dxa"/>
            <w:noWrap/>
            <w:hideMark/>
          </w:tcPr>
          <w:p w14:paraId="0F361312" w14:textId="77777777" w:rsidR="00E36AA4" w:rsidRPr="0036474B" w:rsidRDefault="00E36A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Total</w:t>
            </w:r>
          </w:p>
        </w:tc>
      </w:tr>
    </w:tbl>
    <w:p w14:paraId="6F185270" w14:textId="5C825847" w:rsidR="005F34FC" w:rsidRPr="008F1B26" w:rsidRDefault="00C16BDF" w:rsidP="00A86529">
      <w:pPr>
        <w:jc w:val="both"/>
        <w:rPr>
          <w:rFonts w:ascii="Times New Roman" w:hAnsi="Times New Roman" w:cs="Times New Roman"/>
          <w:i/>
          <w:iCs/>
          <w:noProof/>
          <w:sz w:val="24"/>
          <w:szCs w:val="24"/>
          <w:lang w:val="en-GB"/>
        </w:rPr>
      </w:pPr>
      <w:r w:rsidRPr="008F1B26">
        <w:rPr>
          <w:rFonts w:ascii="Times New Roman" w:hAnsi="Times New Roman" w:cs="Times New Roman"/>
          <w:i/>
          <w:iCs/>
          <w:noProof/>
          <w:sz w:val="24"/>
          <w:szCs w:val="24"/>
          <w:lang w:val="en-GB"/>
        </w:rPr>
        <w:t xml:space="preserve">Source: </w:t>
      </w:r>
      <w:r w:rsidR="002B609C" w:rsidRPr="008F1B26">
        <w:rPr>
          <w:rFonts w:ascii="Times New Roman" w:hAnsi="Times New Roman" w:cs="Times New Roman"/>
          <w:i/>
          <w:iCs/>
          <w:noProof/>
          <w:sz w:val="24"/>
          <w:szCs w:val="24"/>
          <w:lang w:val="en-GB"/>
        </w:rPr>
        <w:t>Dealogic</w:t>
      </w:r>
    </w:p>
    <w:p w14:paraId="013A9DEC" w14:textId="79981FF3" w:rsidR="009145F1" w:rsidRPr="00824CC7" w:rsidRDefault="009145F1" w:rsidP="009145F1">
      <w:pPr>
        <w:pStyle w:val="Caption"/>
        <w:keepNext/>
        <w:rPr>
          <w:rFonts w:ascii="Times New Roman" w:hAnsi="Times New Roman" w:cs="Times New Roman"/>
          <w:noProof/>
          <w:color w:val="auto"/>
          <w:sz w:val="24"/>
          <w:szCs w:val="24"/>
        </w:rPr>
      </w:pPr>
      <w:r w:rsidRPr="00824CC7">
        <w:rPr>
          <w:rFonts w:ascii="Times New Roman" w:hAnsi="Times New Roman" w:cs="Times New Roman"/>
          <w:noProof/>
          <w:color w:val="auto"/>
          <w:sz w:val="24"/>
          <w:szCs w:val="24"/>
        </w:rPr>
        <w:t xml:space="preserve">Table </w:t>
      </w:r>
      <w:r w:rsidR="00824CC7">
        <w:rPr>
          <w:rFonts w:ascii="Times New Roman" w:hAnsi="Times New Roman" w:cs="Times New Roman"/>
          <w:noProof/>
          <w:color w:val="auto"/>
          <w:sz w:val="24"/>
          <w:szCs w:val="24"/>
        </w:rPr>
        <w:t>3</w:t>
      </w:r>
      <w:r w:rsidRPr="00824CC7">
        <w:rPr>
          <w:rFonts w:ascii="Times New Roman" w:hAnsi="Times New Roman" w:cs="Times New Roman"/>
          <w:noProof/>
          <w:color w:val="auto"/>
          <w:sz w:val="24"/>
          <w:szCs w:val="24"/>
        </w:rPr>
        <w:t xml:space="preserve"> - Equity Capital Markets (ECM)</w:t>
      </w:r>
      <w:r w:rsidR="007928AB" w:rsidRPr="00824CC7">
        <w:rPr>
          <w:rFonts w:ascii="Times New Roman" w:hAnsi="Times New Roman" w:cs="Times New Roman"/>
          <w:noProof/>
          <w:color w:val="auto"/>
          <w:sz w:val="24"/>
          <w:szCs w:val="24"/>
        </w:rPr>
        <w:t xml:space="preserve"> Bookrunner Ranking</w:t>
      </w:r>
    </w:p>
    <w:tbl>
      <w:tblPr>
        <w:tblStyle w:val="PlainTable1"/>
        <w:tblW w:w="0" w:type="auto"/>
        <w:tblLook w:val="04A0" w:firstRow="1" w:lastRow="0" w:firstColumn="1" w:lastColumn="0" w:noHBand="0" w:noVBand="1"/>
      </w:tblPr>
      <w:tblGrid>
        <w:gridCol w:w="777"/>
        <w:gridCol w:w="563"/>
        <w:gridCol w:w="1805"/>
        <w:gridCol w:w="1151"/>
        <w:gridCol w:w="839"/>
        <w:gridCol w:w="723"/>
        <w:gridCol w:w="563"/>
        <w:gridCol w:w="2363"/>
      </w:tblGrid>
      <w:tr w:rsidR="00F76A9C" w:rsidRPr="00064CC0" w14:paraId="39446BE3" w14:textId="77777777" w:rsidTr="0036474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135" w:type="dxa"/>
            <w:gridSpan w:val="5"/>
            <w:noWrap/>
            <w:hideMark/>
          </w:tcPr>
          <w:p w14:paraId="5C27D135" w14:textId="77777777" w:rsidR="00F76A9C" w:rsidRPr="0036474B" w:rsidRDefault="00F76A9C">
            <w:pPr>
              <w:rPr>
                <w:rFonts w:ascii="Times New Roman" w:hAnsi="Times New Roman" w:cs="Times New Roman"/>
                <w:noProof/>
                <w:sz w:val="24"/>
                <w:szCs w:val="24"/>
              </w:rPr>
            </w:pPr>
            <w:r w:rsidRPr="0036474B">
              <w:rPr>
                <w:rFonts w:ascii="Times New Roman" w:hAnsi="Times New Roman" w:cs="Times New Roman"/>
                <w:noProof/>
                <w:sz w:val="24"/>
                <w:szCs w:val="24"/>
              </w:rPr>
              <w:t>Europe</w:t>
            </w:r>
          </w:p>
        </w:tc>
        <w:tc>
          <w:tcPr>
            <w:tcW w:w="3649" w:type="dxa"/>
            <w:gridSpan w:val="3"/>
            <w:noWrap/>
            <w:hideMark/>
          </w:tcPr>
          <w:p w14:paraId="7E91C521" w14:textId="77777777" w:rsidR="00F76A9C" w:rsidRPr="0036474B" w:rsidRDefault="00F76A9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 xml:space="preserve">Global </w:t>
            </w:r>
          </w:p>
        </w:tc>
      </w:tr>
      <w:tr w:rsidR="00F307DE" w:rsidRPr="00064CC0" w14:paraId="36996407" w14:textId="77777777" w:rsidTr="0036474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7" w:type="dxa"/>
            <w:noWrap/>
            <w:hideMark/>
          </w:tcPr>
          <w:p w14:paraId="10EBC8B2" w14:textId="77777777" w:rsidR="00F76A9C" w:rsidRPr="0036474B" w:rsidRDefault="00F76A9C">
            <w:pPr>
              <w:rPr>
                <w:rFonts w:ascii="Times New Roman" w:hAnsi="Times New Roman" w:cs="Times New Roman"/>
                <w:noProof/>
                <w:sz w:val="24"/>
                <w:szCs w:val="24"/>
              </w:rPr>
            </w:pPr>
            <w:r w:rsidRPr="0036474B">
              <w:rPr>
                <w:rFonts w:ascii="Times New Roman" w:hAnsi="Times New Roman" w:cs="Times New Roman"/>
                <w:noProof/>
                <w:sz w:val="24"/>
                <w:szCs w:val="24"/>
              </w:rPr>
              <w:t>Rank</w:t>
            </w:r>
          </w:p>
        </w:tc>
        <w:tc>
          <w:tcPr>
            <w:tcW w:w="563" w:type="dxa"/>
            <w:noWrap/>
            <w:hideMark/>
          </w:tcPr>
          <w:p w14:paraId="407F175A"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HQ</w:t>
            </w:r>
          </w:p>
        </w:tc>
        <w:tc>
          <w:tcPr>
            <w:tcW w:w="1805" w:type="dxa"/>
            <w:noWrap/>
            <w:hideMark/>
          </w:tcPr>
          <w:p w14:paraId="66AFA47F"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Bookrunner</w:t>
            </w:r>
          </w:p>
        </w:tc>
        <w:tc>
          <w:tcPr>
            <w:tcW w:w="1151" w:type="dxa"/>
            <w:noWrap/>
            <w:hideMark/>
          </w:tcPr>
          <w:p w14:paraId="7B467CF1"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Value $bn</w:t>
            </w:r>
          </w:p>
        </w:tc>
        <w:tc>
          <w:tcPr>
            <w:tcW w:w="839" w:type="dxa"/>
            <w:noWrap/>
            <w:hideMark/>
          </w:tcPr>
          <w:p w14:paraId="5A341D77"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 deals</w:t>
            </w:r>
          </w:p>
        </w:tc>
        <w:tc>
          <w:tcPr>
            <w:tcW w:w="723" w:type="dxa"/>
            <w:noWrap/>
            <w:hideMark/>
          </w:tcPr>
          <w:p w14:paraId="1C5B3812"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Rank</w:t>
            </w:r>
          </w:p>
        </w:tc>
        <w:tc>
          <w:tcPr>
            <w:tcW w:w="563" w:type="dxa"/>
            <w:noWrap/>
            <w:hideMark/>
          </w:tcPr>
          <w:p w14:paraId="7282DC35"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HQ</w:t>
            </w:r>
          </w:p>
        </w:tc>
        <w:tc>
          <w:tcPr>
            <w:tcW w:w="2363" w:type="dxa"/>
            <w:noWrap/>
            <w:hideMark/>
          </w:tcPr>
          <w:p w14:paraId="2146DD02"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Bookrunner</w:t>
            </w:r>
          </w:p>
        </w:tc>
      </w:tr>
      <w:tr w:rsidR="00F76A9C" w:rsidRPr="00064CC0" w14:paraId="2009E544" w14:textId="77777777" w:rsidTr="0036474B">
        <w:trPr>
          <w:trHeight w:val="300"/>
        </w:trPr>
        <w:tc>
          <w:tcPr>
            <w:cnfStyle w:val="001000000000" w:firstRow="0" w:lastRow="0" w:firstColumn="1" w:lastColumn="0" w:oddVBand="0" w:evenVBand="0" w:oddHBand="0" w:evenHBand="0" w:firstRowFirstColumn="0" w:firstRowLastColumn="0" w:lastRowFirstColumn="0" w:lastRowLastColumn="0"/>
            <w:tcW w:w="777" w:type="dxa"/>
            <w:noWrap/>
            <w:hideMark/>
          </w:tcPr>
          <w:p w14:paraId="359F3344" w14:textId="77777777" w:rsidR="00F76A9C" w:rsidRPr="0036474B" w:rsidRDefault="00F76A9C">
            <w:pPr>
              <w:rPr>
                <w:rFonts w:ascii="Times New Roman" w:hAnsi="Times New Roman" w:cs="Times New Roman"/>
                <w:noProof/>
                <w:sz w:val="24"/>
                <w:szCs w:val="24"/>
              </w:rPr>
            </w:pPr>
            <w:r w:rsidRPr="0036474B">
              <w:rPr>
                <w:rFonts w:ascii="Times New Roman" w:hAnsi="Times New Roman" w:cs="Times New Roman"/>
                <w:noProof/>
                <w:sz w:val="24"/>
                <w:szCs w:val="24"/>
              </w:rPr>
              <w:t>1</w:t>
            </w:r>
          </w:p>
        </w:tc>
        <w:tc>
          <w:tcPr>
            <w:tcW w:w="563" w:type="dxa"/>
            <w:noWrap/>
            <w:hideMark/>
          </w:tcPr>
          <w:p w14:paraId="377E7F8F"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1805" w:type="dxa"/>
            <w:noWrap/>
            <w:hideMark/>
          </w:tcPr>
          <w:p w14:paraId="0AF07236"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Goldman Sachs</w:t>
            </w:r>
          </w:p>
        </w:tc>
        <w:tc>
          <w:tcPr>
            <w:tcW w:w="1151" w:type="dxa"/>
            <w:noWrap/>
            <w:hideMark/>
          </w:tcPr>
          <w:p w14:paraId="455A2C40"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16.19</w:t>
            </w:r>
          </w:p>
        </w:tc>
        <w:tc>
          <w:tcPr>
            <w:tcW w:w="839" w:type="dxa"/>
            <w:noWrap/>
            <w:hideMark/>
          </w:tcPr>
          <w:p w14:paraId="2F607AA7"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65</w:t>
            </w:r>
          </w:p>
        </w:tc>
        <w:tc>
          <w:tcPr>
            <w:tcW w:w="723" w:type="dxa"/>
            <w:noWrap/>
            <w:hideMark/>
          </w:tcPr>
          <w:p w14:paraId="234E259F"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w:t>
            </w:r>
          </w:p>
        </w:tc>
        <w:tc>
          <w:tcPr>
            <w:tcW w:w="563" w:type="dxa"/>
            <w:noWrap/>
            <w:hideMark/>
          </w:tcPr>
          <w:p w14:paraId="08060D25"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2363" w:type="dxa"/>
            <w:noWrap/>
            <w:hideMark/>
          </w:tcPr>
          <w:p w14:paraId="6B3309BF"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JPMorgan</w:t>
            </w:r>
          </w:p>
        </w:tc>
      </w:tr>
      <w:tr w:rsidR="00F307DE" w:rsidRPr="00064CC0" w14:paraId="5823CAAF" w14:textId="77777777" w:rsidTr="0036474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7" w:type="dxa"/>
            <w:noWrap/>
            <w:hideMark/>
          </w:tcPr>
          <w:p w14:paraId="36AD255D" w14:textId="77777777" w:rsidR="00F76A9C" w:rsidRPr="0036474B" w:rsidRDefault="00F76A9C">
            <w:pPr>
              <w:rPr>
                <w:rFonts w:ascii="Times New Roman" w:hAnsi="Times New Roman" w:cs="Times New Roman"/>
                <w:noProof/>
                <w:sz w:val="24"/>
                <w:szCs w:val="24"/>
              </w:rPr>
            </w:pPr>
            <w:r w:rsidRPr="0036474B">
              <w:rPr>
                <w:rFonts w:ascii="Times New Roman" w:hAnsi="Times New Roman" w:cs="Times New Roman"/>
                <w:noProof/>
                <w:sz w:val="24"/>
                <w:szCs w:val="24"/>
              </w:rPr>
              <w:t>2</w:t>
            </w:r>
          </w:p>
        </w:tc>
        <w:tc>
          <w:tcPr>
            <w:tcW w:w="563" w:type="dxa"/>
            <w:noWrap/>
            <w:hideMark/>
          </w:tcPr>
          <w:p w14:paraId="2B7F3B73"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1805" w:type="dxa"/>
            <w:noWrap/>
            <w:hideMark/>
          </w:tcPr>
          <w:p w14:paraId="4B187C60"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JPMorgan</w:t>
            </w:r>
          </w:p>
        </w:tc>
        <w:tc>
          <w:tcPr>
            <w:tcW w:w="1151" w:type="dxa"/>
            <w:noWrap/>
            <w:hideMark/>
          </w:tcPr>
          <w:p w14:paraId="0568414D"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12.67</w:t>
            </w:r>
          </w:p>
        </w:tc>
        <w:tc>
          <w:tcPr>
            <w:tcW w:w="839" w:type="dxa"/>
            <w:noWrap/>
            <w:hideMark/>
          </w:tcPr>
          <w:p w14:paraId="0B9DD2F6"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51</w:t>
            </w:r>
          </w:p>
        </w:tc>
        <w:tc>
          <w:tcPr>
            <w:tcW w:w="723" w:type="dxa"/>
            <w:noWrap/>
            <w:hideMark/>
          </w:tcPr>
          <w:p w14:paraId="40B2CC62"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2</w:t>
            </w:r>
          </w:p>
        </w:tc>
        <w:tc>
          <w:tcPr>
            <w:tcW w:w="563" w:type="dxa"/>
            <w:noWrap/>
            <w:hideMark/>
          </w:tcPr>
          <w:p w14:paraId="26579B1A"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2363" w:type="dxa"/>
            <w:noWrap/>
            <w:hideMark/>
          </w:tcPr>
          <w:p w14:paraId="09E60393"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Morgan Stanley</w:t>
            </w:r>
          </w:p>
        </w:tc>
      </w:tr>
      <w:tr w:rsidR="00F76A9C" w:rsidRPr="00064CC0" w14:paraId="0B4C7A0F" w14:textId="77777777" w:rsidTr="0036474B">
        <w:trPr>
          <w:trHeight w:val="300"/>
        </w:trPr>
        <w:tc>
          <w:tcPr>
            <w:cnfStyle w:val="001000000000" w:firstRow="0" w:lastRow="0" w:firstColumn="1" w:lastColumn="0" w:oddVBand="0" w:evenVBand="0" w:oddHBand="0" w:evenHBand="0" w:firstRowFirstColumn="0" w:firstRowLastColumn="0" w:lastRowFirstColumn="0" w:lastRowLastColumn="0"/>
            <w:tcW w:w="777" w:type="dxa"/>
            <w:noWrap/>
            <w:hideMark/>
          </w:tcPr>
          <w:p w14:paraId="702382D3" w14:textId="77777777" w:rsidR="00F76A9C" w:rsidRPr="0036474B" w:rsidRDefault="00F76A9C">
            <w:pPr>
              <w:rPr>
                <w:rFonts w:ascii="Times New Roman" w:hAnsi="Times New Roman" w:cs="Times New Roman"/>
                <w:noProof/>
                <w:sz w:val="24"/>
                <w:szCs w:val="24"/>
              </w:rPr>
            </w:pPr>
            <w:r w:rsidRPr="0036474B">
              <w:rPr>
                <w:rFonts w:ascii="Times New Roman" w:hAnsi="Times New Roman" w:cs="Times New Roman"/>
                <w:noProof/>
                <w:sz w:val="24"/>
                <w:szCs w:val="24"/>
              </w:rPr>
              <w:t>3</w:t>
            </w:r>
          </w:p>
        </w:tc>
        <w:tc>
          <w:tcPr>
            <w:tcW w:w="563" w:type="dxa"/>
            <w:noWrap/>
            <w:hideMark/>
          </w:tcPr>
          <w:p w14:paraId="1D5EBE08"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1805" w:type="dxa"/>
            <w:noWrap/>
            <w:hideMark/>
          </w:tcPr>
          <w:p w14:paraId="56AD099A"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Morgan Stanley</w:t>
            </w:r>
          </w:p>
        </w:tc>
        <w:tc>
          <w:tcPr>
            <w:tcW w:w="1151" w:type="dxa"/>
            <w:noWrap/>
            <w:hideMark/>
          </w:tcPr>
          <w:p w14:paraId="47564AD6"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12.59</w:t>
            </w:r>
          </w:p>
        </w:tc>
        <w:tc>
          <w:tcPr>
            <w:tcW w:w="839" w:type="dxa"/>
            <w:noWrap/>
            <w:hideMark/>
          </w:tcPr>
          <w:p w14:paraId="5481D12D"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49</w:t>
            </w:r>
          </w:p>
        </w:tc>
        <w:tc>
          <w:tcPr>
            <w:tcW w:w="723" w:type="dxa"/>
            <w:noWrap/>
            <w:hideMark/>
          </w:tcPr>
          <w:p w14:paraId="13429899"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3</w:t>
            </w:r>
          </w:p>
        </w:tc>
        <w:tc>
          <w:tcPr>
            <w:tcW w:w="563" w:type="dxa"/>
            <w:noWrap/>
            <w:hideMark/>
          </w:tcPr>
          <w:p w14:paraId="7CE4D29C"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2363" w:type="dxa"/>
            <w:noWrap/>
            <w:hideMark/>
          </w:tcPr>
          <w:p w14:paraId="7170B13E"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Goldman Sachs</w:t>
            </w:r>
          </w:p>
        </w:tc>
      </w:tr>
      <w:tr w:rsidR="00F307DE" w:rsidRPr="00064CC0" w14:paraId="5D884555" w14:textId="77777777" w:rsidTr="0036474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7" w:type="dxa"/>
            <w:noWrap/>
            <w:hideMark/>
          </w:tcPr>
          <w:p w14:paraId="0FF33F89" w14:textId="77777777" w:rsidR="00F76A9C" w:rsidRPr="0036474B" w:rsidRDefault="00F76A9C">
            <w:pPr>
              <w:rPr>
                <w:rFonts w:ascii="Times New Roman" w:hAnsi="Times New Roman" w:cs="Times New Roman"/>
                <w:noProof/>
                <w:sz w:val="24"/>
                <w:szCs w:val="24"/>
              </w:rPr>
            </w:pPr>
            <w:r w:rsidRPr="0036474B">
              <w:rPr>
                <w:rFonts w:ascii="Times New Roman" w:hAnsi="Times New Roman" w:cs="Times New Roman"/>
                <w:noProof/>
                <w:sz w:val="24"/>
                <w:szCs w:val="24"/>
              </w:rPr>
              <w:t>4</w:t>
            </w:r>
          </w:p>
        </w:tc>
        <w:tc>
          <w:tcPr>
            <w:tcW w:w="563" w:type="dxa"/>
            <w:noWrap/>
            <w:hideMark/>
          </w:tcPr>
          <w:p w14:paraId="01D91316"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EU</w:t>
            </w:r>
          </w:p>
        </w:tc>
        <w:tc>
          <w:tcPr>
            <w:tcW w:w="1805" w:type="dxa"/>
            <w:noWrap/>
            <w:hideMark/>
          </w:tcPr>
          <w:p w14:paraId="7FBDDBD3"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BNP Paribas</w:t>
            </w:r>
          </w:p>
        </w:tc>
        <w:tc>
          <w:tcPr>
            <w:tcW w:w="1151" w:type="dxa"/>
            <w:noWrap/>
            <w:hideMark/>
          </w:tcPr>
          <w:p w14:paraId="31A72DA2"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11.99</w:t>
            </w:r>
          </w:p>
        </w:tc>
        <w:tc>
          <w:tcPr>
            <w:tcW w:w="839" w:type="dxa"/>
            <w:noWrap/>
            <w:hideMark/>
          </w:tcPr>
          <w:p w14:paraId="758E73B2"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79</w:t>
            </w:r>
          </w:p>
        </w:tc>
        <w:tc>
          <w:tcPr>
            <w:tcW w:w="723" w:type="dxa"/>
            <w:noWrap/>
            <w:hideMark/>
          </w:tcPr>
          <w:p w14:paraId="74F95751"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4</w:t>
            </w:r>
          </w:p>
        </w:tc>
        <w:tc>
          <w:tcPr>
            <w:tcW w:w="563" w:type="dxa"/>
            <w:noWrap/>
            <w:hideMark/>
          </w:tcPr>
          <w:p w14:paraId="1C97AEBF"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2363" w:type="dxa"/>
            <w:noWrap/>
            <w:hideMark/>
          </w:tcPr>
          <w:p w14:paraId="021793A8"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BofA Securities</w:t>
            </w:r>
          </w:p>
        </w:tc>
      </w:tr>
      <w:tr w:rsidR="00F76A9C" w:rsidRPr="00064CC0" w14:paraId="5E1AA4D5" w14:textId="77777777" w:rsidTr="0036474B">
        <w:trPr>
          <w:trHeight w:val="300"/>
        </w:trPr>
        <w:tc>
          <w:tcPr>
            <w:cnfStyle w:val="001000000000" w:firstRow="0" w:lastRow="0" w:firstColumn="1" w:lastColumn="0" w:oddVBand="0" w:evenVBand="0" w:oddHBand="0" w:evenHBand="0" w:firstRowFirstColumn="0" w:firstRowLastColumn="0" w:lastRowFirstColumn="0" w:lastRowLastColumn="0"/>
            <w:tcW w:w="777" w:type="dxa"/>
            <w:noWrap/>
            <w:hideMark/>
          </w:tcPr>
          <w:p w14:paraId="4FD8BBA7" w14:textId="77777777" w:rsidR="00F76A9C" w:rsidRPr="0036474B" w:rsidRDefault="00F76A9C">
            <w:pPr>
              <w:rPr>
                <w:rFonts w:ascii="Times New Roman" w:hAnsi="Times New Roman" w:cs="Times New Roman"/>
                <w:noProof/>
                <w:sz w:val="24"/>
                <w:szCs w:val="24"/>
              </w:rPr>
            </w:pPr>
            <w:r w:rsidRPr="0036474B">
              <w:rPr>
                <w:rFonts w:ascii="Times New Roman" w:hAnsi="Times New Roman" w:cs="Times New Roman"/>
                <w:noProof/>
                <w:sz w:val="24"/>
                <w:szCs w:val="24"/>
              </w:rPr>
              <w:t>5</w:t>
            </w:r>
          </w:p>
        </w:tc>
        <w:tc>
          <w:tcPr>
            <w:tcW w:w="563" w:type="dxa"/>
            <w:noWrap/>
            <w:hideMark/>
          </w:tcPr>
          <w:p w14:paraId="48A3C41E"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1805" w:type="dxa"/>
            <w:noWrap/>
            <w:hideMark/>
          </w:tcPr>
          <w:p w14:paraId="4DA7938E"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BofA Securities</w:t>
            </w:r>
          </w:p>
        </w:tc>
        <w:tc>
          <w:tcPr>
            <w:tcW w:w="1151" w:type="dxa"/>
            <w:noWrap/>
            <w:hideMark/>
          </w:tcPr>
          <w:p w14:paraId="30D49491"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10.9</w:t>
            </w:r>
          </w:p>
        </w:tc>
        <w:tc>
          <w:tcPr>
            <w:tcW w:w="839" w:type="dxa"/>
            <w:noWrap/>
            <w:hideMark/>
          </w:tcPr>
          <w:p w14:paraId="66543A51"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50</w:t>
            </w:r>
          </w:p>
        </w:tc>
        <w:tc>
          <w:tcPr>
            <w:tcW w:w="723" w:type="dxa"/>
            <w:noWrap/>
            <w:hideMark/>
          </w:tcPr>
          <w:p w14:paraId="484E25BE"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5</w:t>
            </w:r>
          </w:p>
        </w:tc>
        <w:tc>
          <w:tcPr>
            <w:tcW w:w="563" w:type="dxa"/>
            <w:noWrap/>
            <w:hideMark/>
          </w:tcPr>
          <w:p w14:paraId="790ACE93"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2363" w:type="dxa"/>
            <w:noWrap/>
            <w:hideMark/>
          </w:tcPr>
          <w:p w14:paraId="2EA3D477"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Citi</w:t>
            </w:r>
          </w:p>
        </w:tc>
      </w:tr>
      <w:tr w:rsidR="00F307DE" w:rsidRPr="00064CC0" w14:paraId="5F9EB223" w14:textId="77777777" w:rsidTr="0036474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7" w:type="dxa"/>
            <w:noWrap/>
            <w:hideMark/>
          </w:tcPr>
          <w:p w14:paraId="3F3263C8" w14:textId="77777777" w:rsidR="00F76A9C" w:rsidRPr="0036474B" w:rsidRDefault="00F76A9C">
            <w:pPr>
              <w:rPr>
                <w:rFonts w:ascii="Times New Roman" w:hAnsi="Times New Roman" w:cs="Times New Roman"/>
                <w:noProof/>
                <w:sz w:val="24"/>
                <w:szCs w:val="24"/>
              </w:rPr>
            </w:pPr>
            <w:r w:rsidRPr="0036474B">
              <w:rPr>
                <w:rFonts w:ascii="Times New Roman" w:hAnsi="Times New Roman" w:cs="Times New Roman"/>
                <w:noProof/>
                <w:sz w:val="24"/>
                <w:szCs w:val="24"/>
              </w:rPr>
              <w:t>6</w:t>
            </w:r>
          </w:p>
        </w:tc>
        <w:tc>
          <w:tcPr>
            <w:tcW w:w="563" w:type="dxa"/>
            <w:noWrap/>
            <w:hideMark/>
          </w:tcPr>
          <w:p w14:paraId="0B2AD8C9"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1805" w:type="dxa"/>
            <w:noWrap/>
            <w:hideMark/>
          </w:tcPr>
          <w:p w14:paraId="05CB446E"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Citi</w:t>
            </w:r>
          </w:p>
        </w:tc>
        <w:tc>
          <w:tcPr>
            <w:tcW w:w="1151" w:type="dxa"/>
            <w:noWrap/>
            <w:hideMark/>
          </w:tcPr>
          <w:p w14:paraId="620CE648"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7.17</w:t>
            </w:r>
          </w:p>
        </w:tc>
        <w:tc>
          <w:tcPr>
            <w:tcW w:w="839" w:type="dxa"/>
            <w:noWrap/>
            <w:hideMark/>
          </w:tcPr>
          <w:p w14:paraId="23EB4C72"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52</w:t>
            </w:r>
          </w:p>
        </w:tc>
        <w:tc>
          <w:tcPr>
            <w:tcW w:w="723" w:type="dxa"/>
            <w:noWrap/>
            <w:hideMark/>
          </w:tcPr>
          <w:p w14:paraId="14E087A9"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6</w:t>
            </w:r>
          </w:p>
        </w:tc>
        <w:tc>
          <w:tcPr>
            <w:tcW w:w="563" w:type="dxa"/>
            <w:noWrap/>
            <w:hideMark/>
          </w:tcPr>
          <w:p w14:paraId="04C1147F"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CH</w:t>
            </w:r>
          </w:p>
        </w:tc>
        <w:tc>
          <w:tcPr>
            <w:tcW w:w="2363" w:type="dxa"/>
            <w:noWrap/>
            <w:hideMark/>
          </w:tcPr>
          <w:p w14:paraId="7E3C0527"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UBS</w:t>
            </w:r>
          </w:p>
        </w:tc>
      </w:tr>
      <w:tr w:rsidR="00F76A9C" w:rsidRPr="00064CC0" w14:paraId="6BF0E3AF" w14:textId="77777777" w:rsidTr="0036474B">
        <w:trPr>
          <w:trHeight w:val="300"/>
        </w:trPr>
        <w:tc>
          <w:tcPr>
            <w:cnfStyle w:val="001000000000" w:firstRow="0" w:lastRow="0" w:firstColumn="1" w:lastColumn="0" w:oddVBand="0" w:evenVBand="0" w:oddHBand="0" w:evenHBand="0" w:firstRowFirstColumn="0" w:firstRowLastColumn="0" w:lastRowFirstColumn="0" w:lastRowLastColumn="0"/>
            <w:tcW w:w="777" w:type="dxa"/>
            <w:noWrap/>
            <w:hideMark/>
          </w:tcPr>
          <w:p w14:paraId="6624C40D" w14:textId="77777777" w:rsidR="00F76A9C" w:rsidRPr="0036474B" w:rsidRDefault="00F76A9C">
            <w:pPr>
              <w:rPr>
                <w:rFonts w:ascii="Times New Roman" w:hAnsi="Times New Roman" w:cs="Times New Roman"/>
                <w:noProof/>
                <w:sz w:val="24"/>
                <w:szCs w:val="24"/>
              </w:rPr>
            </w:pPr>
            <w:r w:rsidRPr="0036474B">
              <w:rPr>
                <w:rFonts w:ascii="Times New Roman" w:hAnsi="Times New Roman" w:cs="Times New Roman"/>
                <w:noProof/>
                <w:sz w:val="24"/>
                <w:szCs w:val="24"/>
              </w:rPr>
              <w:t>7</w:t>
            </w:r>
          </w:p>
        </w:tc>
        <w:tc>
          <w:tcPr>
            <w:tcW w:w="563" w:type="dxa"/>
            <w:noWrap/>
            <w:hideMark/>
          </w:tcPr>
          <w:p w14:paraId="2B8210AC"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CH</w:t>
            </w:r>
          </w:p>
        </w:tc>
        <w:tc>
          <w:tcPr>
            <w:tcW w:w="1805" w:type="dxa"/>
            <w:noWrap/>
            <w:hideMark/>
          </w:tcPr>
          <w:p w14:paraId="37C66A2E"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UBS</w:t>
            </w:r>
          </w:p>
        </w:tc>
        <w:tc>
          <w:tcPr>
            <w:tcW w:w="1151" w:type="dxa"/>
            <w:noWrap/>
            <w:hideMark/>
          </w:tcPr>
          <w:p w14:paraId="51E43C6E"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6.38</w:t>
            </w:r>
          </w:p>
        </w:tc>
        <w:tc>
          <w:tcPr>
            <w:tcW w:w="839" w:type="dxa"/>
            <w:noWrap/>
            <w:hideMark/>
          </w:tcPr>
          <w:p w14:paraId="3BEF1A02"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44</w:t>
            </w:r>
          </w:p>
        </w:tc>
        <w:tc>
          <w:tcPr>
            <w:tcW w:w="723" w:type="dxa"/>
            <w:noWrap/>
            <w:hideMark/>
          </w:tcPr>
          <w:p w14:paraId="5EC59498"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7</w:t>
            </w:r>
          </w:p>
        </w:tc>
        <w:tc>
          <w:tcPr>
            <w:tcW w:w="563" w:type="dxa"/>
            <w:noWrap/>
            <w:hideMark/>
          </w:tcPr>
          <w:p w14:paraId="5CE26B33"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2363" w:type="dxa"/>
            <w:noWrap/>
            <w:hideMark/>
          </w:tcPr>
          <w:p w14:paraId="75377783"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Jefferies LLC</w:t>
            </w:r>
          </w:p>
        </w:tc>
      </w:tr>
      <w:tr w:rsidR="00F307DE" w:rsidRPr="00064CC0" w14:paraId="32A99690" w14:textId="77777777" w:rsidTr="0036474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7" w:type="dxa"/>
            <w:noWrap/>
            <w:hideMark/>
          </w:tcPr>
          <w:p w14:paraId="135B9D99" w14:textId="77777777" w:rsidR="00F76A9C" w:rsidRPr="0036474B" w:rsidRDefault="00F76A9C">
            <w:pPr>
              <w:rPr>
                <w:rFonts w:ascii="Times New Roman" w:hAnsi="Times New Roman" w:cs="Times New Roman"/>
                <w:noProof/>
                <w:sz w:val="24"/>
                <w:szCs w:val="24"/>
              </w:rPr>
            </w:pPr>
            <w:r w:rsidRPr="0036474B">
              <w:rPr>
                <w:rFonts w:ascii="Times New Roman" w:hAnsi="Times New Roman" w:cs="Times New Roman"/>
                <w:noProof/>
                <w:sz w:val="24"/>
                <w:szCs w:val="24"/>
              </w:rPr>
              <w:t>8</w:t>
            </w:r>
          </w:p>
        </w:tc>
        <w:tc>
          <w:tcPr>
            <w:tcW w:w="563" w:type="dxa"/>
            <w:noWrap/>
            <w:hideMark/>
          </w:tcPr>
          <w:p w14:paraId="3CB9B526"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UK</w:t>
            </w:r>
          </w:p>
        </w:tc>
        <w:tc>
          <w:tcPr>
            <w:tcW w:w="1805" w:type="dxa"/>
            <w:noWrap/>
            <w:hideMark/>
          </w:tcPr>
          <w:p w14:paraId="3B673FFB"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Barclays</w:t>
            </w:r>
          </w:p>
        </w:tc>
        <w:tc>
          <w:tcPr>
            <w:tcW w:w="1151" w:type="dxa"/>
            <w:noWrap/>
            <w:hideMark/>
          </w:tcPr>
          <w:p w14:paraId="030E5D79"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4.97</w:t>
            </w:r>
          </w:p>
        </w:tc>
        <w:tc>
          <w:tcPr>
            <w:tcW w:w="839" w:type="dxa"/>
            <w:noWrap/>
            <w:hideMark/>
          </w:tcPr>
          <w:p w14:paraId="5924A3E7"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28</w:t>
            </w:r>
          </w:p>
        </w:tc>
        <w:tc>
          <w:tcPr>
            <w:tcW w:w="723" w:type="dxa"/>
            <w:noWrap/>
            <w:hideMark/>
          </w:tcPr>
          <w:p w14:paraId="6DB0B08E"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8</w:t>
            </w:r>
          </w:p>
        </w:tc>
        <w:tc>
          <w:tcPr>
            <w:tcW w:w="563" w:type="dxa"/>
            <w:noWrap/>
            <w:hideMark/>
          </w:tcPr>
          <w:p w14:paraId="2E722E0D"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UK</w:t>
            </w:r>
          </w:p>
        </w:tc>
        <w:tc>
          <w:tcPr>
            <w:tcW w:w="2363" w:type="dxa"/>
            <w:noWrap/>
            <w:hideMark/>
          </w:tcPr>
          <w:p w14:paraId="6D5D62F1"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Barclays</w:t>
            </w:r>
          </w:p>
        </w:tc>
      </w:tr>
      <w:tr w:rsidR="00F76A9C" w:rsidRPr="00064CC0" w14:paraId="1A2E1237" w14:textId="77777777" w:rsidTr="0036474B">
        <w:trPr>
          <w:trHeight w:val="300"/>
        </w:trPr>
        <w:tc>
          <w:tcPr>
            <w:cnfStyle w:val="001000000000" w:firstRow="0" w:lastRow="0" w:firstColumn="1" w:lastColumn="0" w:oddVBand="0" w:evenVBand="0" w:oddHBand="0" w:evenHBand="0" w:firstRowFirstColumn="0" w:firstRowLastColumn="0" w:lastRowFirstColumn="0" w:lastRowLastColumn="0"/>
            <w:tcW w:w="777" w:type="dxa"/>
            <w:noWrap/>
            <w:hideMark/>
          </w:tcPr>
          <w:p w14:paraId="2F01D214" w14:textId="77777777" w:rsidR="00F76A9C" w:rsidRPr="0036474B" w:rsidRDefault="00F76A9C">
            <w:pPr>
              <w:rPr>
                <w:rFonts w:ascii="Times New Roman" w:hAnsi="Times New Roman" w:cs="Times New Roman"/>
                <w:noProof/>
                <w:sz w:val="24"/>
                <w:szCs w:val="24"/>
              </w:rPr>
            </w:pPr>
            <w:r w:rsidRPr="0036474B">
              <w:rPr>
                <w:rFonts w:ascii="Times New Roman" w:hAnsi="Times New Roman" w:cs="Times New Roman"/>
                <w:noProof/>
                <w:sz w:val="24"/>
                <w:szCs w:val="24"/>
              </w:rPr>
              <w:t>9</w:t>
            </w:r>
          </w:p>
        </w:tc>
        <w:tc>
          <w:tcPr>
            <w:tcW w:w="563" w:type="dxa"/>
            <w:noWrap/>
            <w:hideMark/>
          </w:tcPr>
          <w:p w14:paraId="73E512D8"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EU</w:t>
            </w:r>
          </w:p>
        </w:tc>
        <w:tc>
          <w:tcPr>
            <w:tcW w:w="1805" w:type="dxa"/>
            <w:noWrap/>
            <w:hideMark/>
          </w:tcPr>
          <w:p w14:paraId="3610D08C"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Deutsche Bank</w:t>
            </w:r>
          </w:p>
        </w:tc>
        <w:tc>
          <w:tcPr>
            <w:tcW w:w="1151" w:type="dxa"/>
            <w:noWrap/>
            <w:hideMark/>
          </w:tcPr>
          <w:p w14:paraId="3E1D49E0"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4.35</w:t>
            </w:r>
          </w:p>
        </w:tc>
        <w:tc>
          <w:tcPr>
            <w:tcW w:w="839" w:type="dxa"/>
            <w:noWrap/>
            <w:hideMark/>
          </w:tcPr>
          <w:p w14:paraId="04A7E700"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34</w:t>
            </w:r>
          </w:p>
        </w:tc>
        <w:tc>
          <w:tcPr>
            <w:tcW w:w="723" w:type="dxa"/>
            <w:noWrap/>
            <w:hideMark/>
          </w:tcPr>
          <w:p w14:paraId="3855AF8F"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9</w:t>
            </w:r>
          </w:p>
        </w:tc>
        <w:tc>
          <w:tcPr>
            <w:tcW w:w="563" w:type="dxa"/>
            <w:noWrap/>
            <w:hideMark/>
          </w:tcPr>
          <w:p w14:paraId="4A3CE281"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2363" w:type="dxa"/>
            <w:noWrap/>
            <w:hideMark/>
          </w:tcPr>
          <w:p w14:paraId="1CCA5BBD"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Cantor Fitzgerald &amp; Co</w:t>
            </w:r>
          </w:p>
        </w:tc>
      </w:tr>
      <w:tr w:rsidR="00F307DE" w:rsidRPr="00064CC0" w14:paraId="6099C889" w14:textId="77777777" w:rsidTr="0036474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7" w:type="dxa"/>
            <w:noWrap/>
            <w:hideMark/>
          </w:tcPr>
          <w:p w14:paraId="747D966D" w14:textId="77777777" w:rsidR="00F76A9C" w:rsidRPr="0036474B" w:rsidRDefault="00F76A9C">
            <w:pPr>
              <w:rPr>
                <w:rFonts w:ascii="Times New Roman" w:hAnsi="Times New Roman" w:cs="Times New Roman"/>
                <w:noProof/>
                <w:sz w:val="24"/>
                <w:szCs w:val="24"/>
              </w:rPr>
            </w:pPr>
            <w:r w:rsidRPr="0036474B">
              <w:rPr>
                <w:rFonts w:ascii="Times New Roman" w:hAnsi="Times New Roman" w:cs="Times New Roman"/>
                <w:noProof/>
                <w:sz w:val="24"/>
                <w:szCs w:val="24"/>
              </w:rPr>
              <w:t>10</w:t>
            </w:r>
          </w:p>
        </w:tc>
        <w:tc>
          <w:tcPr>
            <w:tcW w:w="563" w:type="dxa"/>
            <w:noWrap/>
            <w:hideMark/>
          </w:tcPr>
          <w:p w14:paraId="1100DA9F"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US</w:t>
            </w:r>
          </w:p>
        </w:tc>
        <w:tc>
          <w:tcPr>
            <w:tcW w:w="1805" w:type="dxa"/>
            <w:noWrap/>
            <w:hideMark/>
          </w:tcPr>
          <w:p w14:paraId="68CFC586"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Jefferies LLC</w:t>
            </w:r>
          </w:p>
        </w:tc>
        <w:tc>
          <w:tcPr>
            <w:tcW w:w="1151" w:type="dxa"/>
            <w:noWrap/>
            <w:hideMark/>
          </w:tcPr>
          <w:p w14:paraId="05D995A0"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3.57</w:t>
            </w:r>
          </w:p>
        </w:tc>
        <w:tc>
          <w:tcPr>
            <w:tcW w:w="839" w:type="dxa"/>
            <w:noWrap/>
            <w:hideMark/>
          </w:tcPr>
          <w:p w14:paraId="074DDCD7"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34</w:t>
            </w:r>
          </w:p>
        </w:tc>
        <w:tc>
          <w:tcPr>
            <w:tcW w:w="723" w:type="dxa"/>
            <w:noWrap/>
            <w:hideMark/>
          </w:tcPr>
          <w:p w14:paraId="511DE30B"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10</w:t>
            </w:r>
          </w:p>
        </w:tc>
        <w:tc>
          <w:tcPr>
            <w:tcW w:w="563" w:type="dxa"/>
            <w:noWrap/>
            <w:hideMark/>
          </w:tcPr>
          <w:p w14:paraId="029C0D05"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EU</w:t>
            </w:r>
          </w:p>
        </w:tc>
        <w:tc>
          <w:tcPr>
            <w:tcW w:w="2363" w:type="dxa"/>
            <w:noWrap/>
            <w:hideMark/>
          </w:tcPr>
          <w:p w14:paraId="37AC1B22"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BNP Paribas</w:t>
            </w:r>
          </w:p>
        </w:tc>
      </w:tr>
      <w:tr w:rsidR="00F76A9C" w:rsidRPr="00064CC0" w14:paraId="304D9C21" w14:textId="77777777" w:rsidTr="0036474B">
        <w:trPr>
          <w:trHeight w:val="300"/>
        </w:trPr>
        <w:tc>
          <w:tcPr>
            <w:cnfStyle w:val="001000000000" w:firstRow="0" w:lastRow="0" w:firstColumn="1" w:lastColumn="0" w:oddVBand="0" w:evenVBand="0" w:oddHBand="0" w:evenHBand="0" w:firstRowFirstColumn="0" w:firstRowLastColumn="0" w:lastRowFirstColumn="0" w:lastRowLastColumn="0"/>
            <w:tcW w:w="777" w:type="dxa"/>
            <w:noWrap/>
            <w:hideMark/>
          </w:tcPr>
          <w:p w14:paraId="06AF10CE" w14:textId="77777777" w:rsidR="00F76A9C" w:rsidRPr="0036474B" w:rsidRDefault="00F76A9C">
            <w:pPr>
              <w:rPr>
                <w:rFonts w:ascii="Times New Roman" w:hAnsi="Times New Roman" w:cs="Times New Roman"/>
                <w:noProof/>
                <w:sz w:val="24"/>
                <w:szCs w:val="24"/>
              </w:rPr>
            </w:pPr>
          </w:p>
        </w:tc>
        <w:tc>
          <w:tcPr>
            <w:tcW w:w="563" w:type="dxa"/>
            <w:noWrap/>
            <w:hideMark/>
          </w:tcPr>
          <w:p w14:paraId="05246AEF"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p>
        </w:tc>
        <w:tc>
          <w:tcPr>
            <w:tcW w:w="1805" w:type="dxa"/>
            <w:noWrap/>
            <w:hideMark/>
          </w:tcPr>
          <w:p w14:paraId="6126F9DC"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Subtotal</w:t>
            </w:r>
          </w:p>
        </w:tc>
        <w:tc>
          <w:tcPr>
            <w:tcW w:w="1151" w:type="dxa"/>
            <w:noWrap/>
            <w:hideMark/>
          </w:tcPr>
          <w:p w14:paraId="2F4C5F1D"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90.79</w:t>
            </w:r>
          </w:p>
        </w:tc>
        <w:tc>
          <w:tcPr>
            <w:tcW w:w="839" w:type="dxa"/>
            <w:noWrap/>
            <w:hideMark/>
          </w:tcPr>
          <w:p w14:paraId="1FE9AE7C"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220</w:t>
            </w:r>
          </w:p>
        </w:tc>
        <w:tc>
          <w:tcPr>
            <w:tcW w:w="723" w:type="dxa"/>
            <w:noWrap/>
            <w:hideMark/>
          </w:tcPr>
          <w:p w14:paraId="62D78171"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p>
        </w:tc>
        <w:tc>
          <w:tcPr>
            <w:tcW w:w="563" w:type="dxa"/>
            <w:noWrap/>
            <w:hideMark/>
          </w:tcPr>
          <w:p w14:paraId="008DC750"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p>
        </w:tc>
        <w:tc>
          <w:tcPr>
            <w:tcW w:w="2363" w:type="dxa"/>
            <w:noWrap/>
            <w:hideMark/>
          </w:tcPr>
          <w:p w14:paraId="5A23F3D2" w14:textId="77777777" w:rsidR="00F76A9C" w:rsidRPr="0036474B" w:rsidRDefault="00F76A9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Subtotal</w:t>
            </w:r>
          </w:p>
        </w:tc>
      </w:tr>
      <w:tr w:rsidR="00F307DE" w:rsidRPr="00064CC0" w14:paraId="46F5FBE0" w14:textId="77777777" w:rsidTr="0036474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7" w:type="dxa"/>
            <w:noWrap/>
            <w:hideMark/>
          </w:tcPr>
          <w:p w14:paraId="2C6B5EF4" w14:textId="77777777" w:rsidR="00F76A9C" w:rsidRPr="0036474B" w:rsidRDefault="00F76A9C">
            <w:pPr>
              <w:rPr>
                <w:rFonts w:ascii="Times New Roman" w:hAnsi="Times New Roman" w:cs="Times New Roman"/>
                <w:noProof/>
                <w:sz w:val="24"/>
                <w:szCs w:val="24"/>
              </w:rPr>
            </w:pPr>
          </w:p>
        </w:tc>
        <w:tc>
          <w:tcPr>
            <w:tcW w:w="563" w:type="dxa"/>
            <w:noWrap/>
            <w:hideMark/>
          </w:tcPr>
          <w:p w14:paraId="2E267CA0"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p>
        </w:tc>
        <w:tc>
          <w:tcPr>
            <w:tcW w:w="1805" w:type="dxa"/>
            <w:noWrap/>
            <w:hideMark/>
          </w:tcPr>
          <w:p w14:paraId="1587D2A1"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Total</w:t>
            </w:r>
          </w:p>
        </w:tc>
        <w:tc>
          <w:tcPr>
            <w:tcW w:w="1151" w:type="dxa"/>
            <w:noWrap/>
            <w:hideMark/>
          </w:tcPr>
          <w:p w14:paraId="16A82F6D"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134.37</w:t>
            </w:r>
          </w:p>
        </w:tc>
        <w:tc>
          <w:tcPr>
            <w:tcW w:w="839" w:type="dxa"/>
            <w:noWrap/>
            <w:hideMark/>
          </w:tcPr>
          <w:p w14:paraId="4D302045"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975</w:t>
            </w:r>
          </w:p>
        </w:tc>
        <w:tc>
          <w:tcPr>
            <w:tcW w:w="723" w:type="dxa"/>
            <w:noWrap/>
            <w:hideMark/>
          </w:tcPr>
          <w:p w14:paraId="4A52CF55"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p>
        </w:tc>
        <w:tc>
          <w:tcPr>
            <w:tcW w:w="563" w:type="dxa"/>
            <w:noWrap/>
            <w:hideMark/>
          </w:tcPr>
          <w:p w14:paraId="65E8C8AB"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p>
        </w:tc>
        <w:tc>
          <w:tcPr>
            <w:tcW w:w="2363" w:type="dxa"/>
            <w:noWrap/>
            <w:hideMark/>
          </w:tcPr>
          <w:p w14:paraId="2E672B54" w14:textId="77777777" w:rsidR="00F76A9C" w:rsidRPr="0036474B" w:rsidRDefault="00F76A9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sidRPr="0036474B">
              <w:rPr>
                <w:rFonts w:ascii="Times New Roman" w:hAnsi="Times New Roman" w:cs="Times New Roman"/>
                <w:noProof/>
                <w:sz w:val="24"/>
                <w:szCs w:val="24"/>
              </w:rPr>
              <w:t>Total</w:t>
            </w:r>
          </w:p>
        </w:tc>
      </w:tr>
    </w:tbl>
    <w:p w14:paraId="22526D3C" w14:textId="34F3D599" w:rsidR="002B609C" w:rsidRPr="008F1B26" w:rsidRDefault="007912B2" w:rsidP="00A86529">
      <w:pPr>
        <w:jc w:val="both"/>
        <w:rPr>
          <w:rFonts w:ascii="Times New Roman" w:hAnsi="Times New Roman" w:cs="Times New Roman"/>
          <w:i/>
          <w:iCs/>
          <w:noProof/>
          <w:sz w:val="24"/>
          <w:szCs w:val="24"/>
          <w:lang w:val="en-GB"/>
        </w:rPr>
      </w:pPr>
      <w:r w:rsidRPr="008F1B26">
        <w:rPr>
          <w:rFonts w:ascii="Times New Roman" w:hAnsi="Times New Roman" w:cs="Times New Roman"/>
          <w:i/>
          <w:iCs/>
          <w:noProof/>
          <w:sz w:val="24"/>
          <w:szCs w:val="24"/>
          <w:lang w:val="en-GB"/>
        </w:rPr>
        <w:t>Source: Dealogic</w:t>
      </w:r>
    </w:p>
    <w:p w14:paraId="0866670A" w14:textId="7BE49487" w:rsidR="00240837" w:rsidRPr="0036474B" w:rsidRDefault="6C5081F3" w:rsidP="00A86529">
      <w:pPr>
        <w:jc w:val="both"/>
        <w:rPr>
          <w:rFonts w:ascii="Times New Roman" w:hAnsi="Times New Roman" w:cs="Times New Roman"/>
          <w:noProof/>
          <w:sz w:val="24"/>
          <w:szCs w:val="24"/>
        </w:rPr>
      </w:pPr>
      <w:r w:rsidRPr="0036474B">
        <w:rPr>
          <w:rFonts w:ascii="Times New Roman" w:hAnsi="Times New Roman" w:cs="Times New Roman"/>
          <w:b/>
          <w:bCs/>
          <w:noProof/>
          <w:sz w:val="24"/>
          <w:szCs w:val="24"/>
          <w:lang w:val="en-GB"/>
        </w:rPr>
        <w:t>These activities critically depend on size</w:t>
      </w:r>
      <w:r w:rsidR="738A20E2" w:rsidRPr="0036474B">
        <w:rPr>
          <w:rFonts w:ascii="Times New Roman" w:hAnsi="Times New Roman" w:cs="Times New Roman"/>
          <w:b/>
          <w:bCs/>
          <w:noProof/>
          <w:sz w:val="24"/>
          <w:szCs w:val="24"/>
          <w:lang w:val="en-GB"/>
        </w:rPr>
        <w:t xml:space="preserve">, </w:t>
      </w:r>
      <w:r w:rsidR="3B30C420" w:rsidRPr="0036474B">
        <w:rPr>
          <w:rFonts w:ascii="Times New Roman" w:hAnsi="Times New Roman" w:cs="Times New Roman"/>
          <w:b/>
          <w:bCs/>
          <w:noProof/>
          <w:sz w:val="24"/>
          <w:szCs w:val="24"/>
          <w:lang w:val="en-GB"/>
        </w:rPr>
        <w:t>which</w:t>
      </w:r>
      <w:r w:rsidR="738A20E2" w:rsidRPr="0036474B">
        <w:rPr>
          <w:rFonts w:ascii="Times New Roman" w:hAnsi="Times New Roman" w:cs="Times New Roman"/>
          <w:b/>
          <w:bCs/>
          <w:noProof/>
          <w:sz w:val="24"/>
          <w:szCs w:val="24"/>
        </w:rPr>
        <w:t xml:space="preserve"> allows to withstand the instability of the business revenues, diversifying income across CIB activities in bad years and capitalising on excess demand in good years.</w:t>
      </w:r>
      <w:r w:rsidRPr="0036474B">
        <w:rPr>
          <w:rFonts w:ascii="Times New Roman" w:hAnsi="Times New Roman" w:cs="Times New Roman"/>
          <w:noProof/>
          <w:sz w:val="24"/>
          <w:szCs w:val="24"/>
          <w:lang w:val="en-GB"/>
        </w:rPr>
        <w:t xml:space="preserve"> </w:t>
      </w:r>
      <w:r w:rsidR="005E1573" w:rsidRPr="0036474B">
        <w:rPr>
          <w:rFonts w:ascii="Times New Roman" w:hAnsi="Times New Roman" w:cs="Times New Roman"/>
          <w:noProof/>
          <w:sz w:val="24"/>
          <w:szCs w:val="24"/>
        </w:rPr>
        <w:t>A diversified market presence across corporate and investment banking</w:t>
      </w:r>
      <w:r w:rsidR="4E20C5F0" w:rsidRPr="0036474B">
        <w:rPr>
          <w:rFonts w:ascii="Times New Roman" w:hAnsi="Times New Roman" w:cs="Times New Roman"/>
          <w:noProof/>
          <w:sz w:val="24"/>
          <w:szCs w:val="24"/>
        </w:rPr>
        <w:t xml:space="preserve"> can </w:t>
      </w:r>
      <w:r w:rsidR="6EDC4938" w:rsidRPr="0036474B">
        <w:rPr>
          <w:rFonts w:ascii="Times New Roman" w:hAnsi="Times New Roman" w:cs="Times New Roman"/>
          <w:noProof/>
          <w:sz w:val="24"/>
          <w:szCs w:val="24"/>
        </w:rPr>
        <w:t xml:space="preserve">help banks stabilise the </w:t>
      </w:r>
      <w:r w:rsidR="701E13EC" w:rsidRPr="0036474B">
        <w:rPr>
          <w:rFonts w:ascii="Times New Roman" w:hAnsi="Times New Roman" w:cs="Times New Roman"/>
          <w:noProof/>
          <w:sz w:val="24"/>
          <w:szCs w:val="24"/>
        </w:rPr>
        <w:t xml:space="preserve">swings in </w:t>
      </w:r>
      <w:r w:rsidR="3E7E15EC" w:rsidRPr="0036474B">
        <w:rPr>
          <w:rFonts w:ascii="Times New Roman" w:hAnsi="Times New Roman" w:cs="Times New Roman"/>
          <w:noProof/>
          <w:sz w:val="24"/>
          <w:szCs w:val="24"/>
        </w:rPr>
        <w:t>revenues across business lines</w:t>
      </w:r>
      <w:r w:rsidR="0D6F7932" w:rsidRPr="0036474B">
        <w:rPr>
          <w:rFonts w:ascii="Times New Roman" w:hAnsi="Times New Roman" w:cs="Times New Roman"/>
          <w:noProof/>
          <w:sz w:val="24"/>
          <w:szCs w:val="24"/>
        </w:rPr>
        <w:t xml:space="preserve">, driven by the instability </w:t>
      </w:r>
      <w:r w:rsidR="5756A801" w:rsidRPr="0036474B">
        <w:rPr>
          <w:rFonts w:ascii="Times New Roman" w:hAnsi="Times New Roman" w:cs="Times New Roman"/>
          <w:noProof/>
          <w:sz w:val="24"/>
          <w:szCs w:val="24"/>
        </w:rPr>
        <w:t>of</w:t>
      </w:r>
      <w:r w:rsidR="0D6F7932" w:rsidRPr="0036474B">
        <w:rPr>
          <w:rFonts w:ascii="Times New Roman" w:hAnsi="Times New Roman" w:cs="Times New Roman"/>
          <w:noProof/>
          <w:sz w:val="24"/>
          <w:szCs w:val="24"/>
        </w:rPr>
        <w:t xml:space="preserve"> macro trends determining the fee pool that banks can earn.</w:t>
      </w:r>
      <w:r w:rsidR="5756A801" w:rsidRPr="0036474B">
        <w:rPr>
          <w:rFonts w:ascii="Times New Roman" w:hAnsi="Times New Roman" w:cs="Times New Roman"/>
          <w:noProof/>
          <w:sz w:val="24"/>
          <w:szCs w:val="24"/>
        </w:rPr>
        <w:t xml:space="preserve"> G</w:t>
      </w:r>
      <w:r w:rsidR="3E7E15EC" w:rsidRPr="0036474B">
        <w:rPr>
          <w:rFonts w:ascii="Times New Roman" w:hAnsi="Times New Roman" w:cs="Times New Roman"/>
          <w:noProof/>
          <w:sz w:val="24"/>
          <w:szCs w:val="24"/>
        </w:rPr>
        <w:t>rowth rates in the G</w:t>
      </w:r>
      <w:r w:rsidR="0340ED8E" w:rsidRPr="0036474B">
        <w:rPr>
          <w:rFonts w:ascii="Times New Roman" w:hAnsi="Times New Roman" w:cs="Times New Roman"/>
          <w:noProof/>
          <w:sz w:val="24"/>
          <w:szCs w:val="24"/>
        </w:rPr>
        <w:t xml:space="preserve">lobal </w:t>
      </w:r>
      <w:r w:rsidR="3E7E15EC" w:rsidRPr="0036474B">
        <w:rPr>
          <w:rFonts w:ascii="Times New Roman" w:hAnsi="Times New Roman" w:cs="Times New Roman"/>
          <w:noProof/>
          <w:sz w:val="24"/>
          <w:szCs w:val="24"/>
        </w:rPr>
        <w:t>M</w:t>
      </w:r>
      <w:r w:rsidR="0340ED8E" w:rsidRPr="0036474B">
        <w:rPr>
          <w:rFonts w:ascii="Times New Roman" w:hAnsi="Times New Roman" w:cs="Times New Roman"/>
          <w:noProof/>
          <w:sz w:val="24"/>
          <w:szCs w:val="24"/>
        </w:rPr>
        <w:t>arkets (GM)</w:t>
      </w:r>
      <w:r w:rsidR="3E7E15EC" w:rsidRPr="0036474B">
        <w:rPr>
          <w:rFonts w:ascii="Times New Roman" w:hAnsi="Times New Roman" w:cs="Times New Roman"/>
          <w:noProof/>
          <w:sz w:val="24"/>
          <w:szCs w:val="24"/>
        </w:rPr>
        <w:t xml:space="preserve"> and</w:t>
      </w:r>
      <w:r w:rsidR="0340ED8E" w:rsidRPr="0036474B">
        <w:rPr>
          <w:rFonts w:ascii="Times New Roman" w:hAnsi="Times New Roman" w:cs="Times New Roman"/>
          <w:noProof/>
          <w:sz w:val="24"/>
          <w:szCs w:val="24"/>
        </w:rPr>
        <w:t xml:space="preserve"> Investment Banking (</w:t>
      </w:r>
      <w:r w:rsidR="3E7E15EC" w:rsidRPr="0036474B">
        <w:rPr>
          <w:rFonts w:ascii="Times New Roman" w:hAnsi="Times New Roman" w:cs="Times New Roman"/>
          <w:noProof/>
          <w:sz w:val="24"/>
          <w:szCs w:val="24"/>
        </w:rPr>
        <w:t>IB</w:t>
      </w:r>
      <w:r w:rsidR="0340ED8E" w:rsidRPr="0036474B">
        <w:rPr>
          <w:rFonts w:ascii="Times New Roman" w:hAnsi="Times New Roman" w:cs="Times New Roman"/>
          <w:noProof/>
          <w:sz w:val="24"/>
          <w:szCs w:val="24"/>
        </w:rPr>
        <w:t>)</w:t>
      </w:r>
      <w:r w:rsidR="3E7E15EC" w:rsidRPr="0036474B">
        <w:rPr>
          <w:rFonts w:ascii="Times New Roman" w:hAnsi="Times New Roman" w:cs="Times New Roman"/>
          <w:noProof/>
          <w:sz w:val="24"/>
          <w:szCs w:val="24"/>
        </w:rPr>
        <w:t xml:space="preserve"> sectors over the past 10 years have ranged from -37% to 27% with particularly pronounced swings during the pandemic</w:t>
      </w:r>
      <w:r w:rsidR="5756A801" w:rsidRPr="0036474B">
        <w:rPr>
          <w:rFonts w:ascii="Times New Roman" w:hAnsi="Times New Roman" w:cs="Times New Roman"/>
          <w:noProof/>
          <w:sz w:val="24"/>
          <w:szCs w:val="24"/>
        </w:rPr>
        <w:t>.</w:t>
      </w:r>
      <w:r w:rsidR="3E7E15EC" w:rsidRPr="0036474B">
        <w:rPr>
          <w:rFonts w:ascii="Times New Roman" w:hAnsi="Times New Roman" w:cs="Times New Roman"/>
          <w:noProof/>
          <w:sz w:val="24"/>
          <w:szCs w:val="24"/>
        </w:rPr>
        <w:t xml:space="preserve"> </w:t>
      </w:r>
      <w:r w:rsidR="3EC23C5F" w:rsidRPr="0036474B">
        <w:rPr>
          <w:rFonts w:ascii="Times New Roman" w:hAnsi="Times New Roman" w:cs="Times New Roman"/>
          <w:noProof/>
          <w:sz w:val="24"/>
          <w:szCs w:val="24"/>
        </w:rPr>
        <w:t>A</w:t>
      </w:r>
      <w:r w:rsidR="3BF52C70" w:rsidRPr="0036474B">
        <w:rPr>
          <w:rFonts w:ascii="Times New Roman" w:hAnsi="Times New Roman" w:cs="Times New Roman"/>
          <w:noProof/>
          <w:sz w:val="24"/>
          <w:szCs w:val="24"/>
        </w:rPr>
        <w:t xml:space="preserve"> </w:t>
      </w:r>
      <w:r w:rsidR="3EC23C5F" w:rsidRPr="0036474B">
        <w:rPr>
          <w:rFonts w:ascii="Times New Roman" w:hAnsi="Times New Roman" w:cs="Times New Roman"/>
          <w:noProof/>
          <w:sz w:val="24"/>
          <w:szCs w:val="24"/>
        </w:rPr>
        <w:t xml:space="preserve">bank of larger size can </w:t>
      </w:r>
      <w:r w:rsidR="27A7540A" w:rsidRPr="0036474B">
        <w:rPr>
          <w:rFonts w:ascii="Times New Roman" w:hAnsi="Times New Roman" w:cs="Times New Roman"/>
          <w:noProof/>
          <w:sz w:val="24"/>
          <w:szCs w:val="24"/>
        </w:rPr>
        <w:t xml:space="preserve">reap the </w:t>
      </w:r>
      <w:r w:rsidR="138E3471" w:rsidRPr="0036474B">
        <w:rPr>
          <w:rFonts w:ascii="Times New Roman" w:hAnsi="Times New Roman" w:cs="Times New Roman"/>
          <w:noProof/>
          <w:sz w:val="24"/>
          <w:szCs w:val="24"/>
        </w:rPr>
        <w:t>benefits of d</w:t>
      </w:r>
      <w:r w:rsidR="3EC23C5F" w:rsidRPr="0036474B">
        <w:rPr>
          <w:rFonts w:ascii="Times New Roman" w:hAnsi="Times New Roman" w:cs="Times New Roman"/>
          <w:noProof/>
          <w:sz w:val="24"/>
          <w:szCs w:val="24"/>
        </w:rPr>
        <w:t>iversification</w:t>
      </w:r>
      <w:r w:rsidR="138E3471" w:rsidRPr="0036474B">
        <w:rPr>
          <w:rFonts w:ascii="Times New Roman" w:hAnsi="Times New Roman" w:cs="Times New Roman"/>
          <w:noProof/>
          <w:sz w:val="24"/>
          <w:szCs w:val="24"/>
        </w:rPr>
        <w:t>,</w:t>
      </w:r>
      <w:r w:rsidR="3EC23C5F" w:rsidRPr="0036474B">
        <w:rPr>
          <w:rFonts w:ascii="Times New Roman" w:hAnsi="Times New Roman" w:cs="Times New Roman"/>
          <w:noProof/>
          <w:sz w:val="24"/>
          <w:szCs w:val="24"/>
        </w:rPr>
        <w:t xml:space="preserve"> offsetting between different activity types</w:t>
      </w:r>
      <w:r w:rsidR="0A4E2A92" w:rsidRPr="009C5961">
        <w:rPr>
          <w:rFonts w:ascii="Times New Roman" w:hAnsi="Times New Roman" w:cs="Times New Roman"/>
          <w:noProof/>
          <w:sz w:val="24"/>
          <w:szCs w:val="24"/>
        </w:rPr>
        <w:t>—</w:t>
      </w:r>
      <w:r w:rsidR="3EC23C5F" w:rsidRPr="0036474B">
        <w:rPr>
          <w:rFonts w:ascii="Times New Roman" w:hAnsi="Times New Roman" w:cs="Times New Roman"/>
          <w:noProof/>
          <w:sz w:val="24"/>
          <w:szCs w:val="24"/>
        </w:rPr>
        <w:t>both within GM, but also across GM and</w:t>
      </w:r>
      <w:r w:rsidR="0340ED8E" w:rsidRPr="0036474B">
        <w:rPr>
          <w:rFonts w:ascii="Times New Roman" w:hAnsi="Times New Roman" w:cs="Times New Roman"/>
          <w:noProof/>
          <w:sz w:val="24"/>
          <w:szCs w:val="24"/>
        </w:rPr>
        <w:t xml:space="preserve"> IB</w:t>
      </w:r>
      <w:r w:rsidR="3EC23C5F" w:rsidRPr="0036474B">
        <w:rPr>
          <w:rFonts w:ascii="Times New Roman" w:hAnsi="Times New Roman" w:cs="Times New Roman"/>
          <w:noProof/>
          <w:sz w:val="24"/>
          <w:szCs w:val="24"/>
        </w:rPr>
        <w:t xml:space="preserve">. </w:t>
      </w:r>
      <w:r w:rsidR="00A43868" w:rsidRPr="0036474B">
        <w:rPr>
          <w:rFonts w:ascii="Times New Roman" w:hAnsi="Times New Roman" w:cs="Times New Roman"/>
          <w:noProof/>
          <w:sz w:val="24"/>
          <w:szCs w:val="24"/>
        </w:rPr>
        <w:t>Specifically</w:t>
      </w:r>
      <w:r w:rsidR="3EC23C5F" w:rsidRPr="0036474B">
        <w:rPr>
          <w:rFonts w:ascii="Times New Roman" w:hAnsi="Times New Roman" w:cs="Times New Roman"/>
          <w:noProof/>
          <w:sz w:val="24"/>
          <w:szCs w:val="24"/>
        </w:rPr>
        <w:t>, high volatility levels</w:t>
      </w:r>
      <w:r w:rsidR="3BF52C70" w:rsidRPr="0036474B">
        <w:rPr>
          <w:rFonts w:ascii="Times New Roman" w:hAnsi="Times New Roman" w:cs="Times New Roman"/>
          <w:noProof/>
          <w:sz w:val="24"/>
          <w:szCs w:val="24"/>
        </w:rPr>
        <w:t xml:space="preserve"> </w:t>
      </w:r>
      <w:r w:rsidR="3EC23C5F" w:rsidRPr="0036474B">
        <w:rPr>
          <w:rFonts w:ascii="Times New Roman" w:hAnsi="Times New Roman" w:cs="Times New Roman"/>
          <w:noProof/>
          <w:sz w:val="24"/>
          <w:szCs w:val="24"/>
        </w:rPr>
        <w:t xml:space="preserve">drive market making </w:t>
      </w:r>
      <w:r w:rsidR="1A8E8F69" w:rsidRPr="0036474B">
        <w:rPr>
          <w:rFonts w:ascii="Times New Roman" w:hAnsi="Times New Roman" w:cs="Times New Roman"/>
          <w:noProof/>
          <w:sz w:val="24"/>
          <w:szCs w:val="24"/>
        </w:rPr>
        <w:t xml:space="preserve">(to the benefits of GM business) </w:t>
      </w:r>
      <w:r w:rsidR="3EC23C5F" w:rsidRPr="0036474B">
        <w:rPr>
          <w:rFonts w:ascii="Times New Roman" w:hAnsi="Times New Roman" w:cs="Times New Roman"/>
          <w:noProof/>
          <w:sz w:val="24"/>
          <w:szCs w:val="24"/>
        </w:rPr>
        <w:t xml:space="preserve">at the expense of </w:t>
      </w:r>
      <w:r w:rsidR="1A18FC75" w:rsidRPr="0036474B">
        <w:rPr>
          <w:rFonts w:ascii="Times New Roman" w:hAnsi="Times New Roman" w:cs="Times New Roman"/>
          <w:noProof/>
          <w:sz w:val="24"/>
          <w:szCs w:val="24"/>
        </w:rPr>
        <w:t xml:space="preserve">IB products, like </w:t>
      </w:r>
      <w:r w:rsidR="3EC23C5F" w:rsidRPr="0036474B">
        <w:rPr>
          <w:rFonts w:ascii="Times New Roman" w:hAnsi="Times New Roman" w:cs="Times New Roman"/>
          <w:noProof/>
          <w:sz w:val="24"/>
          <w:szCs w:val="24"/>
        </w:rPr>
        <w:t>structured deals and financing</w:t>
      </w:r>
      <w:r w:rsidR="00FA620D" w:rsidRPr="0036474B">
        <w:rPr>
          <w:rFonts w:ascii="Times New Roman" w:hAnsi="Times New Roman" w:cs="Times New Roman"/>
          <w:noProof/>
          <w:sz w:val="24"/>
          <w:szCs w:val="24"/>
        </w:rPr>
        <w:t xml:space="preserve"> that tend to be postponed in period of high volatility</w:t>
      </w:r>
      <w:r w:rsidR="3EC23C5F" w:rsidRPr="0036474B">
        <w:rPr>
          <w:rFonts w:ascii="Times New Roman" w:hAnsi="Times New Roman" w:cs="Times New Roman"/>
          <w:noProof/>
          <w:sz w:val="24"/>
          <w:szCs w:val="24"/>
        </w:rPr>
        <w:t>. Vice versa, relative stability or anticipation of large shifts are</w:t>
      </w:r>
      <w:r w:rsidR="1A8E8F69" w:rsidRPr="0036474B">
        <w:rPr>
          <w:rFonts w:ascii="Times New Roman" w:hAnsi="Times New Roman" w:cs="Times New Roman"/>
          <w:noProof/>
          <w:sz w:val="24"/>
          <w:szCs w:val="24"/>
        </w:rPr>
        <w:t xml:space="preserve"> </w:t>
      </w:r>
      <w:r w:rsidR="3EC23C5F" w:rsidRPr="0036474B">
        <w:rPr>
          <w:rFonts w:ascii="Times New Roman" w:hAnsi="Times New Roman" w:cs="Times New Roman"/>
          <w:noProof/>
          <w:sz w:val="24"/>
          <w:szCs w:val="24"/>
        </w:rPr>
        <w:t>conducive to (re)financing demand and larger undertakings.</w:t>
      </w:r>
      <w:r w:rsidR="0DFE60F4" w:rsidRPr="0036474B">
        <w:rPr>
          <w:rFonts w:ascii="Times New Roman" w:hAnsi="Times New Roman" w:cs="Times New Roman"/>
          <w:noProof/>
          <w:sz w:val="24"/>
          <w:szCs w:val="24"/>
        </w:rPr>
        <w:t xml:space="preserve"> </w:t>
      </w:r>
      <w:r w:rsidR="00A56669" w:rsidRPr="0036474B">
        <w:rPr>
          <w:rFonts w:ascii="Times New Roman" w:hAnsi="Times New Roman" w:cs="Times New Roman"/>
          <w:noProof/>
          <w:sz w:val="24"/>
          <w:szCs w:val="24"/>
          <w:lang w:val="en-GB"/>
        </w:rPr>
        <w:t>Furthermore, in this context big players like US banks will be better positioned to provide excess supply of CIB services/products when the market rebounds after a bad year</w:t>
      </w:r>
      <w:r w:rsidR="00A56669" w:rsidRPr="0036474B">
        <w:rPr>
          <w:rStyle w:val="FootnoteReference"/>
          <w:rFonts w:ascii="Times New Roman" w:hAnsi="Times New Roman" w:cs="Times New Roman"/>
          <w:noProof/>
          <w:sz w:val="24"/>
          <w:szCs w:val="24"/>
          <w:lang w:val="en-GB"/>
        </w:rPr>
        <w:footnoteReference w:id="56"/>
      </w:r>
      <w:r w:rsidR="00A56669" w:rsidRPr="0036474B">
        <w:rPr>
          <w:rFonts w:ascii="Times New Roman" w:hAnsi="Times New Roman" w:cs="Times New Roman"/>
          <w:noProof/>
          <w:sz w:val="24"/>
          <w:szCs w:val="24"/>
          <w:lang w:val="en-GB"/>
        </w:rPr>
        <w:t>.</w:t>
      </w:r>
    </w:p>
    <w:p w14:paraId="2B312597" w14:textId="1BF34F95" w:rsidR="00A86529" w:rsidRPr="0036474B" w:rsidRDefault="00240837" w:rsidP="00A86529">
      <w:pPr>
        <w:jc w:val="both"/>
        <w:rPr>
          <w:rFonts w:ascii="Times New Roman" w:hAnsi="Times New Roman" w:cs="Times New Roman"/>
          <w:noProof/>
          <w:sz w:val="24"/>
          <w:szCs w:val="24"/>
          <w:lang w:val="en-GB"/>
        </w:rPr>
      </w:pPr>
      <w:r w:rsidRPr="0036474B">
        <w:rPr>
          <w:rFonts w:ascii="Times New Roman" w:hAnsi="Times New Roman" w:cs="Times New Roman"/>
          <w:b/>
          <w:bCs/>
          <w:noProof/>
          <w:sz w:val="24"/>
          <w:szCs w:val="24"/>
          <w:lang w:val="en-GB"/>
        </w:rPr>
        <w:t xml:space="preserve">Bigger banks are also better positioned to maintain </w:t>
      </w:r>
      <w:r w:rsidR="002921D2" w:rsidRPr="0036474B">
        <w:rPr>
          <w:rFonts w:ascii="Times New Roman" w:hAnsi="Times New Roman" w:cs="Times New Roman"/>
          <w:b/>
          <w:bCs/>
          <w:noProof/>
          <w:sz w:val="24"/>
          <w:szCs w:val="24"/>
          <w:lang w:val="en-GB"/>
        </w:rPr>
        <w:t xml:space="preserve">broad coverage </w:t>
      </w:r>
      <w:r w:rsidR="00DB788F" w:rsidRPr="0036474B">
        <w:rPr>
          <w:rFonts w:ascii="Times New Roman" w:hAnsi="Times New Roman" w:cs="Times New Roman"/>
          <w:b/>
          <w:bCs/>
          <w:noProof/>
          <w:sz w:val="24"/>
          <w:szCs w:val="24"/>
          <w:lang w:val="en-GB"/>
        </w:rPr>
        <w:t xml:space="preserve">across different business </w:t>
      </w:r>
      <w:r w:rsidR="00DE5C3B" w:rsidRPr="0036474B">
        <w:rPr>
          <w:rFonts w:ascii="Times New Roman" w:hAnsi="Times New Roman" w:cs="Times New Roman"/>
          <w:b/>
          <w:bCs/>
          <w:noProof/>
          <w:sz w:val="24"/>
          <w:szCs w:val="24"/>
          <w:lang w:val="en-GB"/>
        </w:rPr>
        <w:t>lines</w:t>
      </w:r>
      <w:r w:rsidR="00586BBE" w:rsidRPr="0036474B">
        <w:rPr>
          <w:rFonts w:ascii="Times New Roman" w:hAnsi="Times New Roman" w:cs="Times New Roman"/>
          <w:b/>
          <w:bCs/>
          <w:noProof/>
          <w:sz w:val="24"/>
          <w:szCs w:val="24"/>
          <w:lang w:val="en-GB"/>
        </w:rPr>
        <w:t xml:space="preserve">, </w:t>
      </w:r>
      <w:r w:rsidR="00B86AAC" w:rsidRPr="0036474B">
        <w:rPr>
          <w:rFonts w:ascii="Times New Roman" w:hAnsi="Times New Roman" w:cs="Times New Roman"/>
          <w:b/>
          <w:bCs/>
          <w:noProof/>
          <w:sz w:val="24"/>
          <w:szCs w:val="24"/>
          <w:lang w:val="en-GB"/>
        </w:rPr>
        <w:t>have better capacity to</w:t>
      </w:r>
      <w:r w:rsidR="00EA1F4B" w:rsidRPr="0036474B">
        <w:rPr>
          <w:rFonts w:ascii="Times New Roman" w:hAnsi="Times New Roman" w:cs="Times New Roman"/>
          <w:b/>
          <w:bCs/>
          <w:noProof/>
          <w:sz w:val="24"/>
          <w:szCs w:val="24"/>
          <w:lang w:val="en-GB"/>
        </w:rPr>
        <w:t xml:space="preserve"> </w:t>
      </w:r>
      <w:r w:rsidRPr="0036474B">
        <w:rPr>
          <w:rFonts w:ascii="Times New Roman" w:hAnsi="Times New Roman" w:cs="Times New Roman"/>
          <w:b/>
          <w:bCs/>
          <w:noProof/>
          <w:sz w:val="24"/>
          <w:szCs w:val="24"/>
          <w:lang w:val="en-GB"/>
        </w:rPr>
        <w:t>attract and retain talent</w:t>
      </w:r>
      <w:r w:rsidR="00B86AAC" w:rsidRPr="0036474B">
        <w:rPr>
          <w:rFonts w:ascii="Times New Roman" w:hAnsi="Times New Roman" w:cs="Times New Roman"/>
          <w:b/>
          <w:bCs/>
          <w:noProof/>
          <w:sz w:val="24"/>
          <w:szCs w:val="24"/>
          <w:lang w:val="en-GB"/>
        </w:rPr>
        <w:t>.</w:t>
      </w:r>
      <w:r w:rsidRPr="0036474B">
        <w:rPr>
          <w:rFonts w:ascii="Times New Roman" w:hAnsi="Times New Roman" w:cs="Times New Roman"/>
          <w:noProof/>
          <w:sz w:val="24"/>
          <w:szCs w:val="24"/>
          <w:lang w:val="en-GB"/>
        </w:rPr>
        <w:t xml:space="preserve"> </w:t>
      </w:r>
      <w:r w:rsidR="005E1573" w:rsidRPr="0036474B">
        <w:rPr>
          <w:rFonts w:ascii="Times New Roman" w:hAnsi="Times New Roman" w:cs="Times New Roman"/>
          <w:noProof/>
          <w:sz w:val="24"/>
          <w:szCs w:val="24"/>
          <w:lang w:val="en-GB"/>
        </w:rPr>
        <w:t>The global reach and capacity to maintain coverage throughout the cycle</w:t>
      </w:r>
      <w:r w:rsidR="00B86AAC" w:rsidRPr="0036474B">
        <w:rPr>
          <w:rFonts w:ascii="Times New Roman" w:hAnsi="Times New Roman" w:cs="Times New Roman"/>
          <w:noProof/>
          <w:sz w:val="24"/>
          <w:szCs w:val="24"/>
          <w:lang w:val="en-GB"/>
        </w:rPr>
        <w:t xml:space="preserve">, coupled with </w:t>
      </w:r>
      <w:r w:rsidR="00A34305" w:rsidRPr="0036474B">
        <w:rPr>
          <w:rFonts w:ascii="Times New Roman" w:hAnsi="Times New Roman" w:cs="Times New Roman"/>
          <w:noProof/>
          <w:sz w:val="24"/>
          <w:szCs w:val="24"/>
          <w:lang w:val="en-GB"/>
        </w:rPr>
        <w:t xml:space="preserve">capacity to commit </w:t>
      </w:r>
      <w:r w:rsidR="00CC4B3A" w:rsidRPr="0036474B">
        <w:rPr>
          <w:rFonts w:ascii="Times New Roman" w:hAnsi="Times New Roman" w:cs="Times New Roman"/>
          <w:noProof/>
          <w:sz w:val="24"/>
          <w:szCs w:val="24"/>
          <w:lang w:val="en-GB"/>
        </w:rPr>
        <w:t>financial and human</w:t>
      </w:r>
      <w:r w:rsidR="001F02C9" w:rsidRPr="0036474B">
        <w:rPr>
          <w:rFonts w:ascii="Times New Roman" w:hAnsi="Times New Roman" w:cs="Times New Roman"/>
          <w:noProof/>
          <w:sz w:val="24"/>
          <w:szCs w:val="24"/>
          <w:lang w:val="en-GB"/>
        </w:rPr>
        <w:t xml:space="preserve"> </w:t>
      </w:r>
      <w:r w:rsidR="00CC4B3A" w:rsidRPr="0036474B">
        <w:rPr>
          <w:rFonts w:ascii="Times New Roman" w:hAnsi="Times New Roman" w:cs="Times New Roman"/>
          <w:noProof/>
          <w:sz w:val="24"/>
          <w:szCs w:val="24"/>
          <w:lang w:val="en-GB"/>
        </w:rPr>
        <w:t>resources</w:t>
      </w:r>
      <w:r w:rsidR="00F3648A" w:rsidRPr="0036474B">
        <w:rPr>
          <w:rFonts w:ascii="Times New Roman" w:hAnsi="Times New Roman" w:cs="Times New Roman"/>
          <w:noProof/>
          <w:sz w:val="24"/>
          <w:szCs w:val="24"/>
          <w:lang w:val="en-GB"/>
        </w:rPr>
        <w:t>, give</w:t>
      </w:r>
      <w:r w:rsidR="005E1573" w:rsidRPr="0036474B">
        <w:rPr>
          <w:rFonts w:ascii="Times New Roman" w:hAnsi="Times New Roman" w:cs="Times New Roman"/>
          <w:noProof/>
          <w:sz w:val="24"/>
          <w:szCs w:val="24"/>
          <w:lang w:val="en-GB"/>
        </w:rPr>
        <w:t xml:space="preserve"> </w:t>
      </w:r>
      <w:r w:rsidR="00E3525A" w:rsidRPr="0036474B">
        <w:rPr>
          <w:rFonts w:ascii="Times New Roman" w:hAnsi="Times New Roman" w:cs="Times New Roman"/>
          <w:noProof/>
          <w:sz w:val="24"/>
          <w:szCs w:val="24"/>
          <w:lang w:val="en-GB"/>
        </w:rPr>
        <w:t>non-EU</w:t>
      </w:r>
      <w:r w:rsidR="005E1573" w:rsidRPr="0036474B">
        <w:rPr>
          <w:rFonts w:ascii="Times New Roman" w:hAnsi="Times New Roman" w:cs="Times New Roman"/>
          <w:noProof/>
          <w:sz w:val="24"/>
          <w:szCs w:val="24"/>
          <w:lang w:val="en-GB"/>
        </w:rPr>
        <w:t xml:space="preserve"> banks a competitive advantage, </w:t>
      </w:r>
      <w:r w:rsidR="005E1573" w:rsidRPr="0036474B">
        <w:rPr>
          <w:rFonts w:ascii="Times New Roman" w:hAnsi="Times New Roman" w:cs="Times New Roman"/>
          <w:noProof/>
          <w:sz w:val="24"/>
          <w:szCs w:val="24"/>
        </w:rPr>
        <w:t>acting as "one stop shops".</w:t>
      </w:r>
      <w:r w:rsidR="005E1573" w:rsidRPr="0036474B">
        <w:rPr>
          <w:rFonts w:ascii="Times New Roman" w:hAnsi="Times New Roman" w:cs="Times New Roman"/>
          <w:noProof/>
          <w:sz w:val="24"/>
          <w:szCs w:val="24"/>
          <w:lang w:val="en-GB"/>
        </w:rPr>
        <w:t xml:space="preserve"> </w:t>
      </w:r>
      <w:r w:rsidR="00363D33" w:rsidRPr="0036474B">
        <w:rPr>
          <w:rFonts w:ascii="Times New Roman" w:hAnsi="Times New Roman" w:cs="Times New Roman"/>
          <w:noProof/>
          <w:sz w:val="24"/>
          <w:szCs w:val="24"/>
          <w:lang w:val="en-GB"/>
        </w:rPr>
        <w:t>M</w:t>
      </w:r>
      <w:r w:rsidR="00DC0332" w:rsidRPr="0036474B">
        <w:rPr>
          <w:rFonts w:ascii="Times New Roman" w:hAnsi="Times New Roman" w:cs="Times New Roman"/>
          <w:noProof/>
          <w:sz w:val="24"/>
          <w:szCs w:val="24"/>
          <w:lang w:val="en-GB"/>
        </w:rPr>
        <w:t xml:space="preserve">aintaining </w:t>
      </w:r>
      <w:r w:rsidR="00D164F3" w:rsidRPr="0036474B">
        <w:rPr>
          <w:rFonts w:ascii="Times New Roman" w:hAnsi="Times New Roman" w:cs="Times New Roman"/>
          <w:noProof/>
          <w:sz w:val="24"/>
          <w:szCs w:val="24"/>
          <w:lang w:val="en-GB"/>
        </w:rPr>
        <w:t xml:space="preserve">the broad presence </w:t>
      </w:r>
      <w:r w:rsidR="00363D33" w:rsidRPr="0036474B">
        <w:rPr>
          <w:rFonts w:ascii="Times New Roman" w:hAnsi="Times New Roman" w:cs="Times New Roman"/>
          <w:noProof/>
          <w:sz w:val="24"/>
          <w:szCs w:val="24"/>
          <w:lang w:val="en-GB"/>
        </w:rPr>
        <w:t>comes with</w:t>
      </w:r>
      <w:r w:rsidR="004D63B7" w:rsidRPr="0036474B">
        <w:rPr>
          <w:rFonts w:ascii="Times New Roman" w:hAnsi="Times New Roman" w:cs="Times New Roman"/>
          <w:noProof/>
          <w:sz w:val="24"/>
          <w:szCs w:val="24"/>
          <w:lang w:val="en-GB"/>
        </w:rPr>
        <w:t xml:space="preserve"> the trade-off of </w:t>
      </w:r>
      <w:r w:rsidR="00363D33" w:rsidRPr="0036474B">
        <w:rPr>
          <w:rFonts w:ascii="Times New Roman" w:hAnsi="Times New Roman" w:cs="Times New Roman"/>
          <w:noProof/>
          <w:sz w:val="24"/>
          <w:szCs w:val="24"/>
          <w:lang w:val="en-GB"/>
        </w:rPr>
        <w:t xml:space="preserve">sustaining </w:t>
      </w:r>
      <w:r w:rsidR="001B3903" w:rsidRPr="0036474B">
        <w:rPr>
          <w:rFonts w:ascii="Times New Roman" w:hAnsi="Times New Roman" w:cs="Times New Roman"/>
          <w:noProof/>
          <w:sz w:val="24"/>
          <w:szCs w:val="24"/>
          <w:lang w:val="en-GB"/>
        </w:rPr>
        <w:t xml:space="preserve">costly networks </w:t>
      </w:r>
      <w:r w:rsidR="002A5496" w:rsidRPr="0036474B">
        <w:rPr>
          <w:rFonts w:ascii="Times New Roman" w:hAnsi="Times New Roman" w:cs="Times New Roman"/>
          <w:noProof/>
          <w:sz w:val="24"/>
          <w:szCs w:val="24"/>
          <w:lang w:val="en-GB"/>
        </w:rPr>
        <w:t xml:space="preserve">of highly specialised bankers </w:t>
      </w:r>
      <w:r w:rsidR="00303445" w:rsidRPr="0036474B">
        <w:rPr>
          <w:rFonts w:ascii="Times New Roman" w:hAnsi="Times New Roman" w:cs="Times New Roman"/>
          <w:noProof/>
          <w:sz w:val="24"/>
          <w:szCs w:val="24"/>
          <w:lang w:val="en-GB"/>
        </w:rPr>
        <w:t>to ensure</w:t>
      </w:r>
      <w:r w:rsidR="00B86AAC" w:rsidRPr="0036474B">
        <w:rPr>
          <w:rFonts w:ascii="Times New Roman" w:hAnsi="Times New Roman" w:cs="Times New Roman"/>
          <w:noProof/>
          <w:sz w:val="24"/>
          <w:szCs w:val="24"/>
          <w:lang w:val="en-GB"/>
        </w:rPr>
        <w:t xml:space="preserve"> </w:t>
      </w:r>
      <w:r w:rsidR="00303445" w:rsidRPr="0036474B">
        <w:rPr>
          <w:rFonts w:ascii="Times New Roman" w:hAnsi="Times New Roman" w:cs="Times New Roman"/>
          <w:noProof/>
          <w:sz w:val="24"/>
          <w:szCs w:val="24"/>
          <w:lang w:val="en-GB"/>
        </w:rPr>
        <w:t xml:space="preserve">market coverage, </w:t>
      </w:r>
      <w:r w:rsidR="003E7659" w:rsidRPr="0036474B">
        <w:rPr>
          <w:rFonts w:ascii="Times New Roman" w:hAnsi="Times New Roman" w:cs="Times New Roman"/>
          <w:noProof/>
          <w:sz w:val="24"/>
          <w:szCs w:val="24"/>
          <w:lang w:val="en-GB"/>
        </w:rPr>
        <w:t xml:space="preserve">and </w:t>
      </w:r>
      <w:r w:rsidR="009E4AC7" w:rsidRPr="0036474B">
        <w:rPr>
          <w:rFonts w:ascii="Times New Roman" w:hAnsi="Times New Roman" w:cs="Times New Roman"/>
          <w:noProof/>
          <w:sz w:val="24"/>
          <w:szCs w:val="24"/>
          <w:lang w:val="en-GB"/>
        </w:rPr>
        <w:t xml:space="preserve">by contrast </w:t>
      </w:r>
      <w:r w:rsidR="00D25FA2" w:rsidRPr="0036474B">
        <w:rPr>
          <w:rFonts w:ascii="Times New Roman" w:hAnsi="Times New Roman" w:cs="Times New Roman"/>
          <w:noProof/>
          <w:sz w:val="24"/>
          <w:szCs w:val="24"/>
          <w:lang w:val="en-GB"/>
        </w:rPr>
        <w:t>allow</w:t>
      </w:r>
      <w:r w:rsidR="009E4AC7" w:rsidRPr="0036474B">
        <w:rPr>
          <w:rFonts w:ascii="Times New Roman" w:hAnsi="Times New Roman" w:cs="Times New Roman"/>
          <w:noProof/>
          <w:sz w:val="24"/>
          <w:szCs w:val="24"/>
          <w:lang w:val="en-GB"/>
        </w:rPr>
        <w:t>s</w:t>
      </w:r>
      <w:r w:rsidR="00D25FA2" w:rsidRPr="0036474B">
        <w:rPr>
          <w:rFonts w:ascii="Times New Roman" w:hAnsi="Times New Roman" w:cs="Times New Roman"/>
          <w:noProof/>
          <w:sz w:val="24"/>
          <w:szCs w:val="24"/>
          <w:lang w:val="en-GB"/>
        </w:rPr>
        <w:t xml:space="preserve"> </w:t>
      </w:r>
      <w:r w:rsidR="00BB3EBF" w:rsidRPr="0036474B">
        <w:rPr>
          <w:rFonts w:ascii="Times New Roman" w:hAnsi="Times New Roman" w:cs="Times New Roman"/>
          <w:noProof/>
          <w:sz w:val="24"/>
          <w:szCs w:val="24"/>
          <w:lang w:val="en-GB"/>
        </w:rPr>
        <w:t>higher revenues and</w:t>
      </w:r>
      <w:r w:rsidR="00303445" w:rsidRPr="0036474B">
        <w:rPr>
          <w:rFonts w:ascii="Times New Roman" w:hAnsi="Times New Roman" w:cs="Times New Roman"/>
          <w:noProof/>
          <w:sz w:val="24"/>
          <w:szCs w:val="24"/>
          <w:lang w:val="en-GB"/>
        </w:rPr>
        <w:t xml:space="preserve"> </w:t>
      </w:r>
      <w:r w:rsidR="00202D94" w:rsidRPr="0036474B">
        <w:rPr>
          <w:rFonts w:ascii="Times New Roman" w:hAnsi="Times New Roman" w:cs="Times New Roman"/>
          <w:noProof/>
          <w:sz w:val="24"/>
          <w:szCs w:val="24"/>
        </w:rPr>
        <w:t>attract</w:t>
      </w:r>
      <w:r w:rsidR="009E4AC7" w:rsidRPr="0036474B">
        <w:rPr>
          <w:rFonts w:ascii="Times New Roman" w:hAnsi="Times New Roman" w:cs="Times New Roman"/>
          <w:noProof/>
          <w:sz w:val="24"/>
          <w:szCs w:val="24"/>
        </w:rPr>
        <w:t>s</w:t>
      </w:r>
      <w:r w:rsidR="00A62694" w:rsidRPr="0036474B">
        <w:rPr>
          <w:rFonts w:ascii="Times New Roman" w:hAnsi="Times New Roman" w:cs="Times New Roman"/>
          <w:noProof/>
          <w:sz w:val="24"/>
          <w:szCs w:val="24"/>
        </w:rPr>
        <w:t xml:space="preserve"> b</w:t>
      </w:r>
      <w:r w:rsidR="00202D94" w:rsidRPr="0036474B">
        <w:rPr>
          <w:rFonts w:ascii="Times New Roman" w:hAnsi="Times New Roman" w:cs="Times New Roman"/>
          <w:noProof/>
          <w:sz w:val="24"/>
          <w:szCs w:val="24"/>
        </w:rPr>
        <w:t>igger and more lucrative deals</w:t>
      </w:r>
      <w:r w:rsidR="009E4AC7" w:rsidRPr="0036474B">
        <w:rPr>
          <w:rFonts w:ascii="Times New Roman" w:hAnsi="Times New Roman" w:cs="Times New Roman"/>
          <w:noProof/>
          <w:sz w:val="24"/>
          <w:szCs w:val="24"/>
        </w:rPr>
        <w:t xml:space="preserve">. </w:t>
      </w:r>
      <w:r w:rsidR="00945ED1" w:rsidRPr="0036474B">
        <w:rPr>
          <w:rFonts w:ascii="Times New Roman" w:hAnsi="Times New Roman" w:cs="Times New Roman"/>
          <w:noProof/>
          <w:sz w:val="24"/>
          <w:szCs w:val="24"/>
        </w:rPr>
        <w:t>At the same time,</w:t>
      </w:r>
      <w:r w:rsidR="00F64A9C" w:rsidRPr="0036474B">
        <w:rPr>
          <w:rFonts w:ascii="Times New Roman" w:hAnsi="Times New Roman" w:cs="Times New Roman"/>
          <w:noProof/>
          <w:sz w:val="24"/>
          <w:szCs w:val="24"/>
        </w:rPr>
        <w:t xml:space="preserve"> bigger banks are able </w:t>
      </w:r>
      <w:r w:rsidR="00B86AAC" w:rsidRPr="0036474B">
        <w:rPr>
          <w:rFonts w:ascii="Times New Roman" w:hAnsi="Times New Roman" w:cs="Times New Roman"/>
          <w:noProof/>
          <w:sz w:val="24"/>
          <w:szCs w:val="24"/>
          <w:lang w:val="en-GB"/>
        </w:rPr>
        <w:t>to offer more competitive remuneration packages</w:t>
      </w:r>
      <w:r w:rsidR="00BB21F0" w:rsidRPr="0036474B">
        <w:rPr>
          <w:rFonts w:ascii="Times New Roman" w:hAnsi="Times New Roman" w:cs="Times New Roman"/>
          <w:noProof/>
          <w:sz w:val="24"/>
          <w:szCs w:val="24"/>
          <w:lang w:val="en-GB"/>
        </w:rPr>
        <w:t xml:space="preserve"> to its bankers</w:t>
      </w:r>
      <w:r w:rsidR="00BB2808" w:rsidRPr="0036474B">
        <w:rPr>
          <w:rFonts w:ascii="Times New Roman" w:hAnsi="Times New Roman" w:cs="Times New Roman"/>
          <w:noProof/>
          <w:sz w:val="24"/>
          <w:szCs w:val="24"/>
          <w:lang w:val="en-GB"/>
        </w:rPr>
        <w:t>,</w:t>
      </w:r>
      <w:r w:rsidR="00BB21F0" w:rsidRPr="0036474B">
        <w:rPr>
          <w:rFonts w:ascii="Times New Roman" w:hAnsi="Times New Roman" w:cs="Times New Roman"/>
          <w:noProof/>
          <w:sz w:val="24"/>
          <w:szCs w:val="24"/>
          <w:lang w:val="en-GB"/>
        </w:rPr>
        <w:t xml:space="preserve"> which are a key component in </w:t>
      </w:r>
      <w:r w:rsidR="00B86AAC" w:rsidRPr="0036474B">
        <w:rPr>
          <w:rFonts w:ascii="Times New Roman" w:hAnsi="Times New Roman" w:cs="Times New Roman"/>
          <w:noProof/>
          <w:sz w:val="24"/>
          <w:szCs w:val="24"/>
          <w:lang w:val="en-GB"/>
        </w:rPr>
        <w:t>corporate and investment banking activities</w:t>
      </w:r>
      <w:r w:rsidR="00B62CE3" w:rsidRPr="0036474B">
        <w:rPr>
          <w:rFonts w:ascii="Times New Roman" w:hAnsi="Times New Roman" w:cs="Times New Roman"/>
          <w:noProof/>
          <w:sz w:val="24"/>
          <w:szCs w:val="24"/>
          <w:lang w:val="en-GB"/>
        </w:rPr>
        <w:t>.</w:t>
      </w:r>
    </w:p>
    <w:p w14:paraId="323DC8ED" w14:textId="21FBECBB" w:rsidR="007F37CE" w:rsidRPr="0036474B" w:rsidRDefault="4B18A226" w:rsidP="007F37CE">
      <w:pPr>
        <w:jc w:val="both"/>
        <w:rPr>
          <w:rFonts w:ascii="Times New Roman" w:hAnsi="Times New Roman" w:cs="Times New Roman"/>
          <w:noProof/>
          <w:sz w:val="24"/>
          <w:szCs w:val="24"/>
        </w:rPr>
      </w:pPr>
      <w:r w:rsidRPr="0036474B">
        <w:rPr>
          <w:rFonts w:ascii="Times New Roman" w:hAnsi="Times New Roman" w:cs="Times New Roman"/>
          <w:b/>
          <w:bCs/>
          <w:noProof/>
          <w:sz w:val="24"/>
          <w:szCs w:val="24"/>
        </w:rPr>
        <w:t xml:space="preserve">In addition, </w:t>
      </w:r>
      <w:r w:rsidR="081A3999" w:rsidRPr="0036474B">
        <w:rPr>
          <w:rFonts w:ascii="Times New Roman" w:hAnsi="Times New Roman" w:cs="Times New Roman"/>
          <w:b/>
          <w:bCs/>
          <w:noProof/>
          <w:sz w:val="24"/>
          <w:szCs w:val="24"/>
        </w:rPr>
        <w:t>CIB</w:t>
      </w:r>
      <w:r w:rsidR="03798EC6" w:rsidRPr="0036474B">
        <w:rPr>
          <w:rFonts w:ascii="Times New Roman" w:hAnsi="Times New Roman" w:cs="Times New Roman"/>
          <w:b/>
          <w:bCs/>
          <w:noProof/>
          <w:sz w:val="24"/>
          <w:szCs w:val="24"/>
        </w:rPr>
        <w:t xml:space="preserve"> activities </w:t>
      </w:r>
      <w:r w:rsidR="7BA90373" w:rsidRPr="0036474B">
        <w:rPr>
          <w:rFonts w:ascii="Times New Roman" w:hAnsi="Times New Roman" w:cs="Times New Roman"/>
          <w:b/>
          <w:bCs/>
          <w:noProof/>
          <w:sz w:val="24"/>
          <w:szCs w:val="24"/>
        </w:rPr>
        <w:t>require investment</w:t>
      </w:r>
      <w:r w:rsidR="7C3CE0E9" w:rsidRPr="0036474B">
        <w:rPr>
          <w:rFonts w:ascii="Times New Roman" w:hAnsi="Times New Roman" w:cs="Times New Roman"/>
          <w:b/>
          <w:bCs/>
          <w:noProof/>
          <w:sz w:val="24"/>
          <w:szCs w:val="24"/>
        </w:rPr>
        <w:t>s</w:t>
      </w:r>
      <w:r w:rsidR="7BA90373" w:rsidRPr="0036474B">
        <w:rPr>
          <w:rFonts w:ascii="Times New Roman" w:hAnsi="Times New Roman" w:cs="Times New Roman"/>
          <w:b/>
          <w:bCs/>
          <w:noProof/>
          <w:sz w:val="24"/>
          <w:szCs w:val="24"/>
        </w:rPr>
        <w:t xml:space="preserve"> in IT infrastructure </w:t>
      </w:r>
      <w:r w:rsidR="56BC8B40" w:rsidRPr="0036474B">
        <w:rPr>
          <w:rFonts w:ascii="Times New Roman" w:hAnsi="Times New Roman" w:cs="Times New Roman"/>
          <w:b/>
          <w:bCs/>
          <w:noProof/>
          <w:sz w:val="24"/>
          <w:szCs w:val="24"/>
        </w:rPr>
        <w:t xml:space="preserve">to remain sustainable and gain the edge over the competition, and for some specific activities, </w:t>
      </w:r>
      <w:r w:rsidR="7D092814" w:rsidRPr="0036474B">
        <w:rPr>
          <w:rFonts w:ascii="Times New Roman" w:hAnsi="Times New Roman" w:cs="Times New Roman"/>
          <w:b/>
          <w:bCs/>
          <w:noProof/>
          <w:sz w:val="24"/>
          <w:szCs w:val="24"/>
        </w:rPr>
        <w:t>like</w:t>
      </w:r>
      <w:r w:rsidR="081A3999" w:rsidRPr="0036474B">
        <w:rPr>
          <w:rFonts w:ascii="Times New Roman" w:hAnsi="Times New Roman" w:cs="Times New Roman"/>
          <w:b/>
          <w:bCs/>
          <w:noProof/>
          <w:sz w:val="24"/>
          <w:szCs w:val="24"/>
        </w:rPr>
        <w:t xml:space="preserve"> credit trading</w:t>
      </w:r>
      <w:r w:rsidR="3F751F25" w:rsidRPr="0036474B">
        <w:rPr>
          <w:rFonts w:ascii="Times New Roman" w:hAnsi="Times New Roman" w:cs="Times New Roman"/>
          <w:b/>
          <w:bCs/>
          <w:noProof/>
          <w:sz w:val="24"/>
          <w:szCs w:val="24"/>
        </w:rPr>
        <w:t xml:space="preserve">, </w:t>
      </w:r>
      <w:r w:rsidR="56BC8B40" w:rsidRPr="0036474B">
        <w:rPr>
          <w:rFonts w:ascii="Times New Roman" w:hAnsi="Times New Roman" w:cs="Times New Roman"/>
          <w:b/>
          <w:bCs/>
          <w:noProof/>
          <w:sz w:val="24"/>
          <w:szCs w:val="24"/>
        </w:rPr>
        <w:t xml:space="preserve">a substantial initial investment is needed </w:t>
      </w:r>
      <w:r w:rsidR="7C3CE0E9" w:rsidRPr="0036474B">
        <w:rPr>
          <w:rFonts w:ascii="Times New Roman" w:hAnsi="Times New Roman" w:cs="Times New Roman"/>
          <w:b/>
          <w:bCs/>
          <w:noProof/>
          <w:sz w:val="24"/>
          <w:szCs w:val="24"/>
        </w:rPr>
        <w:t>to enter the market</w:t>
      </w:r>
      <w:r w:rsidR="008E7E97" w:rsidRPr="0036474B">
        <w:rPr>
          <w:rStyle w:val="FootnoteReference"/>
          <w:rFonts w:ascii="Times New Roman" w:hAnsi="Times New Roman" w:cs="Times New Roman"/>
          <w:noProof/>
          <w:sz w:val="24"/>
          <w:szCs w:val="24"/>
        </w:rPr>
        <w:footnoteReference w:id="57"/>
      </w:r>
      <w:r w:rsidR="0241DDE2" w:rsidRPr="0036474B">
        <w:rPr>
          <w:rFonts w:ascii="Times New Roman" w:hAnsi="Times New Roman" w:cs="Times New Roman"/>
          <w:noProof/>
          <w:sz w:val="24"/>
          <w:szCs w:val="24"/>
        </w:rPr>
        <w:t>.</w:t>
      </w:r>
      <w:r w:rsidR="1C59D89D" w:rsidRPr="0036474B">
        <w:rPr>
          <w:rFonts w:ascii="Times New Roman" w:hAnsi="Times New Roman" w:cs="Times New Roman"/>
          <w:noProof/>
          <w:sz w:val="24"/>
          <w:szCs w:val="24"/>
        </w:rPr>
        <w:t xml:space="preserve"> On one hand, the</w:t>
      </w:r>
      <w:r w:rsidR="7CEDF2D3" w:rsidRPr="0036474B">
        <w:rPr>
          <w:rFonts w:ascii="Times New Roman" w:hAnsi="Times New Roman" w:cs="Times New Roman"/>
          <w:noProof/>
          <w:sz w:val="24"/>
          <w:szCs w:val="24"/>
        </w:rPr>
        <w:t xml:space="preserve"> </w:t>
      </w:r>
      <w:r w:rsidR="004BE68F" w:rsidRPr="0036474B">
        <w:rPr>
          <w:rFonts w:ascii="Times New Roman" w:hAnsi="Times New Roman" w:cs="Times New Roman"/>
          <w:noProof/>
          <w:sz w:val="24"/>
          <w:szCs w:val="24"/>
        </w:rPr>
        <w:t>relatively small scale of EU banks</w:t>
      </w:r>
      <w:r w:rsidR="12B3FA78" w:rsidRPr="0036474B">
        <w:rPr>
          <w:rFonts w:ascii="Times New Roman" w:hAnsi="Times New Roman" w:cs="Times New Roman"/>
          <w:noProof/>
          <w:sz w:val="24"/>
          <w:szCs w:val="24"/>
        </w:rPr>
        <w:t xml:space="preserve"> </w:t>
      </w:r>
      <w:r w:rsidR="6AC9393B" w:rsidRPr="0036474B">
        <w:rPr>
          <w:rFonts w:ascii="Times New Roman" w:hAnsi="Times New Roman" w:cs="Times New Roman"/>
          <w:noProof/>
          <w:sz w:val="24"/>
          <w:szCs w:val="24"/>
        </w:rPr>
        <w:t xml:space="preserve">does not allow </w:t>
      </w:r>
      <w:r w:rsidR="34C6EF72" w:rsidRPr="0036474B">
        <w:rPr>
          <w:rFonts w:ascii="Times New Roman" w:hAnsi="Times New Roman" w:cs="Times New Roman"/>
          <w:noProof/>
          <w:sz w:val="24"/>
          <w:szCs w:val="24"/>
        </w:rPr>
        <w:t xml:space="preserve">them </w:t>
      </w:r>
      <w:r w:rsidR="6AC9393B" w:rsidRPr="0036474B">
        <w:rPr>
          <w:rFonts w:ascii="Times New Roman" w:hAnsi="Times New Roman" w:cs="Times New Roman"/>
          <w:noProof/>
          <w:sz w:val="24"/>
          <w:szCs w:val="24"/>
        </w:rPr>
        <w:t xml:space="preserve">to mobilise </w:t>
      </w:r>
      <w:r w:rsidR="244292DF" w:rsidRPr="0036474B">
        <w:rPr>
          <w:rFonts w:ascii="Times New Roman" w:hAnsi="Times New Roman" w:cs="Times New Roman"/>
          <w:noProof/>
          <w:sz w:val="24"/>
          <w:szCs w:val="24"/>
        </w:rPr>
        <w:t xml:space="preserve">the large resources needed to </w:t>
      </w:r>
      <w:r w:rsidR="4FBD3C6D" w:rsidRPr="0036474B">
        <w:rPr>
          <w:rFonts w:ascii="Times New Roman" w:hAnsi="Times New Roman" w:cs="Times New Roman"/>
          <w:noProof/>
          <w:sz w:val="24"/>
          <w:szCs w:val="24"/>
        </w:rPr>
        <w:t xml:space="preserve">carry out </w:t>
      </w:r>
      <w:r w:rsidR="34582E79" w:rsidRPr="0036474B">
        <w:rPr>
          <w:rFonts w:ascii="Times New Roman" w:hAnsi="Times New Roman" w:cs="Times New Roman"/>
          <w:noProof/>
          <w:sz w:val="24"/>
          <w:szCs w:val="24"/>
        </w:rPr>
        <w:t>the necessary investments</w:t>
      </w:r>
      <w:r w:rsidR="007C4247">
        <w:rPr>
          <w:rFonts w:ascii="Times New Roman" w:hAnsi="Times New Roman" w:cs="Times New Roman"/>
          <w:noProof/>
          <w:sz w:val="24"/>
          <w:szCs w:val="24"/>
        </w:rPr>
        <w:t>;</w:t>
      </w:r>
      <w:r w:rsidR="379FC984" w:rsidRPr="0036474B">
        <w:rPr>
          <w:rFonts w:ascii="Times New Roman" w:hAnsi="Times New Roman" w:cs="Times New Roman"/>
          <w:noProof/>
          <w:sz w:val="24"/>
          <w:szCs w:val="24"/>
        </w:rPr>
        <w:t xml:space="preserve"> </w:t>
      </w:r>
      <w:r w:rsidR="1C59D89D" w:rsidRPr="0036474B">
        <w:rPr>
          <w:rFonts w:ascii="Times New Roman" w:hAnsi="Times New Roman" w:cs="Times New Roman"/>
          <w:noProof/>
          <w:sz w:val="24"/>
          <w:szCs w:val="24"/>
        </w:rPr>
        <w:t>on the other hand, EU G-SIB</w:t>
      </w:r>
      <w:r w:rsidR="63C0C431" w:rsidRPr="0036474B">
        <w:rPr>
          <w:rFonts w:ascii="Times New Roman" w:hAnsi="Times New Roman" w:cs="Times New Roman"/>
          <w:noProof/>
          <w:sz w:val="24"/>
          <w:szCs w:val="24"/>
        </w:rPr>
        <w:t>s</w:t>
      </w:r>
      <w:r w:rsidR="1C59D89D" w:rsidRPr="0036474B">
        <w:rPr>
          <w:rFonts w:ascii="Times New Roman" w:hAnsi="Times New Roman" w:cs="Times New Roman"/>
          <w:noProof/>
          <w:sz w:val="24"/>
          <w:szCs w:val="24"/>
        </w:rPr>
        <w:t xml:space="preserve"> are also </w:t>
      </w:r>
      <w:r w:rsidR="00AD692B" w:rsidRPr="0036474B">
        <w:rPr>
          <w:rFonts w:ascii="Times New Roman" w:hAnsi="Times New Roman" w:cs="Times New Roman"/>
          <w:noProof/>
          <w:sz w:val="24"/>
          <w:szCs w:val="24"/>
        </w:rPr>
        <w:t xml:space="preserve">investing less </w:t>
      </w:r>
      <w:r w:rsidR="1C59D89D" w:rsidRPr="0036474B">
        <w:rPr>
          <w:rFonts w:ascii="Times New Roman" w:hAnsi="Times New Roman" w:cs="Times New Roman"/>
          <w:noProof/>
          <w:sz w:val="24"/>
          <w:szCs w:val="24"/>
        </w:rPr>
        <w:t xml:space="preserve">in their IT </w:t>
      </w:r>
      <w:r w:rsidR="5147E5D9" w:rsidRPr="0036474B">
        <w:rPr>
          <w:rFonts w:ascii="Times New Roman" w:hAnsi="Times New Roman" w:cs="Times New Roman"/>
          <w:noProof/>
          <w:sz w:val="24"/>
          <w:szCs w:val="24"/>
        </w:rPr>
        <w:t xml:space="preserve">infrastructure </w:t>
      </w:r>
      <w:r w:rsidR="00937429" w:rsidRPr="0036474B">
        <w:rPr>
          <w:rFonts w:ascii="Times New Roman" w:hAnsi="Times New Roman" w:cs="Times New Roman"/>
          <w:noProof/>
          <w:sz w:val="24"/>
          <w:szCs w:val="24"/>
        </w:rPr>
        <w:t>than</w:t>
      </w:r>
      <w:r w:rsidR="104BB49D" w:rsidRPr="0036474B">
        <w:rPr>
          <w:rFonts w:ascii="Times New Roman" w:hAnsi="Times New Roman" w:cs="Times New Roman"/>
          <w:noProof/>
          <w:sz w:val="24"/>
          <w:szCs w:val="24"/>
        </w:rPr>
        <w:t xml:space="preserve"> their US competitors</w:t>
      </w:r>
      <w:r w:rsidR="6009E381" w:rsidRPr="0036474B">
        <w:rPr>
          <w:rFonts w:ascii="Times New Roman" w:hAnsi="Times New Roman" w:cs="Times New Roman"/>
          <w:noProof/>
          <w:sz w:val="24"/>
          <w:szCs w:val="24"/>
        </w:rPr>
        <w:t xml:space="preserve">. </w:t>
      </w:r>
      <w:r w:rsidR="4E1A4F6E" w:rsidRPr="0036474B">
        <w:rPr>
          <w:rFonts w:ascii="Times New Roman" w:hAnsi="Times New Roman" w:cs="Times New Roman"/>
          <w:noProof/>
          <w:sz w:val="24"/>
          <w:szCs w:val="24"/>
        </w:rPr>
        <w:t>In the three years 2019 to 2022, t</w:t>
      </w:r>
      <w:r w:rsidR="6009E381" w:rsidRPr="0036474B">
        <w:rPr>
          <w:rFonts w:ascii="Times New Roman" w:hAnsi="Times New Roman" w:cs="Times New Roman"/>
          <w:noProof/>
          <w:sz w:val="24"/>
          <w:szCs w:val="24"/>
        </w:rPr>
        <w:t xml:space="preserve">he average annual budget for IT investments </w:t>
      </w:r>
      <w:r w:rsidR="007C4247">
        <w:rPr>
          <w:rFonts w:ascii="Times New Roman" w:hAnsi="Times New Roman" w:cs="Times New Roman"/>
          <w:noProof/>
          <w:sz w:val="24"/>
          <w:szCs w:val="24"/>
        </w:rPr>
        <w:t>of</w:t>
      </w:r>
      <w:r w:rsidR="6009E381" w:rsidRPr="0036474B">
        <w:rPr>
          <w:rFonts w:ascii="Times New Roman" w:hAnsi="Times New Roman" w:cs="Times New Roman"/>
          <w:noProof/>
          <w:sz w:val="24"/>
          <w:szCs w:val="24"/>
        </w:rPr>
        <w:t xml:space="preserve"> the largest US G-SIBs </w:t>
      </w:r>
      <w:r w:rsidR="4E1A4F6E" w:rsidRPr="0036474B">
        <w:rPr>
          <w:rFonts w:ascii="Times New Roman" w:hAnsi="Times New Roman" w:cs="Times New Roman"/>
          <w:noProof/>
          <w:sz w:val="24"/>
          <w:szCs w:val="24"/>
        </w:rPr>
        <w:t>was</w:t>
      </w:r>
      <w:r w:rsidR="6009E381" w:rsidRPr="0036474B">
        <w:rPr>
          <w:rFonts w:ascii="Times New Roman" w:hAnsi="Times New Roman" w:cs="Times New Roman"/>
          <w:noProof/>
          <w:sz w:val="24"/>
          <w:szCs w:val="24"/>
        </w:rPr>
        <w:t xml:space="preserve"> around 0</w:t>
      </w:r>
      <w:r w:rsidR="00E06356" w:rsidRPr="4EB84919">
        <w:rPr>
          <w:rFonts w:ascii="Times New Roman" w:hAnsi="Times New Roman" w:cs="Times New Roman"/>
          <w:noProof/>
          <w:sz w:val="24"/>
          <w:szCs w:val="24"/>
        </w:rPr>
        <w:t>.</w:t>
      </w:r>
      <w:r w:rsidR="6009E381" w:rsidRPr="0036474B">
        <w:rPr>
          <w:rFonts w:ascii="Times New Roman" w:hAnsi="Times New Roman" w:cs="Times New Roman"/>
          <w:noProof/>
          <w:sz w:val="24"/>
          <w:szCs w:val="24"/>
        </w:rPr>
        <w:t xml:space="preserve">5% of total assets, </w:t>
      </w:r>
      <w:r w:rsidR="12112D67" w:rsidRPr="0036474B">
        <w:rPr>
          <w:rFonts w:ascii="Times New Roman" w:hAnsi="Times New Roman" w:cs="Times New Roman"/>
          <w:noProof/>
          <w:sz w:val="24"/>
          <w:szCs w:val="24"/>
        </w:rPr>
        <w:t>compared to</w:t>
      </w:r>
      <w:r w:rsidR="6009E381" w:rsidRPr="0036474B">
        <w:rPr>
          <w:rFonts w:ascii="Times New Roman" w:hAnsi="Times New Roman" w:cs="Times New Roman"/>
          <w:noProof/>
          <w:sz w:val="24"/>
          <w:szCs w:val="24"/>
        </w:rPr>
        <w:t xml:space="preserve"> less than 0</w:t>
      </w:r>
      <w:r w:rsidR="00E06356" w:rsidRPr="4EB84919">
        <w:rPr>
          <w:rFonts w:ascii="Times New Roman" w:hAnsi="Times New Roman" w:cs="Times New Roman"/>
          <w:noProof/>
          <w:sz w:val="24"/>
          <w:szCs w:val="24"/>
        </w:rPr>
        <w:t>.</w:t>
      </w:r>
      <w:r w:rsidR="6009E381" w:rsidRPr="0036474B">
        <w:rPr>
          <w:rFonts w:ascii="Times New Roman" w:hAnsi="Times New Roman" w:cs="Times New Roman"/>
          <w:noProof/>
          <w:sz w:val="24"/>
          <w:szCs w:val="24"/>
        </w:rPr>
        <w:t>2% for EU G-SIBs</w:t>
      </w:r>
      <w:r w:rsidR="555307E7" w:rsidRPr="0036474B">
        <w:rPr>
          <w:rFonts w:ascii="Times New Roman" w:hAnsi="Times New Roman" w:cs="Times New Roman"/>
          <w:noProof/>
          <w:sz w:val="24"/>
          <w:szCs w:val="24"/>
        </w:rPr>
        <w:t xml:space="preserve"> – </w:t>
      </w:r>
      <w:r w:rsidR="12112D67" w:rsidRPr="0036474B">
        <w:rPr>
          <w:rFonts w:ascii="Times New Roman" w:hAnsi="Times New Roman" w:cs="Times New Roman"/>
          <w:noProof/>
          <w:sz w:val="24"/>
          <w:szCs w:val="24"/>
        </w:rPr>
        <w:t>s</w:t>
      </w:r>
      <w:r w:rsidR="555307E7" w:rsidRPr="0036474B">
        <w:rPr>
          <w:rFonts w:ascii="Times New Roman" w:hAnsi="Times New Roman" w:cs="Times New Roman"/>
          <w:noProof/>
          <w:sz w:val="24"/>
          <w:szCs w:val="24"/>
        </w:rPr>
        <w:t xml:space="preserve">ee </w:t>
      </w:r>
      <w:r w:rsidR="12112D67" w:rsidRPr="0036474B">
        <w:rPr>
          <w:rFonts w:ascii="Times New Roman" w:hAnsi="Times New Roman" w:cs="Times New Roman"/>
          <w:noProof/>
          <w:sz w:val="24"/>
          <w:szCs w:val="24"/>
        </w:rPr>
        <w:t xml:space="preserve">also </w:t>
      </w:r>
      <w:r w:rsidR="555307E7" w:rsidRPr="0036474B">
        <w:rPr>
          <w:rFonts w:ascii="Times New Roman" w:hAnsi="Times New Roman" w:cs="Times New Roman"/>
          <w:noProof/>
          <w:sz w:val="24"/>
          <w:szCs w:val="24"/>
        </w:rPr>
        <w:t xml:space="preserve">Figure </w:t>
      </w:r>
      <w:r w:rsidR="00274BA7">
        <w:rPr>
          <w:rFonts w:ascii="Times New Roman" w:hAnsi="Times New Roman" w:cs="Times New Roman"/>
          <w:noProof/>
          <w:sz w:val="24"/>
          <w:szCs w:val="24"/>
        </w:rPr>
        <w:t>2</w:t>
      </w:r>
      <w:r w:rsidR="005B63B3">
        <w:rPr>
          <w:rFonts w:ascii="Times New Roman" w:hAnsi="Times New Roman" w:cs="Times New Roman"/>
          <w:noProof/>
          <w:sz w:val="24"/>
          <w:szCs w:val="24"/>
        </w:rPr>
        <w:t>4</w:t>
      </w:r>
      <w:r w:rsidR="379FC984" w:rsidRPr="0036474B">
        <w:rPr>
          <w:rFonts w:ascii="Times New Roman" w:hAnsi="Times New Roman" w:cs="Times New Roman"/>
          <w:noProof/>
          <w:sz w:val="24"/>
          <w:szCs w:val="24"/>
        </w:rPr>
        <w:t>.</w:t>
      </w:r>
      <w:r w:rsidR="2B5CE7A5" w:rsidRPr="0036474B">
        <w:rPr>
          <w:rFonts w:ascii="Times New Roman" w:hAnsi="Times New Roman" w:cs="Times New Roman"/>
          <w:noProof/>
          <w:sz w:val="24"/>
          <w:szCs w:val="24"/>
        </w:rPr>
        <w:t xml:space="preserve"> For instance, </w:t>
      </w:r>
      <w:r w:rsidR="4532FBEF" w:rsidRPr="0036474B">
        <w:rPr>
          <w:rFonts w:ascii="Times New Roman" w:hAnsi="Times New Roman" w:cs="Times New Roman"/>
          <w:noProof/>
          <w:sz w:val="24"/>
          <w:szCs w:val="24"/>
        </w:rPr>
        <w:t xml:space="preserve">SSM </w:t>
      </w:r>
      <w:r w:rsidR="00937429" w:rsidRPr="0036474B">
        <w:rPr>
          <w:rFonts w:ascii="Times New Roman" w:hAnsi="Times New Roman" w:cs="Times New Roman"/>
          <w:noProof/>
          <w:sz w:val="24"/>
          <w:szCs w:val="24"/>
        </w:rPr>
        <w:t xml:space="preserve">analysis </w:t>
      </w:r>
      <w:r w:rsidR="2DC30A2A" w:rsidRPr="0036474B">
        <w:rPr>
          <w:rFonts w:ascii="Times New Roman" w:hAnsi="Times New Roman" w:cs="Times New Roman"/>
          <w:noProof/>
          <w:sz w:val="24"/>
          <w:szCs w:val="24"/>
        </w:rPr>
        <w:t>for 2024</w:t>
      </w:r>
      <w:r w:rsidR="4532FBEF" w:rsidRPr="0036474B">
        <w:rPr>
          <w:rFonts w:ascii="Times New Roman" w:hAnsi="Times New Roman" w:cs="Times New Roman"/>
          <w:noProof/>
          <w:sz w:val="24"/>
          <w:szCs w:val="24"/>
        </w:rPr>
        <w:t xml:space="preserve"> </w:t>
      </w:r>
      <w:r w:rsidR="32B9F78F" w:rsidRPr="0036474B">
        <w:rPr>
          <w:rFonts w:ascii="Times New Roman" w:hAnsi="Times New Roman" w:cs="Times New Roman"/>
          <w:noProof/>
          <w:sz w:val="24"/>
          <w:szCs w:val="24"/>
        </w:rPr>
        <w:t xml:space="preserve">looking at </w:t>
      </w:r>
      <w:r w:rsidR="00875B23" w:rsidRPr="0036474B">
        <w:rPr>
          <w:rFonts w:ascii="Times New Roman" w:hAnsi="Times New Roman" w:cs="Times New Roman"/>
          <w:noProof/>
          <w:sz w:val="24"/>
          <w:szCs w:val="24"/>
        </w:rPr>
        <w:t xml:space="preserve">data published by </w:t>
      </w:r>
      <w:r w:rsidR="32B9F78F" w:rsidRPr="0036474B">
        <w:rPr>
          <w:rFonts w:ascii="Times New Roman" w:hAnsi="Times New Roman" w:cs="Times New Roman"/>
          <w:noProof/>
          <w:sz w:val="24"/>
          <w:szCs w:val="24"/>
        </w:rPr>
        <w:t xml:space="preserve">the top </w:t>
      </w:r>
      <w:r w:rsidR="00A158B8">
        <w:rPr>
          <w:rFonts w:ascii="Times New Roman" w:hAnsi="Times New Roman" w:cs="Times New Roman"/>
          <w:noProof/>
          <w:sz w:val="24"/>
          <w:szCs w:val="24"/>
        </w:rPr>
        <w:t>four</w:t>
      </w:r>
      <w:r w:rsidR="32B9F78F" w:rsidRPr="0036474B">
        <w:rPr>
          <w:rFonts w:ascii="Times New Roman" w:hAnsi="Times New Roman" w:cs="Times New Roman"/>
          <w:noProof/>
          <w:sz w:val="24"/>
          <w:szCs w:val="24"/>
        </w:rPr>
        <w:t xml:space="preserve"> banks in the US and the EU </w:t>
      </w:r>
      <w:r w:rsidR="094B83F8" w:rsidRPr="0036474B">
        <w:rPr>
          <w:rFonts w:ascii="Times New Roman" w:hAnsi="Times New Roman" w:cs="Times New Roman"/>
          <w:noProof/>
          <w:sz w:val="24"/>
          <w:szCs w:val="24"/>
        </w:rPr>
        <w:t>show</w:t>
      </w:r>
      <w:r w:rsidR="3593E957" w:rsidRPr="0036474B">
        <w:rPr>
          <w:rFonts w:ascii="Times New Roman" w:hAnsi="Times New Roman" w:cs="Times New Roman"/>
          <w:noProof/>
          <w:sz w:val="24"/>
          <w:szCs w:val="24"/>
        </w:rPr>
        <w:t>s</w:t>
      </w:r>
      <w:r w:rsidR="4532FBEF" w:rsidRPr="0036474B">
        <w:rPr>
          <w:rFonts w:ascii="Times New Roman" w:hAnsi="Times New Roman" w:cs="Times New Roman"/>
          <w:noProof/>
          <w:sz w:val="24"/>
          <w:szCs w:val="24"/>
        </w:rPr>
        <w:t xml:space="preserve"> that </w:t>
      </w:r>
      <w:r w:rsidR="5E9FD512" w:rsidRPr="0036474B">
        <w:rPr>
          <w:rFonts w:ascii="Times New Roman" w:hAnsi="Times New Roman" w:cs="Times New Roman"/>
          <w:noProof/>
          <w:sz w:val="24"/>
          <w:szCs w:val="24"/>
        </w:rPr>
        <w:t xml:space="preserve">the top </w:t>
      </w:r>
      <w:r w:rsidR="0085135B">
        <w:rPr>
          <w:rFonts w:ascii="Times New Roman" w:hAnsi="Times New Roman" w:cs="Times New Roman"/>
          <w:noProof/>
          <w:sz w:val="24"/>
          <w:szCs w:val="24"/>
        </w:rPr>
        <w:t>four</w:t>
      </w:r>
      <w:r w:rsidR="5E9FD512" w:rsidRPr="0036474B">
        <w:rPr>
          <w:rFonts w:ascii="Times New Roman" w:hAnsi="Times New Roman" w:cs="Times New Roman"/>
          <w:noProof/>
          <w:sz w:val="24"/>
          <w:szCs w:val="24"/>
        </w:rPr>
        <w:t xml:space="preserve"> US banks’ IT budgets </w:t>
      </w:r>
      <w:r w:rsidR="770F321B" w:rsidRPr="0036474B">
        <w:rPr>
          <w:rFonts w:ascii="Times New Roman" w:hAnsi="Times New Roman" w:cs="Times New Roman"/>
          <w:noProof/>
          <w:sz w:val="24"/>
          <w:szCs w:val="24"/>
        </w:rPr>
        <w:t>are in absolute terms</w:t>
      </w:r>
      <w:r w:rsidR="3593E957" w:rsidRPr="0036474B">
        <w:rPr>
          <w:rFonts w:ascii="Times New Roman" w:hAnsi="Times New Roman" w:cs="Times New Roman"/>
          <w:noProof/>
          <w:sz w:val="24"/>
          <w:szCs w:val="24"/>
        </w:rPr>
        <w:t xml:space="preserve"> and relative terms</w:t>
      </w:r>
      <w:r w:rsidR="0072524E" w:rsidRPr="0036474B">
        <w:rPr>
          <w:rStyle w:val="FootnoteReference"/>
          <w:rFonts w:ascii="Times New Roman" w:hAnsi="Times New Roman" w:cs="Times New Roman"/>
          <w:noProof/>
          <w:sz w:val="24"/>
          <w:szCs w:val="24"/>
        </w:rPr>
        <w:footnoteReference w:id="58"/>
      </w:r>
      <w:r w:rsidR="770F321B" w:rsidRPr="0036474B">
        <w:rPr>
          <w:rFonts w:ascii="Times New Roman" w:hAnsi="Times New Roman" w:cs="Times New Roman"/>
          <w:noProof/>
          <w:sz w:val="24"/>
          <w:szCs w:val="24"/>
        </w:rPr>
        <w:t xml:space="preserve"> </w:t>
      </w:r>
      <w:r w:rsidR="4E18F0B3" w:rsidRPr="0036474B">
        <w:rPr>
          <w:rFonts w:ascii="Times New Roman" w:hAnsi="Times New Roman" w:cs="Times New Roman"/>
          <w:noProof/>
          <w:sz w:val="24"/>
          <w:szCs w:val="24"/>
        </w:rPr>
        <w:t xml:space="preserve">higher than the </w:t>
      </w:r>
      <w:r w:rsidR="3593E957" w:rsidRPr="0036474B">
        <w:rPr>
          <w:rFonts w:ascii="Times New Roman" w:hAnsi="Times New Roman" w:cs="Times New Roman"/>
          <w:noProof/>
          <w:sz w:val="24"/>
          <w:szCs w:val="24"/>
        </w:rPr>
        <w:t xml:space="preserve">budgets of the largest </w:t>
      </w:r>
      <w:r w:rsidR="0085135B">
        <w:rPr>
          <w:rFonts w:ascii="Times New Roman" w:hAnsi="Times New Roman" w:cs="Times New Roman"/>
          <w:noProof/>
          <w:sz w:val="24"/>
          <w:szCs w:val="24"/>
        </w:rPr>
        <w:t>four</w:t>
      </w:r>
      <w:r w:rsidR="4E18F0B3" w:rsidRPr="0036474B">
        <w:rPr>
          <w:rFonts w:ascii="Times New Roman" w:hAnsi="Times New Roman" w:cs="Times New Roman"/>
          <w:noProof/>
          <w:sz w:val="24"/>
          <w:szCs w:val="24"/>
        </w:rPr>
        <w:t xml:space="preserve"> </w:t>
      </w:r>
      <w:r w:rsidR="33024AE5" w:rsidRPr="0036474B">
        <w:rPr>
          <w:rFonts w:ascii="Times New Roman" w:hAnsi="Times New Roman" w:cs="Times New Roman"/>
          <w:noProof/>
          <w:sz w:val="24"/>
          <w:szCs w:val="24"/>
        </w:rPr>
        <w:t xml:space="preserve">EU banks.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51539A" w:rsidRPr="00064CC0" w14:paraId="0D118D71" w14:textId="77777777" w:rsidTr="000D2CCC">
        <w:tc>
          <w:tcPr>
            <w:tcW w:w="9016" w:type="dxa"/>
          </w:tcPr>
          <w:p w14:paraId="7ACB40A7" w14:textId="474BAD73" w:rsidR="008F1B26" w:rsidRPr="0036474B" w:rsidRDefault="008F1B26" w:rsidP="008F1B26">
            <w:pPr>
              <w:jc w:val="both"/>
              <w:rPr>
                <w:rFonts w:ascii="Times New Roman" w:hAnsi="Times New Roman" w:cs="Times New Roman"/>
                <w:i/>
                <w:iCs/>
                <w:noProof/>
                <w:sz w:val="24"/>
                <w:szCs w:val="24"/>
              </w:rPr>
            </w:pPr>
            <w:r w:rsidRPr="0036474B">
              <w:rPr>
                <w:rFonts w:ascii="Times New Roman" w:hAnsi="Times New Roman" w:cs="Times New Roman"/>
                <w:i/>
                <w:iCs/>
                <w:noProof/>
                <w:sz w:val="24"/>
                <w:szCs w:val="24"/>
              </w:rPr>
              <w:t xml:space="preserve">Figure </w:t>
            </w:r>
            <w:r>
              <w:rPr>
                <w:rFonts w:ascii="Times New Roman" w:hAnsi="Times New Roman" w:cs="Times New Roman"/>
                <w:i/>
                <w:iCs/>
                <w:noProof/>
                <w:sz w:val="24"/>
                <w:szCs w:val="24"/>
              </w:rPr>
              <w:t>2</w:t>
            </w:r>
            <w:r w:rsidR="005B63B3">
              <w:rPr>
                <w:rFonts w:ascii="Times New Roman" w:hAnsi="Times New Roman" w:cs="Times New Roman"/>
                <w:i/>
                <w:iCs/>
                <w:noProof/>
                <w:sz w:val="24"/>
                <w:szCs w:val="24"/>
              </w:rPr>
              <w:t>4</w:t>
            </w:r>
            <w:r w:rsidRPr="0036474B">
              <w:rPr>
                <w:rFonts w:ascii="Times New Roman" w:hAnsi="Times New Roman" w:cs="Times New Roman"/>
                <w:i/>
                <w:iCs/>
                <w:noProof/>
                <w:sz w:val="24"/>
                <w:szCs w:val="24"/>
              </w:rPr>
              <w:t xml:space="preserve"> - U.S. and euro area G-SIBs annual IT budgets, 2019-2022</w:t>
            </w:r>
          </w:p>
          <w:p w14:paraId="1C0BD5B0" w14:textId="77777777" w:rsidR="0051539A" w:rsidRPr="0036474B" w:rsidRDefault="0051539A" w:rsidP="007F37CE">
            <w:pPr>
              <w:jc w:val="both"/>
              <w:rPr>
                <w:rFonts w:ascii="Times New Roman" w:hAnsi="Times New Roman" w:cs="Times New Roman"/>
                <w:noProof/>
                <w:sz w:val="24"/>
                <w:szCs w:val="24"/>
              </w:rPr>
            </w:pPr>
            <w:r w:rsidRPr="0036474B">
              <w:rPr>
                <w:rFonts w:ascii="Times New Roman" w:hAnsi="Times New Roman" w:cs="Times New Roman"/>
                <w:noProof/>
                <w:sz w:val="24"/>
                <w:szCs w:val="24"/>
                <w:lang w:val="en-GB" w:eastAsia="en-GB"/>
              </w:rPr>
              <w:drawing>
                <wp:inline distT="0" distB="0" distL="0" distR="0" wp14:anchorId="5334DCB9" wp14:editId="2E04941A">
                  <wp:extent cx="5731510" cy="3686175"/>
                  <wp:effectExtent l="0" t="0" r="2540" b="9525"/>
                  <wp:docPr id="1649098444" name="Picture 1" descr="A graph of a number of financial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098444" name="Picture 1" descr="A graph of a number of financial data&#10;&#10;AI-generated content may be incorrect."/>
                          <pic:cNvPicPr/>
                        </pic:nvPicPr>
                        <pic:blipFill>
                          <a:blip r:embed="rId42"/>
                          <a:stretch>
                            <a:fillRect/>
                          </a:stretch>
                        </pic:blipFill>
                        <pic:spPr>
                          <a:xfrm>
                            <a:off x="0" y="0"/>
                            <a:ext cx="5731510" cy="3686175"/>
                          </a:xfrm>
                          <a:prstGeom prst="rect">
                            <a:avLst/>
                          </a:prstGeom>
                        </pic:spPr>
                      </pic:pic>
                    </a:graphicData>
                  </a:graphic>
                </wp:inline>
              </w:drawing>
            </w:r>
          </w:p>
        </w:tc>
      </w:tr>
      <w:tr w:rsidR="0051539A" w:rsidRPr="00064CC0" w14:paraId="486F5D95" w14:textId="77777777" w:rsidTr="000D2CCC">
        <w:tc>
          <w:tcPr>
            <w:tcW w:w="9016" w:type="dxa"/>
          </w:tcPr>
          <w:p w14:paraId="4DF3AB7E" w14:textId="77777777" w:rsidR="00301C57" w:rsidRPr="0036474B" w:rsidRDefault="00301C57" w:rsidP="007F37CE">
            <w:pPr>
              <w:jc w:val="both"/>
              <w:rPr>
                <w:rFonts w:ascii="Times New Roman" w:hAnsi="Times New Roman" w:cs="Times New Roman"/>
                <w:i/>
                <w:iCs/>
                <w:noProof/>
                <w:sz w:val="24"/>
                <w:szCs w:val="24"/>
              </w:rPr>
            </w:pPr>
          </w:p>
          <w:p w14:paraId="756BECFB" w14:textId="0354D284" w:rsidR="00B65E8B" w:rsidRPr="0036474B" w:rsidRDefault="00B65E8B" w:rsidP="00B65E8B">
            <w:pPr>
              <w:jc w:val="both"/>
              <w:rPr>
                <w:rFonts w:ascii="Times New Roman" w:hAnsi="Times New Roman" w:cs="Times New Roman"/>
                <w:noProof/>
                <w:sz w:val="24"/>
                <w:szCs w:val="24"/>
              </w:rPr>
            </w:pPr>
            <w:r w:rsidRPr="0036474B">
              <w:rPr>
                <w:rFonts w:ascii="Times New Roman" w:hAnsi="Times New Roman" w:cs="Times New Roman"/>
                <w:i/>
                <w:iCs/>
                <w:noProof/>
                <w:sz w:val="24"/>
                <w:szCs w:val="24"/>
              </w:rPr>
              <w:t xml:space="preserve">Source: </w:t>
            </w:r>
            <w:r w:rsidR="00D50927" w:rsidRPr="0036474B">
              <w:rPr>
                <w:rFonts w:ascii="Times New Roman" w:hAnsi="Times New Roman" w:cs="Times New Roman"/>
                <w:i/>
                <w:iCs/>
                <w:noProof/>
                <w:sz w:val="24"/>
                <w:szCs w:val="24"/>
              </w:rPr>
              <w:t>EBA presentatio</w:t>
            </w:r>
            <w:r w:rsidR="001A0E99" w:rsidRPr="0036474B">
              <w:rPr>
                <w:rFonts w:ascii="Times New Roman" w:hAnsi="Times New Roman" w:cs="Times New Roman"/>
                <w:i/>
                <w:iCs/>
                <w:noProof/>
                <w:sz w:val="24"/>
                <w:szCs w:val="24"/>
              </w:rPr>
              <w:t xml:space="preserve">n at </w:t>
            </w:r>
            <w:r w:rsidR="009E34C8" w:rsidRPr="0036474B">
              <w:rPr>
                <w:rFonts w:ascii="Times New Roman" w:hAnsi="Times New Roman" w:cs="Times New Roman"/>
                <w:i/>
                <w:iCs/>
                <w:noProof/>
                <w:sz w:val="24"/>
                <w:szCs w:val="24"/>
              </w:rPr>
              <w:t xml:space="preserve">Workshop </w:t>
            </w:r>
            <w:r w:rsidR="00402A31" w:rsidRPr="0036474B">
              <w:rPr>
                <w:rFonts w:ascii="Times New Roman" w:hAnsi="Times New Roman" w:cs="Times New Roman"/>
                <w:i/>
                <w:iCs/>
                <w:noProof/>
                <w:sz w:val="24"/>
                <w:szCs w:val="24"/>
              </w:rPr>
              <w:t>“</w:t>
            </w:r>
            <w:r w:rsidR="00B46D6A" w:rsidRPr="0036474B">
              <w:rPr>
                <w:rFonts w:ascii="Times New Roman" w:hAnsi="Times New Roman" w:cs="Times New Roman"/>
                <w:i/>
                <w:iCs/>
                <w:noProof/>
                <w:sz w:val="24"/>
                <w:szCs w:val="24"/>
              </w:rPr>
              <w:t xml:space="preserve">Economic of the Single Market” (19 September 2025). </w:t>
            </w:r>
            <w:r w:rsidRPr="0036474B">
              <w:rPr>
                <w:rFonts w:ascii="Times New Roman" w:hAnsi="Times New Roman" w:cs="Times New Roman"/>
                <w:i/>
                <w:iCs/>
                <w:noProof/>
                <w:sz w:val="24"/>
                <w:szCs w:val="24"/>
              </w:rPr>
              <w:t>ECB and EBA calculations. ECB Occasional Paper “Understanding the profitability gap between euro area and US G-SIBs”</w:t>
            </w:r>
          </w:p>
        </w:tc>
      </w:tr>
    </w:tbl>
    <w:p w14:paraId="577020BA" w14:textId="77777777" w:rsidR="00786175" w:rsidRPr="0036474B" w:rsidRDefault="00786175" w:rsidP="00C57968">
      <w:pPr>
        <w:jc w:val="both"/>
        <w:rPr>
          <w:rFonts w:ascii="Times New Roman" w:hAnsi="Times New Roman" w:cs="Times New Roman"/>
          <w:noProof/>
          <w:sz w:val="24"/>
          <w:szCs w:val="24"/>
        </w:rPr>
      </w:pPr>
    </w:p>
    <w:p w14:paraId="0D76B9E8" w14:textId="21FF3297" w:rsidR="0005450D" w:rsidRDefault="0005450D" w:rsidP="0005450D">
      <w:pPr>
        <w:jc w:val="both"/>
        <w:rPr>
          <w:rFonts w:ascii="Times New Roman" w:hAnsi="Times New Roman" w:cs="Times New Roman"/>
          <w:noProof/>
          <w:sz w:val="24"/>
          <w:szCs w:val="24"/>
          <w:lang w:val="en-GB"/>
        </w:rPr>
      </w:pPr>
      <w:r w:rsidRPr="0036474B">
        <w:rPr>
          <w:rFonts w:ascii="Times New Roman" w:hAnsi="Times New Roman" w:cs="Times New Roman"/>
          <w:b/>
          <w:bCs/>
          <w:noProof/>
          <w:sz w:val="24"/>
          <w:szCs w:val="24"/>
          <w:lang w:val="en-GB"/>
        </w:rPr>
        <w:t xml:space="preserve">CIB activities are important not just </w:t>
      </w:r>
      <w:r w:rsidR="008462D4">
        <w:rPr>
          <w:rFonts w:ascii="Times New Roman" w:hAnsi="Times New Roman" w:cs="Times New Roman"/>
          <w:b/>
          <w:bCs/>
          <w:noProof/>
          <w:sz w:val="24"/>
          <w:szCs w:val="24"/>
          <w:lang w:val="en-GB"/>
        </w:rPr>
        <w:t>to</w:t>
      </w:r>
      <w:r w:rsidRPr="0036474B">
        <w:rPr>
          <w:rFonts w:ascii="Times New Roman" w:hAnsi="Times New Roman" w:cs="Times New Roman"/>
          <w:b/>
          <w:bCs/>
          <w:noProof/>
          <w:sz w:val="24"/>
          <w:szCs w:val="24"/>
          <w:lang w:val="en-GB"/>
        </w:rPr>
        <w:t xml:space="preserve"> the banks themselves, but also </w:t>
      </w:r>
      <w:r w:rsidR="007A4537" w:rsidRPr="0036474B">
        <w:rPr>
          <w:rFonts w:ascii="Times New Roman" w:hAnsi="Times New Roman" w:cs="Times New Roman"/>
          <w:b/>
          <w:bCs/>
          <w:noProof/>
          <w:sz w:val="24"/>
          <w:szCs w:val="24"/>
          <w:lang w:val="en-GB"/>
        </w:rPr>
        <w:t>for</w:t>
      </w:r>
      <w:r w:rsidR="005372A5" w:rsidRPr="0036474B">
        <w:rPr>
          <w:rFonts w:ascii="Times New Roman" w:hAnsi="Times New Roman" w:cs="Times New Roman"/>
          <w:b/>
          <w:bCs/>
          <w:noProof/>
          <w:sz w:val="24"/>
          <w:szCs w:val="24"/>
          <w:lang w:val="en-GB"/>
        </w:rPr>
        <w:t xml:space="preserve"> </w:t>
      </w:r>
      <w:r w:rsidRPr="0036474B">
        <w:rPr>
          <w:rFonts w:ascii="Times New Roman" w:hAnsi="Times New Roman" w:cs="Times New Roman"/>
          <w:b/>
          <w:bCs/>
          <w:noProof/>
          <w:sz w:val="24"/>
          <w:szCs w:val="24"/>
          <w:lang w:val="en-GB"/>
        </w:rPr>
        <w:t xml:space="preserve">financial markets and the </w:t>
      </w:r>
      <w:r w:rsidR="003C301B" w:rsidRPr="0036474B">
        <w:rPr>
          <w:rFonts w:ascii="Times New Roman" w:hAnsi="Times New Roman" w:cs="Times New Roman"/>
          <w:b/>
          <w:bCs/>
          <w:noProof/>
          <w:sz w:val="24"/>
          <w:szCs w:val="24"/>
          <w:lang w:val="en-GB"/>
        </w:rPr>
        <w:t>economy</w:t>
      </w:r>
      <w:r w:rsidRPr="0036474B">
        <w:rPr>
          <w:rFonts w:ascii="Times New Roman" w:hAnsi="Times New Roman" w:cs="Times New Roman"/>
          <w:b/>
          <w:bCs/>
          <w:noProof/>
          <w:sz w:val="24"/>
          <w:szCs w:val="24"/>
          <w:lang w:val="en-GB"/>
        </w:rPr>
        <w:t xml:space="preserve">. </w:t>
      </w:r>
      <w:r w:rsidRPr="0036474B">
        <w:rPr>
          <w:rFonts w:ascii="Times New Roman" w:hAnsi="Times New Roman" w:cs="Times New Roman"/>
          <w:noProof/>
          <w:sz w:val="24"/>
          <w:szCs w:val="24"/>
          <w:lang w:val="en-GB"/>
        </w:rPr>
        <w:t xml:space="preserve">These activities can offer banks a source of revenues that is detached from the interest rate </w:t>
      </w:r>
      <w:r w:rsidR="00142C98" w:rsidRPr="0036474B">
        <w:rPr>
          <w:rFonts w:ascii="Times New Roman" w:hAnsi="Times New Roman" w:cs="Times New Roman"/>
          <w:noProof/>
          <w:sz w:val="24"/>
          <w:szCs w:val="24"/>
          <w:lang w:val="en-GB"/>
        </w:rPr>
        <w:t>cycle and</w:t>
      </w:r>
      <w:r w:rsidRPr="0036474B">
        <w:rPr>
          <w:rFonts w:ascii="Times New Roman" w:hAnsi="Times New Roman" w:cs="Times New Roman"/>
          <w:noProof/>
          <w:sz w:val="24"/>
          <w:szCs w:val="24"/>
          <w:lang w:val="en-GB"/>
        </w:rPr>
        <w:t xml:space="preserve"> often provide group-wide services to the bank (like hedging and asset liability management for the bank’s treasury). Moreover, CIB activities expand the product offering to corporate clients, including </w:t>
      </w:r>
      <w:r w:rsidR="00E10DFB" w:rsidRPr="0036474B">
        <w:rPr>
          <w:rFonts w:ascii="Times New Roman" w:hAnsi="Times New Roman" w:cs="Times New Roman"/>
          <w:noProof/>
          <w:sz w:val="24"/>
          <w:szCs w:val="24"/>
          <w:lang w:val="en-GB"/>
        </w:rPr>
        <w:t xml:space="preserve">other financial intermediaries and </w:t>
      </w:r>
      <w:r w:rsidRPr="0036474B">
        <w:rPr>
          <w:rFonts w:ascii="Times New Roman" w:hAnsi="Times New Roman" w:cs="Times New Roman"/>
          <w:noProof/>
          <w:sz w:val="24"/>
          <w:szCs w:val="24"/>
          <w:lang w:val="en-GB"/>
        </w:rPr>
        <w:t>non-financial corporations</w:t>
      </w:r>
      <w:r w:rsidR="001D5261" w:rsidRPr="0036474B">
        <w:rPr>
          <w:rFonts w:ascii="Times New Roman" w:hAnsi="Times New Roman" w:cs="Times New Roman"/>
          <w:noProof/>
          <w:sz w:val="24"/>
          <w:szCs w:val="24"/>
          <w:lang w:val="en-GB"/>
        </w:rPr>
        <w:t xml:space="preserve">. </w:t>
      </w:r>
      <w:r w:rsidR="00E10DFB" w:rsidRPr="0036474B">
        <w:rPr>
          <w:rFonts w:ascii="Times New Roman" w:hAnsi="Times New Roman" w:cs="Times New Roman"/>
          <w:noProof/>
          <w:sz w:val="24"/>
          <w:szCs w:val="24"/>
          <w:lang w:val="en-GB"/>
        </w:rPr>
        <w:t>For instance, bank</w:t>
      </w:r>
      <w:r w:rsidR="00A10C30" w:rsidRPr="0036474B">
        <w:rPr>
          <w:rFonts w:ascii="Times New Roman" w:hAnsi="Times New Roman" w:cs="Times New Roman"/>
          <w:noProof/>
          <w:sz w:val="24"/>
          <w:szCs w:val="24"/>
          <w:lang w:val="en-GB"/>
        </w:rPr>
        <w:t>s offer</w:t>
      </w:r>
      <w:r w:rsidR="004472CA" w:rsidRPr="0036474B">
        <w:rPr>
          <w:rFonts w:ascii="Times New Roman" w:hAnsi="Times New Roman" w:cs="Times New Roman"/>
          <w:noProof/>
          <w:sz w:val="24"/>
          <w:szCs w:val="24"/>
          <w:lang w:val="en-GB"/>
        </w:rPr>
        <w:t xml:space="preserve"> CIB </w:t>
      </w:r>
      <w:r w:rsidR="00A10C30" w:rsidRPr="0036474B">
        <w:rPr>
          <w:rFonts w:ascii="Times New Roman" w:hAnsi="Times New Roman" w:cs="Times New Roman"/>
          <w:noProof/>
          <w:sz w:val="24"/>
          <w:szCs w:val="24"/>
          <w:lang w:val="en-GB"/>
        </w:rPr>
        <w:t xml:space="preserve">services </w:t>
      </w:r>
      <w:r w:rsidR="004F3A71" w:rsidRPr="0036474B">
        <w:rPr>
          <w:rFonts w:ascii="Times New Roman" w:hAnsi="Times New Roman" w:cs="Times New Roman"/>
          <w:noProof/>
          <w:sz w:val="24"/>
          <w:szCs w:val="24"/>
          <w:lang w:val="en-GB"/>
        </w:rPr>
        <w:t xml:space="preserve">to insurance companies hedging </w:t>
      </w:r>
      <w:r w:rsidR="00BB4B36" w:rsidRPr="0036474B">
        <w:rPr>
          <w:rFonts w:ascii="Times New Roman" w:hAnsi="Times New Roman" w:cs="Times New Roman"/>
          <w:noProof/>
          <w:sz w:val="24"/>
          <w:szCs w:val="24"/>
          <w:lang w:val="en-GB"/>
        </w:rPr>
        <w:t xml:space="preserve">risks they are not willing to </w:t>
      </w:r>
      <w:r w:rsidR="00470EB5" w:rsidRPr="0036474B">
        <w:rPr>
          <w:rFonts w:ascii="Times New Roman" w:hAnsi="Times New Roman" w:cs="Times New Roman"/>
          <w:noProof/>
          <w:sz w:val="24"/>
          <w:szCs w:val="24"/>
          <w:lang w:val="en-GB"/>
        </w:rPr>
        <w:t>cover and</w:t>
      </w:r>
      <w:r w:rsidR="00044097" w:rsidRPr="0036474B">
        <w:rPr>
          <w:rFonts w:ascii="Times New Roman" w:hAnsi="Times New Roman" w:cs="Times New Roman"/>
          <w:noProof/>
          <w:sz w:val="24"/>
          <w:szCs w:val="24"/>
          <w:lang w:val="en-GB"/>
        </w:rPr>
        <w:t xml:space="preserve"> offer </w:t>
      </w:r>
      <w:r w:rsidR="00ED5A0F" w:rsidRPr="0036474B">
        <w:rPr>
          <w:rFonts w:ascii="Times New Roman" w:hAnsi="Times New Roman" w:cs="Times New Roman"/>
          <w:noProof/>
          <w:sz w:val="24"/>
          <w:szCs w:val="24"/>
          <w:lang w:val="en-GB"/>
        </w:rPr>
        <w:t xml:space="preserve">large corporations </w:t>
      </w:r>
      <w:r w:rsidR="00AF140F" w:rsidRPr="0036474B">
        <w:rPr>
          <w:rFonts w:ascii="Times New Roman" w:hAnsi="Times New Roman" w:cs="Times New Roman"/>
          <w:noProof/>
          <w:sz w:val="24"/>
          <w:szCs w:val="24"/>
          <w:lang w:val="en-GB"/>
        </w:rPr>
        <w:t xml:space="preserve">solutions to hedge e.g. interest rate or foreign exchange risks and </w:t>
      </w:r>
      <w:r w:rsidR="000C2090" w:rsidRPr="0036474B">
        <w:rPr>
          <w:rFonts w:ascii="Times New Roman" w:hAnsi="Times New Roman" w:cs="Times New Roman"/>
          <w:noProof/>
          <w:sz w:val="24"/>
          <w:szCs w:val="24"/>
          <w:lang w:val="en-GB"/>
        </w:rPr>
        <w:t xml:space="preserve">may be the channel for those corporations to tap </w:t>
      </w:r>
      <w:r w:rsidR="44ADB882" w:rsidRPr="0036474B">
        <w:rPr>
          <w:rFonts w:ascii="Times New Roman" w:hAnsi="Times New Roman" w:cs="Times New Roman"/>
          <w:noProof/>
          <w:sz w:val="24"/>
          <w:szCs w:val="24"/>
          <w:lang w:val="en-GB"/>
        </w:rPr>
        <w:t>capital</w:t>
      </w:r>
      <w:r w:rsidR="000C2090" w:rsidRPr="0036474B">
        <w:rPr>
          <w:rFonts w:ascii="Times New Roman" w:hAnsi="Times New Roman" w:cs="Times New Roman"/>
          <w:noProof/>
          <w:sz w:val="24"/>
          <w:szCs w:val="24"/>
          <w:lang w:val="en-GB"/>
        </w:rPr>
        <w:t xml:space="preserve"> market financ</w:t>
      </w:r>
      <w:r w:rsidR="0C56D1B0" w:rsidRPr="0036474B">
        <w:rPr>
          <w:rFonts w:ascii="Times New Roman" w:hAnsi="Times New Roman" w:cs="Times New Roman"/>
          <w:noProof/>
          <w:sz w:val="24"/>
          <w:szCs w:val="24"/>
          <w:lang w:val="en-GB"/>
        </w:rPr>
        <w:t>ing</w:t>
      </w:r>
      <w:r w:rsidR="000C2090" w:rsidRPr="0036474B">
        <w:rPr>
          <w:rFonts w:ascii="Times New Roman" w:hAnsi="Times New Roman" w:cs="Times New Roman"/>
          <w:noProof/>
          <w:sz w:val="24"/>
          <w:szCs w:val="24"/>
          <w:lang w:val="en-GB"/>
        </w:rPr>
        <w:t>, e.g</w:t>
      </w:r>
      <w:r w:rsidR="00162EE0" w:rsidRPr="0036474B">
        <w:rPr>
          <w:rFonts w:ascii="Times New Roman" w:hAnsi="Times New Roman" w:cs="Times New Roman"/>
          <w:noProof/>
          <w:sz w:val="24"/>
          <w:szCs w:val="24"/>
          <w:lang w:val="en-GB"/>
        </w:rPr>
        <w:t>.</w:t>
      </w:r>
      <w:r w:rsidR="000C2090" w:rsidRPr="0036474B">
        <w:rPr>
          <w:rFonts w:ascii="Times New Roman" w:hAnsi="Times New Roman" w:cs="Times New Roman"/>
          <w:noProof/>
          <w:sz w:val="24"/>
          <w:szCs w:val="24"/>
          <w:lang w:val="en-GB"/>
        </w:rPr>
        <w:t xml:space="preserve"> raising equity or </w:t>
      </w:r>
      <w:r w:rsidR="009E76D3" w:rsidRPr="0036474B">
        <w:rPr>
          <w:rFonts w:ascii="Times New Roman" w:hAnsi="Times New Roman" w:cs="Times New Roman"/>
          <w:noProof/>
          <w:sz w:val="24"/>
          <w:szCs w:val="24"/>
          <w:lang w:val="en-GB"/>
        </w:rPr>
        <w:t>issuing bonds.</w:t>
      </w:r>
      <w:r w:rsidR="00162EE0" w:rsidRPr="0036474B">
        <w:rPr>
          <w:rFonts w:ascii="Times New Roman" w:hAnsi="Times New Roman" w:cs="Times New Roman"/>
          <w:noProof/>
          <w:sz w:val="24"/>
          <w:szCs w:val="24"/>
          <w:lang w:val="en-GB"/>
        </w:rPr>
        <w:t xml:space="preserve"> In this vein, </w:t>
      </w:r>
      <w:r w:rsidR="00FD3C86" w:rsidRPr="0036474B">
        <w:rPr>
          <w:rFonts w:ascii="Times New Roman" w:hAnsi="Times New Roman" w:cs="Times New Roman"/>
          <w:noProof/>
          <w:sz w:val="24"/>
          <w:szCs w:val="24"/>
          <w:lang w:val="en-GB"/>
        </w:rPr>
        <w:t>a</w:t>
      </w:r>
      <w:r w:rsidR="00162EE0" w:rsidRPr="0036474B">
        <w:rPr>
          <w:rFonts w:ascii="Times New Roman" w:hAnsi="Times New Roman" w:cs="Times New Roman"/>
          <w:noProof/>
          <w:sz w:val="24"/>
          <w:szCs w:val="24"/>
          <w:lang w:val="en-GB"/>
        </w:rPr>
        <w:t xml:space="preserve"> </w:t>
      </w:r>
      <w:r w:rsidR="00FD3C86" w:rsidRPr="0036474B">
        <w:rPr>
          <w:rFonts w:ascii="Times New Roman" w:hAnsi="Times New Roman" w:cs="Times New Roman"/>
          <w:noProof/>
          <w:sz w:val="24"/>
          <w:szCs w:val="24"/>
          <w:lang w:val="en-GB"/>
        </w:rPr>
        <w:t xml:space="preserve">bank’s CIB activities are deeply intertwined with the depth and breadth of financial markets </w:t>
      </w:r>
      <w:r w:rsidR="00BE20C9" w:rsidRPr="0036474B">
        <w:rPr>
          <w:rFonts w:ascii="Times New Roman" w:hAnsi="Times New Roman" w:cs="Times New Roman"/>
          <w:noProof/>
          <w:sz w:val="24"/>
          <w:szCs w:val="24"/>
          <w:lang w:val="en-GB"/>
        </w:rPr>
        <w:t>players and vivacity. US banks have global franchises also because they can leverage on well</w:t>
      </w:r>
      <w:r w:rsidR="002748B2">
        <w:rPr>
          <w:rFonts w:ascii="Times New Roman" w:hAnsi="Times New Roman" w:cs="Times New Roman"/>
          <w:noProof/>
          <w:sz w:val="24"/>
          <w:szCs w:val="24"/>
          <w:lang w:val="en-GB"/>
        </w:rPr>
        <w:t>-</w:t>
      </w:r>
      <w:r w:rsidR="00BE20C9" w:rsidRPr="0036474B">
        <w:rPr>
          <w:rFonts w:ascii="Times New Roman" w:hAnsi="Times New Roman" w:cs="Times New Roman"/>
          <w:noProof/>
          <w:sz w:val="24"/>
          <w:szCs w:val="24"/>
          <w:lang w:val="en-GB"/>
        </w:rPr>
        <w:t xml:space="preserve">developed </w:t>
      </w:r>
      <w:r w:rsidR="002748B2">
        <w:rPr>
          <w:rFonts w:ascii="Times New Roman" w:hAnsi="Times New Roman" w:cs="Times New Roman"/>
          <w:noProof/>
          <w:sz w:val="24"/>
          <w:szCs w:val="24"/>
          <w:lang w:val="en-GB"/>
        </w:rPr>
        <w:t xml:space="preserve">US </w:t>
      </w:r>
      <w:r w:rsidR="00BE20C9" w:rsidRPr="0036474B">
        <w:rPr>
          <w:rFonts w:ascii="Times New Roman" w:hAnsi="Times New Roman" w:cs="Times New Roman"/>
          <w:noProof/>
          <w:sz w:val="24"/>
          <w:szCs w:val="24"/>
          <w:lang w:val="en-GB"/>
        </w:rPr>
        <w:t xml:space="preserve">financial markets, whereas the lack of </w:t>
      </w:r>
      <w:r w:rsidR="00F22CCC" w:rsidRPr="0036474B">
        <w:rPr>
          <w:rFonts w:ascii="Times New Roman" w:hAnsi="Times New Roman" w:cs="Times New Roman"/>
          <w:noProof/>
          <w:sz w:val="24"/>
          <w:szCs w:val="24"/>
          <w:lang w:val="en-GB"/>
        </w:rPr>
        <w:t>a</w:t>
      </w:r>
      <w:r w:rsidR="00A355AA">
        <w:rPr>
          <w:rFonts w:ascii="Times New Roman" w:hAnsi="Times New Roman" w:cs="Times New Roman"/>
          <w:noProof/>
          <w:sz w:val="24"/>
          <w:szCs w:val="24"/>
          <w:lang w:val="en-GB"/>
        </w:rPr>
        <w:t xml:space="preserve">n integrated market for banking </w:t>
      </w:r>
      <w:r w:rsidR="004458A7" w:rsidRPr="0036474B">
        <w:rPr>
          <w:rFonts w:ascii="Times New Roman" w:hAnsi="Times New Roman" w:cs="Times New Roman"/>
          <w:noProof/>
          <w:sz w:val="24"/>
          <w:szCs w:val="24"/>
          <w:lang w:val="en-GB"/>
        </w:rPr>
        <w:t xml:space="preserve">deprives EU banks from solid fundaments </w:t>
      </w:r>
      <w:r w:rsidR="00E14269" w:rsidRPr="0036474B">
        <w:rPr>
          <w:rFonts w:ascii="Times New Roman" w:hAnsi="Times New Roman" w:cs="Times New Roman"/>
          <w:noProof/>
          <w:sz w:val="24"/>
          <w:szCs w:val="24"/>
          <w:lang w:val="en-GB"/>
        </w:rPr>
        <w:t xml:space="preserve">from which to develop </w:t>
      </w:r>
      <w:r w:rsidR="000B4357" w:rsidRPr="0036474B">
        <w:rPr>
          <w:rFonts w:ascii="Times New Roman" w:hAnsi="Times New Roman" w:cs="Times New Roman"/>
          <w:noProof/>
          <w:sz w:val="24"/>
          <w:szCs w:val="24"/>
          <w:lang w:val="en-GB"/>
        </w:rPr>
        <w:t xml:space="preserve">their CIB </w:t>
      </w:r>
      <w:r w:rsidR="00416A60" w:rsidRPr="0036474B">
        <w:rPr>
          <w:rFonts w:ascii="Times New Roman" w:hAnsi="Times New Roman" w:cs="Times New Roman"/>
          <w:noProof/>
          <w:sz w:val="24"/>
          <w:szCs w:val="24"/>
          <w:lang w:val="en-GB"/>
        </w:rPr>
        <w:t>activities</w:t>
      </w:r>
      <w:r w:rsidR="00772D5D" w:rsidRPr="0036474B">
        <w:rPr>
          <w:rFonts w:ascii="Times New Roman" w:hAnsi="Times New Roman" w:cs="Times New Roman"/>
          <w:noProof/>
          <w:sz w:val="24"/>
          <w:szCs w:val="24"/>
          <w:lang w:val="en-GB"/>
        </w:rPr>
        <w:t>.</w:t>
      </w:r>
      <w:r w:rsidR="00807A46">
        <w:rPr>
          <w:rFonts w:ascii="Times New Roman" w:hAnsi="Times New Roman" w:cs="Times New Roman"/>
          <w:noProof/>
          <w:sz w:val="24"/>
          <w:szCs w:val="24"/>
          <w:lang w:val="en-GB"/>
        </w:rPr>
        <w:t xml:space="preserve"> Therefore, facilitating </w:t>
      </w:r>
      <w:r w:rsidR="00583E1C">
        <w:rPr>
          <w:rFonts w:ascii="Times New Roman" w:hAnsi="Times New Roman" w:cs="Times New Roman"/>
          <w:noProof/>
          <w:sz w:val="24"/>
          <w:szCs w:val="24"/>
          <w:lang w:val="en-GB"/>
        </w:rPr>
        <w:t xml:space="preserve">CIB activities of EU banks also contributes to resilience </w:t>
      </w:r>
      <w:r w:rsidR="00B42157">
        <w:rPr>
          <w:rFonts w:ascii="Times New Roman" w:hAnsi="Times New Roman" w:cs="Times New Roman"/>
          <w:noProof/>
          <w:sz w:val="24"/>
          <w:szCs w:val="24"/>
          <w:lang w:val="en-GB"/>
        </w:rPr>
        <w:t xml:space="preserve">and EU sovereignty. </w:t>
      </w:r>
    </w:p>
    <w:p w14:paraId="29CC362E" w14:textId="77777777" w:rsidR="00920CC4" w:rsidRPr="0036474B" w:rsidRDefault="00920CC4" w:rsidP="0005450D">
      <w:pPr>
        <w:jc w:val="both"/>
        <w:rPr>
          <w:rFonts w:ascii="Times New Roman" w:hAnsi="Times New Roman" w:cs="Times New Roman"/>
          <w:noProof/>
          <w:sz w:val="24"/>
          <w:szCs w:val="24"/>
          <w:lang w:val="en-GB"/>
        </w:rPr>
      </w:pPr>
    </w:p>
    <w:p w14:paraId="082EF927" w14:textId="1B9A6A82" w:rsidR="0057181C" w:rsidRPr="0036474B" w:rsidRDefault="0057181C" w:rsidP="00B00C18">
      <w:pPr>
        <w:pStyle w:val="ListParagraph"/>
        <w:numPr>
          <w:ilvl w:val="2"/>
          <w:numId w:val="11"/>
        </w:numPr>
        <w:ind w:left="1077"/>
        <w:outlineLvl w:val="2"/>
        <w:rPr>
          <w:rFonts w:ascii="Times New Roman" w:hAnsi="Times New Roman" w:cs="Times New Roman"/>
          <w:b/>
          <w:bCs/>
          <w:noProof/>
          <w:sz w:val="24"/>
          <w:szCs w:val="24"/>
          <w:lang w:val="en-GB"/>
        </w:rPr>
      </w:pPr>
      <w:bookmarkStart w:id="28" w:name="_Toc234341734"/>
      <w:r w:rsidRPr="0036474B">
        <w:rPr>
          <w:rFonts w:ascii="Times New Roman" w:hAnsi="Times New Roman" w:cs="Times New Roman"/>
          <w:b/>
          <w:bCs/>
          <w:noProof/>
          <w:sz w:val="24"/>
          <w:szCs w:val="24"/>
          <w:lang w:val="en-GB"/>
        </w:rPr>
        <w:t xml:space="preserve">Opportunities and </w:t>
      </w:r>
      <w:r w:rsidR="00B57E6A">
        <w:rPr>
          <w:rFonts w:ascii="Times New Roman" w:hAnsi="Times New Roman" w:cs="Times New Roman"/>
          <w:b/>
          <w:bCs/>
          <w:noProof/>
          <w:sz w:val="24"/>
          <w:szCs w:val="24"/>
          <w:lang w:val="en-GB"/>
        </w:rPr>
        <w:t>challenges from</w:t>
      </w:r>
      <w:r w:rsidRPr="0036474B">
        <w:rPr>
          <w:rFonts w:ascii="Times New Roman" w:hAnsi="Times New Roman" w:cs="Times New Roman"/>
          <w:b/>
          <w:bCs/>
          <w:noProof/>
          <w:sz w:val="24"/>
          <w:szCs w:val="24"/>
          <w:lang w:val="en-GB"/>
        </w:rPr>
        <w:t xml:space="preserve"> market integration</w:t>
      </w:r>
      <w:bookmarkEnd w:id="28"/>
    </w:p>
    <w:p w14:paraId="0D1911E1" w14:textId="354FB87C" w:rsidR="0057181C" w:rsidRPr="0036474B" w:rsidRDefault="0057181C" w:rsidP="0057181C">
      <w:pPr>
        <w:jc w:val="both"/>
        <w:rPr>
          <w:rFonts w:ascii="Times New Roman" w:hAnsi="Times New Roman" w:cs="Times New Roman"/>
          <w:b/>
          <w:bCs/>
          <w:noProof/>
          <w:sz w:val="24"/>
          <w:szCs w:val="24"/>
          <w:lang w:val="en-GB"/>
        </w:rPr>
      </w:pPr>
      <w:r w:rsidRPr="0036474B">
        <w:rPr>
          <w:rFonts w:ascii="Times New Roman" w:hAnsi="Times New Roman" w:cs="Times New Roman"/>
          <w:noProof/>
          <w:sz w:val="24"/>
          <w:szCs w:val="24"/>
          <w:lang w:val="en-GB"/>
        </w:rPr>
        <w:t>Market integration is a central part of the policy response set out in the Communication and is the element with potential to deliver the biggest improvements to competitiveness. Integration can take various forms, including structural consolidation, shared infrastructures and operating models or direct provision of cross-border services. The lack of market integration derives from a multitude of factors, including the composite nature of banking rules, European and national, the result of prudential and non-prudential barriers, or political and economic pressure within Member States.</w:t>
      </w:r>
    </w:p>
    <w:p w14:paraId="15CFADDF" w14:textId="77777777" w:rsidR="0057181C" w:rsidRPr="0036474B" w:rsidRDefault="0057181C" w:rsidP="0057181C">
      <w:pPr>
        <w:spacing w:before="240" w:after="120" w:line="264" w:lineRule="auto"/>
        <w:jc w:val="both"/>
        <w:rPr>
          <w:rFonts w:ascii="Times New Roman" w:eastAsia="Yu Mincho" w:hAnsi="Times New Roman" w:cs="Times New Roman"/>
          <w:b/>
          <w:bCs/>
          <w:i/>
          <w:iCs/>
          <w:noProof/>
          <w:sz w:val="24"/>
          <w:szCs w:val="24"/>
          <w:lang w:val="en-GB"/>
        </w:rPr>
      </w:pPr>
      <w:r w:rsidRPr="0036474B">
        <w:rPr>
          <w:rFonts w:ascii="Times New Roman" w:eastAsia="Yu Mincho" w:hAnsi="Times New Roman" w:cs="Times New Roman"/>
          <w:b/>
          <w:bCs/>
          <w:i/>
          <w:iCs/>
          <w:noProof/>
          <w:sz w:val="24"/>
          <w:szCs w:val="24"/>
          <w:lang w:val="en-GB"/>
        </w:rPr>
        <w:t>Benefits of cross-border market integration</w:t>
      </w:r>
    </w:p>
    <w:p w14:paraId="5B4E0247" w14:textId="1AC6BDBB" w:rsidR="0057181C" w:rsidRPr="0036474B" w:rsidRDefault="0057181C" w:rsidP="0057181C">
      <w:pPr>
        <w:spacing w:after="120" w:line="264" w:lineRule="auto"/>
        <w:jc w:val="both"/>
        <w:rPr>
          <w:rFonts w:ascii="Times New Roman" w:eastAsia="Yu Mincho" w:hAnsi="Times New Roman" w:cs="Times New Roman"/>
          <w:bCs/>
          <w:noProof/>
          <w:sz w:val="24"/>
          <w:szCs w:val="24"/>
          <w:lang w:val="en-GB"/>
        </w:rPr>
      </w:pPr>
      <w:r w:rsidRPr="0036474B">
        <w:rPr>
          <w:rFonts w:ascii="Times New Roman" w:eastAsia="Yu Mincho" w:hAnsi="Times New Roman" w:cs="Times New Roman"/>
          <w:noProof/>
          <w:sz w:val="24"/>
          <w:szCs w:val="24"/>
          <w:lang w:val="en-GB"/>
        </w:rPr>
        <w:t>Diversification makes banks more resilient to country-specific shocks. The diversification gains are greater the more different the markets are</w:t>
      </w:r>
      <w:r w:rsidRPr="0036474B">
        <w:rPr>
          <w:rStyle w:val="FootnoteReference"/>
          <w:rFonts w:ascii="Times New Roman" w:eastAsia="Yu Mincho" w:hAnsi="Times New Roman" w:cs="Times New Roman"/>
          <w:noProof/>
          <w:sz w:val="24"/>
          <w:szCs w:val="24"/>
          <w:lang w:val="en-GB"/>
        </w:rPr>
        <w:footnoteReference w:id="59"/>
      </w:r>
      <w:r w:rsidRPr="0036474B">
        <w:rPr>
          <w:rFonts w:ascii="Times New Roman" w:eastAsia="Yu Mincho" w:hAnsi="Times New Roman" w:cs="Times New Roman"/>
          <w:noProof/>
          <w:sz w:val="24"/>
          <w:szCs w:val="24"/>
          <w:lang w:val="en-GB"/>
        </w:rPr>
        <w:t>. Diversification and integration also contribute to better risk-sharing, smoothen local shocks</w:t>
      </w:r>
      <w:r w:rsidRPr="0036474B">
        <w:rPr>
          <w:rStyle w:val="FootnoteReference"/>
          <w:rFonts w:ascii="Times New Roman" w:eastAsia="Yu Mincho" w:hAnsi="Times New Roman" w:cs="Times New Roman"/>
          <w:noProof/>
          <w:sz w:val="24"/>
          <w:szCs w:val="24"/>
          <w:lang w:val="en-GB"/>
        </w:rPr>
        <w:footnoteReference w:id="60"/>
      </w:r>
      <w:r w:rsidRPr="0036474B">
        <w:rPr>
          <w:rFonts w:ascii="Times New Roman" w:eastAsia="Yu Mincho" w:hAnsi="Times New Roman" w:cs="Times New Roman"/>
          <w:noProof/>
          <w:sz w:val="24"/>
          <w:szCs w:val="24"/>
          <w:lang w:val="en-GB"/>
        </w:rPr>
        <w:t xml:space="preserve"> and can also support effective transmission of monetary policy</w:t>
      </w:r>
      <w:r w:rsidRPr="0036474B">
        <w:rPr>
          <w:rStyle w:val="FootnoteReference"/>
          <w:rFonts w:ascii="Times New Roman" w:eastAsia="Yu Mincho" w:hAnsi="Times New Roman" w:cs="Times New Roman"/>
          <w:noProof/>
          <w:sz w:val="24"/>
          <w:szCs w:val="24"/>
          <w:lang w:val="en-GB"/>
        </w:rPr>
        <w:footnoteReference w:id="61"/>
      </w:r>
      <w:r w:rsidRPr="0036474B">
        <w:rPr>
          <w:rFonts w:ascii="Times New Roman" w:eastAsia="Yu Mincho" w:hAnsi="Times New Roman" w:cs="Times New Roman"/>
          <w:noProof/>
          <w:sz w:val="24"/>
          <w:szCs w:val="24"/>
          <w:lang w:val="en-GB"/>
        </w:rPr>
        <w:t>.</w:t>
      </w:r>
    </w:p>
    <w:p w14:paraId="5ABA3575" w14:textId="4E5E375B" w:rsidR="0057181C" w:rsidRPr="0036474B" w:rsidRDefault="0057181C" w:rsidP="0057181C">
      <w:pPr>
        <w:spacing w:after="120" w:line="264" w:lineRule="auto"/>
        <w:jc w:val="both"/>
        <w:rPr>
          <w:rFonts w:ascii="Times New Roman" w:eastAsia="Yu Mincho" w:hAnsi="Times New Roman" w:cs="Times New Roman"/>
          <w:bCs/>
          <w:noProof/>
          <w:sz w:val="24"/>
          <w:szCs w:val="24"/>
          <w:lang w:val="en-GB"/>
        </w:rPr>
      </w:pPr>
      <w:r w:rsidRPr="0036474B">
        <w:rPr>
          <w:rFonts w:ascii="Times New Roman" w:eastAsia="Yu Mincho" w:hAnsi="Times New Roman" w:cs="Times New Roman"/>
          <w:bCs/>
          <w:noProof/>
          <w:sz w:val="24"/>
          <w:szCs w:val="24"/>
          <w:lang w:val="en-GB"/>
        </w:rPr>
        <w:t xml:space="preserve">Scale effects allow banks </w:t>
      </w:r>
      <w:r w:rsidRPr="0036474B">
        <w:rPr>
          <w:rFonts w:ascii="Times New Roman" w:eastAsia="Yu Mincho" w:hAnsi="Times New Roman" w:cs="Times New Roman"/>
          <w:noProof/>
          <w:sz w:val="24"/>
          <w:szCs w:val="24"/>
          <w:lang w:val="en-GB"/>
        </w:rPr>
        <w:t xml:space="preserve">to </w:t>
      </w:r>
      <w:r w:rsidR="00D81F53" w:rsidRPr="0036474B">
        <w:rPr>
          <w:rFonts w:ascii="Times New Roman" w:eastAsia="Yu Mincho" w:hAnsi="Times New Roman" w:cs="Times New Roman"/>
          <w:noProof/>
          <w:sz w:val="24"/>
          <w:szCs w:val="24"/>
          <w:lang w:val="en-GB"/>
        </w:rPr>
        <w:t>make</w:t>
      </w:r>
      <w:r w:rsidRPr="0036474B">
        <w:rPr>
          <w:rFonts w:ascii="Times New Roman" w:eastAsia="Yu Mincho" w:hAnsi="Times New Roman" w:cs="Times New Roman"/>
          <w:noProof/>
          <w:sz w:val="24"/>
          <w:szCs w:val="24"/>
          <w:lang w:val="en-GB"/>
        </w:rPr>
        <w:t xml:space="preserve"> efficiency gain</w:t>
      </w:r>
      <w:r w:rsidR="00D81F53" w:rsidRPr="0036474B">
        <w:rPr>
          <w:rFonts w:ascii="Times New Roman" w:eastAsia="Yu Mincho" w:hAnsi="Times New Roman" w:cs="Times New Roman"/>
          <w:noProof/>
          <w:sz w:val="24"/>
          <w:szCs w:val="24"/>
          <w:lang w:val="en-GB"/>
        </w:rPr>
        <w:t>s</w:t>
      </w:r>
      <w:r w:rsidRPr="0036474B">
        <w:rPr>
          <w:rFonts w:ascii="Times New Roman" w:eastAsia="Yu Mincho" w:hAnsi="Times New Roman" w:cs="Times New Roman"/>
          <w:bCs/>
          <w:noProof/>
          <w:sz w:val="24"/>
          <w:szCs w:val="24"/>
          <w:lang w:val="en-GB"/>
        </w:rPr>
        <w:t xml:space="preserve"> and support their profitability, in particular thanks to the cost savings that derive from the central management of resources such as liquidity and capital, and potentially from more competitive funding rates on financial markets. </w:t>
      </w:r>
      <w:r w:rsidRPr="0036474B">
        <w:rPr>
          <w:rFonts w:ascii="Times New Roman" w:eastAsia="Yu Mincho" w:hAnsi="Times New Roman" w:cs="Times New Roman"/>
          <w:noProof/>
          <w:sz w:val="24"/>
          <w:szCs w:val="24"/>
          <w:lang w:val="en-GB"/>
        </w:rPr>
        <w:t xml:space="preserve">Scale is also important to keep the pace in the current context of rising technology and cyber security. </w:t>
      </w:r>
      <w:r w:rsidRPr="0036474B">
        <w:rPr>
          <w:rFonts w:ascii="Times New Roman" w:eastAsia="Yu Mincho" w:hAnsi="Times New Roman" w:cs="Times New Roman"/>
          <w:bCs/>
          <w:noProof/>
          <w:sz w:val="24"/>
          <w:szCs w:val="24"/>
          <w:lang w:val="en-GB"/>
        </w:rPr>
        <w:t>However, these benefits may not always be fully realised in practice, due to organisational complexities for certain business models in large cross-border banks, legal and compliance burden, different cultures, and other barriers. Benefits may depend on market segments and the business models of institutions.</w:t>
      </w:r>
    </w:p>
    <w:p w14:paraId="34A1B746" w14:textId="7B37F648" w:rsidR="0057181C" w:rsidRPr="0036474B" w:rsidRDefault="0057181C" w:rsidP="0057181C">
      <w:pPr>
        <w:spacing w:after="120" w:line="264" w:lineRule="auto"/>
        <w:jc w:val="both"/>
        <w:rPr>
          <w:rFonts w:ascii="Times New Roman" w:eastAsia="Times New Roman" w:hAnsi="Times New Roman" w:cs="Times New Roman"/>
          <w:noProof/>
          <w:sz w:val="24"/>
          <w:szCs w:val="24"/>
          <w:lang w:val="en-GB"/>
        </w:rPr>
      </w:pPr>
      <w:r w:rsidRPr="0036474B">
        <w:rPr>
          <w:rFonts w:ascii="Times New Roman" w:eastAsia="Yu Mincho" w:hAnsi="Times New Roman" w:cs="Times New Roman"/>
          <w:noProof/>
          <w:sz w:val="24"/>
          <w:szCs w:val="24"/>
          <w:lang w:val="en-GB"/>
        </w:rPr>
        <w:t>The presence of foreign banks increases competition with domestic banks. Foreign-controlled entities were slightly more profitable than domestic banking groups in most Member States until 2021/22 when profits started to increase as a consequence of higher interest rates</w:t>
      </w:r>
      <w:r w:rsidRPr="0036474B">
        <w:rPr>
          <w:rStyle w:val="FootnoteReference"/>
          <w:rFonts w:ascii="Times New Roman" w:eastAsia="Yu Mincho" w:hAnsi="Times New Roman" w:cs="Times New Roman"/>
          <w:noProof/>
          <w:sz w:val="24"/>
          <w:szCs w:val="24"/>
          <w:lang w:val="en-GB"/>
        </w:rPr>
        <w:footnoteReference w:id="62"/>
      </w:r>
      <w:r w:rsidRPr="0036474B">
        <w:rPr>
          <w:rFonts w:ascii="Times New Roman" w:eastAsia="Yu Mincho" w:hAnsi="Times New Roman" w:cs="Times New Roman"/>
          <w:noProof/>
          <w:sz w:val="24"/>
          <w:szCs w:val="24"/>
          <w:lang w:val="en-GB"/>
        </w:rPr>
        <w:t>, consistent with research that found that foreign subsidiaries are more cost-efficient</w:t>
      </w:r>
      <w:r w:rsidRPr="0036474B">
        <w:rPr>
          <w:rStyle w:val="FootnoteReference"/>
          <w:rFonts w:ascii="Times New Roman" w:eastAsia="Yu Mincho" w:hAnsi="Times New Roman" w:cs="Times New Roman"/>
          <w:noProof/>
          <w:sz w:val="24"/>
          <w:szCs w:val="24"/>
          <w:lang w:val="en-GB"/>
        </w:rPr>
        <w:footnoteReference w:id="63"/>
      </w:r>
      <w:r w:rsidRPr="0036474B">
        <w:rPr>
          <w:rFonts w:ascii="Times New Roman" w:eastAsia="Yu Mincho" w:hAnsi="Times New Roman" w:cs="Times New Roman"/>
          <w:noProof/>
          <w:sz w:val="24"/>
          <w:szCs w:val="24"/>
          <w:lang w:val="en-GB"/>
        </w:rPr>
        <w:t xml:space="preserve"> than domestic entities. This effect can be expected to be stronger for third country branches that were not subject to any capital and/or liquidity requirements. </w:t>
      </w:r>
    </w:p>
    <w:p w14:paraId="3B00D63E" w14:textId="2E0E595C" w:rsidR="0057181C" w:rsidRPr="0036474B" w:rsidRDefault="0057181C" w:rsidP="0057181C">
      <w:pPr>
        <w:spacing w:after="120" w:line="264" w:lineRule="auto"/>
        <w:jc w:val="both"/>
        <w:rPr>
          <w:rFonts w:ascii="Times New Roman" w:eastAsia="Yu Mincho" w:hAnsi="Times New Roman" w:cs="Times New Roman"/>
          <w:noProof/>
          <w:sz w:val="24"/>
          <w:szCs w:val="24"/>
          <w:lang w:val="en-GB"/>
        </w:rPr>
      </w:pPr>
      <w:r w:rsidRPr="0036474B">
        <w:rPr>
          <w:rFonts w:ascii="Times New Roman" w:eastAsia="Yu Mincho" w:hAnsi="Times New Roman" w:cs="Times New Roman"/>
          <w:noProof/>
          <w:sz w:val="24"/>
          <w:szCs w:val="24"/>
          <w:lang w:val="en-GB"/>
        </w:rPr>
        <w:t xml:space="preserve">Cross-border integration can also bring a more diversified offer, with more competitive pricing, of banking products to businesses and citizens, including local and </w:t>
      </w:r>
      <w:r w:rsidR="00A71E5D" w:rsidRPr="0036474B">
        <w:rPr>
          <w:rFonts w:ascii="Times New Roman" w:eastAsia="Yu Mincho" w:hAnsi="Times New Roman" w:cs="Times New Roman"/>
          <w:noProof/>
          <w:sz w:val="24"/>
          <w:szCs w:val="24"/>
          <w:lang w:val="en-GB"/>
        </w:rPr>
        <w:t>internationally active</w:t>
      </w:r>
      <w:r w:rsidRPr="0036474B">
        <w:rPr>
          <w:rFonts w:ascii="Times New Roman" w:eastAsia="Yu Mincho" w:hAnsi="Times New Roman" w:cs="Times New Roman"/>
          <w:noProof/>
          <w:sz w:val="24"/>
          <w:szCs w:val="24"/>
          <w:lang w:val="en-GB"/>
        </w:rPr>
        <w:t xml:space="preserve"> clients. By preventing financial exclusion, unrelated to creditworthiness but linked to geographical factors, market integration can also improve the trust of citizens in the financial sector, and boost interoperability, consumer experience, or accessibility and treatment of data. </w:t>
      </w:r>
    </w:p>
    <w:p w14:paraId="2A27CBE3" w14:textId="31EE67F2" w:rsidR="0057181C" w:rsidRPr="0036474B" w:rsidRDefault="0057181C" w:rsidP="0057181C">
      <w:pPr>
        <w:spacing w:after="120" w:line="264" w:lineRule="auto"/>
        <w:jc w:val="both"/>
        <w:rPr>
          <w:rFonts w:ascii="Times New Roman" w:eastAsia="Yu Mincho" w:hAnsi="Times New Roman" w:cs="Times New Roman"/>
          <w:noProof/>
          <w:sz w:val="24"/>
          <w:szCs w:val="24"/>
          <w:lang w:val="en-GB"/>
        </w:rPr>
      </w:pPr>
      <w:r w:rsidRPr="0036474B">
        <w:rPr>
          <w:rFonts w:ascii="Times New Roman" w:eastAsia="Yu Mincho" w:hAnsi="Times New Roman" w:cs="Times New Roman"/>
          <w:noProof/>
          <w:sz w:val="24"/>
          <w:szCs w:val="24"/>
          <w:lang w:val="en-GB"/>
        </w:rPr>
        <w:t>Integration also contributes to the financing of political priorities at EU level that cannot be expected to the same extent with</w:t>
      </w:r>
      <w:r w:rsidR="003D7837">
        <w:rPr>
          <w:rFonts w:ascii="Times New Roman" w:eastAsia="Yu Mincho" w:hAnsi="Times New Roman" w:cs="Times New Roman"/>
          <w:noProof/>
          <w:sz w:val="24"/>
          <w:szCs w:val="24"/>
          <w:lang w:val="en-GB"/>
        </w:rPr>
        <w:t>in</w:t>
      </w:r>
      <w:r w:rsidRPr="0036474B">
        <w:rPr>
          <w:rFonts w:ascii="Times New Roman" w:eastAsia="Yu Mincho" w:hAnsi="Times New Roman" w:cs="Times New Roman"/>
          <w:noProof/>
          <w:sz w:val="24"/>
          <w:szCs w:val="24"/>
          <w:lang w:val="en-GB"/>
        </w:rPr>
        <w:t xml:space="preserve"> a fragmented banking sector.</w:t>
      </w:r>
    </w:p>
    <w:p w14:paraId="5B22D9B1" w14:textId="3E27C92A" w:rsidR="0057181C" w:rsidRPr="0036474B" w:rsidRDefault="00727D9B" w:rsidP="0057181C">
      <w:pPr>
        <w:spacing w:before="240" w:after="120" w:line="264" w:lineRule="auto"/>
        <w:jc w:val="both"/>
        <w:rPr>
          <w:rFonts w:ascii="Times New Roman" w:eastAsia="Yu Mincho" w:hAnsi="Times New Roman" w:cs="Times New Roman"/>
          <w:b/>
          <w:bCs/>
          <w:i/>
          <w:iCs/>
          <w:noProof/>
          <w:sz w:val="24"/>
          <w:szCs w:val="24"/>
          <w:lang w:val="en-GB"/>
        </w:rPr>
      </w:pPr>
      <w:r>
        <w:rPr>
          <w:rFonts w:ascii="Times New Roman" w:eastAsia="Yu Mincho" w:hAnsi="Times New Roman" w:cs="Times New Roman"/>
          <w:b/>
          <w:bCs/>
          <w:i/>
          <w:iCs/>
          <w:noProof/>
          <w:sz w:val="24"/>
          <w:szCs w:val="24"/>
          <w:lang w:val="en-GB"/>
        </w:rPr>
        <w:t xml:space="preserve">Challenges </w:t>
      </w:r>
      <w:r w:rsidR="004B3C84">
        <w:rPr>
          <w:rFonts w:ascii="Times New Roman" w:eastAsia="Yu Mincho" w:hAnsi="Times New Roman" w:cs="Times New Roman"/>
          <w:b/>
          <w:bCs/>
          <w:i/>
          <w:iCs/>
          <w:noProof/>
          <w:sz w:val="24"/>
          <w:szCs w:val="24"/>
          <w:lang w:val="en-GB"/>
        </w:rPr>
        <w:t>linked</w:t>
      </w:r>
      <w:r w:rsidR="0057181C" w:rsidRPr="0036474B">
        <w:rPr>
          <w:rFonts w:ascii="Times New Roman" w:eastAsia="Yu Mincho" w:hAnsi="Times New Roman" w:cs="Times New Roman"/>
          <w:b/>
          <w:bCs/>
          <w:i/>
          <w:iCs/>
          <w:noProof/>
          <w:sz w:val="24"/>
          <w:szCs w:val="24"/>
          <w:lang w:val="en-GB"/>
        </w:rPr>
        <w:t xml:space="preserve"> to cross-border market integration</w:t>
      </w:r>
    </w:p>
    <w:p w14:paraId="63065296" w14:textId="4B781B12" w:rsidR="0057181C" w:rsidRPr="0036474B" w:rsidRDefault="0057181C" w:rsidP="0057181C">
      <w:pPr>
        <w:spacing w:after="120" w:line="264" w:lineRule="auto"/>
        <w:jc w:val="both"/>
        <w:rPr>
          <w:rFonts w:ascii="Times New Roman" w:eastAsia="Yu Mincho" w:hAnsi="Times New Roman" w:cs="Times New Roman"/>
          <w:bCs/>
          <w:noProof/>
          <w:sz w:val="24"/>
          <w:szCs w:val="24"/>
          <w:lang w:val="en-GB"/>
        </w:rPr>
      </w:pPr>
      <w:r w:rsidRPr="0036474B">
        <w:rPr>
          <w:rFonts w:ascii="Times New Roman" w:eastAsia="Yu Mincho" w:hAnsi="Times New Roman" w:cs="Times New Roman"/>
          <w:bCs/>
          <w:noProof/>
          <w:sz w:val="24"/>
          <w:szCs w:val="24"/>
          <w:lang w:val="en-GB"/>
        </w:rPr>
        <w:t xml:space="preserve">Cross-border presence can lead to difficulties in coordination between authorities in supervision, resolution, </w:t>
      </w:r>
      <w:r w:rsidR="00B616DB">
        <w:rPr>
          <w:rFonts w:ascii="Times New Roman" w:eastAsia="Yu Mincho" w:hAnsi="Times New Roman" w:cs="Times New Roman"/>
          <w:bCs/>
          <w:noProof/>
          <w:sz w:val="24"/>
          <w:szCs w:val="24"/>
          <w:lang w:val="en-GB"/>
        </w:rPr>
        <w:t xml:space="preserve">and macro-prudential authorities. Also, this can make the accountability mechanism more complex and multilayered, that means with an EU and a national dimensions, especially in terms of </w:t>
      </w:r>
      <w:r w:rsidR="00730EA2">
        <w:rPr>
          <w:rFonts w:ascii="Times New Roman" w:eastAsia="Yu Mincho" w:hAnsi="Times New Roman" w:cs="Times New Roman"/>
          <w:bCs/>
          <w:noProof/>
          <w:sz w:val="24"/>
          <w:szCs w:val="24"/>
          <w:lang w:val="en-GB"/>
        </w:rPr>
        <w:t xml:space="preserve">cost of potential failures for </w:t>
      </w:r>
      <w:r w:rsidRPr="0036474B">
        <w:rPr>
          <w:rFonts w:ascii="Times New Roman" w:eastAsia="Yu Mincho" w:hAnsi="Times New Roman" w:cs="Times New Roman"/>
          <w:bCs/>
          <w:noProof/>
          <w:sz w:val="24"/>
          <w:szCs w:val="24"/>
          <w:lang w:val="en-GB"/>
        </w:rPr>
        <w:t xml:space="preserve">domestic taxpayer </w:t>
      </w:r>
      <w:r w:rsidR="00730EA2">
        <w:rPr>
          <w:rFonts w:ascii="Times New Roman" w:eastAsia="Yu Mincho" w:hAnsi="Times New Roman" w:cs="Times New Roman"/>
          <w:bCs/>
          <w:noProof/>
          <w:sz w:val="24"/>
          <w:szCs w:val="24"/>
          <w:lang w:val="en-GB"/>
        </w:rPr>
        <w:t xml:space="preserve">triggered by the crisis of a cross-border </w:t>
      </w:r>
      <w:r w:rsidRPr="0036474B">
        <w:rPr>
          <w:rFonts w:ascii="Times New Roman" w:eastAsia="Yu Mincho" w:hAnsi="Times New Roman" w:cs="Times New Roman"/>
          <w:bCs/>
          <w:noProof/>
          <w:sz w:val="24"/>
          <w:szCs w:val="24"/>
          <w:lang w:val="en-GB"/>
        </w:rPr>
        <w:t xml:space="preserve">bank. Trust among authorities, enabled by a robust </w:t>
      </w:r>
      <w:r w:rsidR="002675D8">
        <w:rPr>
          <w:rFonts w:ascii="Times New Roman" w:eastAsia="Yu Mincho" w:hAnsi="Times New Roman" w:cs="Times New Roman"/>
          <w:bCs/>
          <w:noProof/>
          <w:sz w:val="24"/>
          <w:szCs w:val="24"/>
          <w:lang w:val="en-GB"/>
        </w:rPr>
        <w:t xml:space="preserve">coordination </w:t>
      </w:r>
      <w:r w:rsidRPr="0036474B">
        <w:rPr>
          <w:rFonts w:ascii="Times New Roman" w:eastAsia="Yu Mincho" w:hAnsi="Times New Roman" w:cs="Times New Roman"/>
          <w:bCs/>
          <w:noProof/>
          <w:sz w:val="24"/>
          <w:szCs w:val="24"/>
          <w:lang w:val="en-GB"/>
        </w:rPr>
        <w:t xml:space="preserve">framework, is paramount to overcome challenges, some of which may be inherited from past crises and the withdrawal of certain groups from cross-border activity in the wake of the financial crisis or by freezing the supply of lending, liquidity and other critical services in host markets. </w:t>
      </w:r>
    </w:p>
    <w:p w14:paraId="049B24EE" w14:textId="7D2C02CE" w:rsidR="0057181C" w:rsidRPr="0036474B" w:rsidRDefault="00B678F6" w:rsidP="0057181C">
      <w:pPr>
        <w:spacing w:after="120" w:line="264" w:lineRule="auto"/>
        <w:jc w:val="both"/>
        <w:rPr>
          <w:rFonts w:ascii="Times New Roman" w:eastAsia="Yu Mincho" w:hAnsi="Times New Roman" w:cs="Times New Roman"/>
          <w:bCs/>
          <w:noProof/>
          <w:sz w:val="24"/>
          <w:szCs w:val="24"/>
          <w:lang w:val="en-GB"/>
        </w:rPr>
      </w:pPr>
      <w:r w:rsidRPr="00B678F6">
        <w:rPr>
          <w:rFonts w:ascii="Times New Roman" w:eastAsia="Yu Mincho" w:hAnsi="Times New Roman" w:cs="Times New Roman"/>
          <w:bCs/>
          <w:noProof/>
          <w:sz w:val="24"/>
          <w:szCs w:val="24"/>
          <w:lang w:val="en-GB"/>
        </w:rPr>
        <w:t xml:space="preserve">Foreign banks </w:t>
      </w:r>
      <w:r w:rsidR="00BD7650">
        <w:rPr>
          <w:rFonts w:ascii="Times New Roman" w:eastAsia="Yu Mincho" w:hAnsi="Times New Roman" w:cs="Times New Roman"/>
          <w:bCs/>
          <w:noProof/>
          <w:sz w:val="24"/>
          <w:szCs w:val="24"/>
          <w:lang w:val="en-GB"/>
        </w:rPr>
        <w:t xml:space="preserve">may </w:t>
      </w:r>
      <w:r w:rsidRPr="00B678F6">
        <w:rPr>
          <w:rFonts w:ascii="Times New Roman" w:eastAsia="Yu Mincho" w:hAnsi="Times New Roman" w:cs="Times New Roman"/>
          <w:bCs/>
          <w:noProof/>
          <w:sz w:val="24"/>
          <w:szCs w:val="24"/>
          <w:lang w:val="en-GB"/>
        </w:rPr>
        <w:t>significantly impact domestic market structures, as their presence can result in local markets being dominated by foreign entities or lead to market oversaturation (overbanking)</w:t>
      </w:r>
      <w:r w:rsidR="0057181C" w:rsidRPr="0036474B">
        <w:rPr>
          <w:rFonts w:ascii="Times New Roman" w:eastAsia="Yu Mincho" w:hAnsi="Times New Roman" w:cs="Times New Roman"/>
          <w:bCs/>
          <w:noProof/>
          <w:sz w:val="24"/>
          <w:szCs w:val="24"/>
          <w:lang w:val="en-GB"/>
        </w:rPr>
        <w:t>. Especially in overbanked markets, authorities may be cautious about the possible impact of additional large foreign players on the consolidation, employment, competitiveness and efficiency of the domestic banking sector.</w:t>
      </w:r>
    </w:p>
    <w:p w14:paraId="4EE4692B" w14:textId="41E126FF" w:rsidR="0057181C" w:rsidRDefault="0057181C" w:rsidP="0057181C">
      <w:pPr>
        <w:spacing w:after="120" w:line="264" w:lineRule="auto"/>
        <w:jc w:val="both"/>
        <w:rPr>
          <w:rFonts w:ascii="Times New Roman" w:eastAsia="Yu Mincho" w:hAnsi="Times New Roman" w:cs="Times New Roman"/>
          <w:noProof/>
          <w:sz w:val="24"/>
          <w:szCs w:val="24"/>
          <w:lang w:val="en-GB"/>
        </w:rPr>
      </w:pPr>
      <w:r w:rsidRPr="0036474B">
        <w:rPr>
          <w:rFonts w:ascii="Times New Roman" w:eastAsia="Yu Mincho" w:hAnsi="Times New Roman" w:cs="Times New Roman"/>
          <w:bCs/>
          <w:noProof/>
          <w:sz w:val="24"/>
          <w:szCs w:val="24"/>
          <w:lang w:val="en-GB"/>
        </w:rPr>
        <w:t>Cross-border activities also entail costs for the banking group to execute</w:t>
      </w:r>
      <w:r w:rsidRPr="0036474B">
        <w:rPr>
          <w:rFonts w:ascii="Times New Roman" w:eastAsia="Yu Mincho" w:hAnsi="Times New Roman" w:cs="Times New Roman"/>
          <w:noProof/>
          <w:sz w:val="24"/>
          <w:szCs w:val="24"/>
          <w:lang w:val="en-GB"/>
        </w:rPr>
        <w:t xml:space="preserve"> post-merger strategies, integrate new foreign activities (IT systems, compliance, legal costs, pressure to lower interest for new product offering to gain market share, etc.). In addition, the risk remains that the expansion may be unsuccessful, showing insufficient business development and profitability and may push the cross-border subsidiary to be sold and the bank to retreat to and focus on the home market.</w:t>
      </w:r>
    </w:p>
    <w:p w14:paraId="3F011B88" w14:textId="77777777" w:rsidR="00920CC4" w:rsidRPr="0036474B" w:rsidRDefault="00920CC4" w:rsidP="0057181C">
      <w:pPr>
        <w:spacing w:after="120" w:line="264" w:lineRule="auto"/>
        <w:jc w:val="both"/>
        <w:rPr>
          <w:rFonts w:ascii="Times New Roman" w:eastAsia="Yu Mincho" w:hAnsi="Times New Roman" w:cs="Times New Roman"/>
          <w:noProof/>
          <w:sz w:val="24"/>
          <w:szCs w:val="24"/>
          <w:lang w:val="en-GB"/>
        </w:rPr>
      </w:pPr>
    </w:p>
    <w:p w14:paraId="212A7577" w14:textId="77777777" w:rsidR="0057181C" w:rsidRPr="0036474B" w:rsidRDefault="0057181C" w:rsidP="00B00C18">
      <w:pPr>
        <w:pStyle w:val="ListParagraph"/>
        <w:numPr>
          <w:ilvl w:val="2"/>
          <w:numId w:val="11"/>
        </w:numPr>
        <w:ind w:left="1077"/>
        <w:outlineLvl w:val="2"/>
        <w:rPr>
          <w:rFonts w:ascii="Times New Roman" w:hAnsi="Times New Roman" w:cs="Times New Roman"/>
          <w:b/>
          <w:bCs/>
          <w:noProof/>
          <w:sz w:val="24"/>
          <w:szCs w:val="24"/>
          <w:lang w:val="en-GB"/>
        </w:rPr>
      </w:pPr>
      <w:bookmarkStart w:id="29" w:name="_Toc234341735"/>
      <w:r w:rsidRPr="0036474B">
        <w:rPr>
          <w:rFonts w:ascii="Times New Roman" w:hAnsi="Times New Roman" w:cs="Times New Roman"/>
          <w:b/>
          <w:bCs/>
          <w:noProof/>
          <w:sz w:val="24"/>
          <w:szCs w:val="24"/>
          <w:lang w:val="en-GB"/>
        </w:rPr>
        <w:t>Barriers to market integration</w:t>
      </w:r>
      <w:bookmarkEnd w:id="29"/>
    </w:p>
    <w:p w14:paraId="6147EDAC" w14:textId="77777777" w:rsidR="0057181C" w:rsidRPr="0036474B" w:rsidRDefault="0057181C" w:rsidP="0057181C">
      <w:pPr>
        <w:spacing w:after="120" w:line="264" w:lineRule="auto"/>
        <w:jc w:val="both"/>
        <w:rPr>
          <w:rFonts w:ascii="Times New Roman" w:eastAsia="Yu Mincho" w:hAnsi="Times New Roman" w:cs="Times New Roman"/>
          <w:b/>
          <w:i/>
          <w:iCs/>
          <w:noProof/>
          <w:sz w:val="24"/>
          <w:szCs w:val="24"/>
          <w:lang w:val="en-GB"/>
        </w:rPr>
      </w:pPr>
      <w:r w:rsidRPr="0036474B">
        <w:rPr>
          <w:rFonts w:ascii="Times New Roman" w:eastAsia="Yu Mincho" w:hAnsi="Times New Roman" w:cs="Times New Roman"/>
          <w:b/>
          <w:i/>
          <w:iCs/>
          <w:noProof/>
          <w:sz w:val="24"/>
          <w:szCs w:val="24"/>
          <w:lang w:val="en-GB"/>
        </w:rPr>
        <w:t>Prudential and supervisory barriers</w:t>
      </w:r>
    </w:p>
    <w:p w14:paraId="1F75DC3E" w14:textId="51DDD85B" w:rsidR="0057181C" w:rsidRPr="0036474B" w:rsidRDefault="0057181C" w:rsidP="0057181C">
      <w:pPr>
        <w:spacing w:after="120" w:line="264" w:lineRule="auto"/>
        <w:jc w:val="both"/>
        <w:rPr>
          <w:rFonts w:ascii="Times New Roman" w:hAnsi="Times New Roman" w:cs="Times New Roman"/>
          <w:noProof/>
          <w:sz w:val="24"/>
          <w:szCs w:val="24"/>
          <w:lang w:val="en-GB"/>
        </w:rPr>
      </w:pPr>
      <w:r w:rsidRPr="0036474B">
        <w:rPr>
          <w:rFonts w:ascii="Times New Roman" w:eastAsia="Yu Mincho" w:hAnsi="Times New Roman" w:cs="Times New Roman"/>
          <w:noProof/>
          <w:sz w:val="24"/>
          <w:szCs w:val="24"/>
          <w:lang w:val="en-GB"/>
        </w:rPr>
        <w:t>The application of capital and liquidity requirements at individual level may prevent banking groups that expand internationally from managing and allocating capital and liquidity centrally, thereby imposing higher costs and making banking groups less resilient to shocks, insofar as the group may not move resources freely to where they are most needed to absorb such shocks. Moreover, each national supervisor has an incentive to request a large share of capital, liquidity or loss-absorbing liabilities in its jurisdiction. National supervisors thus compete for these resources, leading to potentially unfavourable dynamics that further undermine the possible benefits from the centralisation of resources</w:t>
      </w:r>
      <w:r w:rsidRPr="0036474B">
        <w:rPr>
          <w:rStyle w:val="FootnoteReference"/>
          <w:rFonts w:ascii="Times New Roman" w:eastAsia="Yu Mincho" w:hAnsi="Times New Roman" w:cs="Times New Roman"/>
          <w:noProof/>
          <w:sz w:val="24"/>
          <w:szCs w:val="24"/>
          <w:lang w:val="en-GB"/>
        </w:rPr>
        <w:footnoteReference w:id="64"/>
      </w:r>
      <w:r w:rsidRPr="0036474B">
        <w:rPr>
          <w:rFonts w:ascii="Times New Roman" w:eastAsia="Yu Mincho" w:hAnsi="Times New Roman" w:cs="Times New Roman"/>
          <w:noProof/>
          <w:sz w:val="24"/>
          <w:szCs w:val="24"/>
          <w:lang w:val="en-GB"/>
        </w:rPr>
        <w:t>. The absence of any material implementation of cross-border liquidity waivers in the Banking Union</w:t>
      </w:r>
      <w:r w:rsidRPr="0036474B">
        <w:rPr>
          <w:rStyle w:val="FootnoteReference"/>
          <w:rFonts w:ascii="Times New Roman" w:eastAsia="Yu Mincho" w:hAnsi="Times New Roman" w:cs="Times New Roman"/>
          <w:noProof/>
          <w:sz w:val="24"/>
          <w:szCs w:val="24"/>
          <w:lang w:val="en-GB"/>
        </w:rPr>
        <w:footnoteReference w:id="65"/>
      </w:r>
      <w:r w:rsidRPr="0036474B">
        <w:rPr>
          <w:rFonts w:ascii="Times New Roman" w:eastAsia="Yu Mincho" w:hAnsi="Times New Roman" w:cs="Times New Roman"/>
          <w:noProof/>
          <w:sz w:val="24"/>
          <w:szCs w:val="24"/>
          <w:lang w:val="en-GB"/>
        </w:rPr>
        <w:t xml:space="preserve"> is an example of a prudential limits to a more efficient allocation of funds in banking groups. </w:t>
      </w:r>
      <w:r w:rsidR="005C7179" w:rsidRPr="0036474B">
        <w:rPr>
          <w:rFonts w:ascii="Times New Roman" w:eastAsia="Yu Mincho" w:hAnsi="Times New Roman" w:cs="Times New Roman"/>
          <w:noProof/>
          <w:sz w:val="24"/>
          <w:szCs w:val="24"/>
          <w:lang w:val="en-GB"/>
        </w:rPr>
        <w:t xml:space="preserve">Other features of the bank </w:t>
      </w:r>
      <w:r w:rsidR="00137ED7" w:rsidRPr="4EB84919">
        <w:rPr>
          <w:rFonts w:ascii="Times New Roman" w:eastAsia="Yu Mincho" w:hAnsi="Times New Roman" w:cs="Times New Roman"/>
          <w:noProof/>
          <w:sz w:val="24"/>
          <w:szCs w:val="24"/>
          <w:lang w:val="en-GB"/>
        </w:rPr>
        <w:t>regulatory</w:t>
      </w:r>
      <w:r w:rsidR="005C7179" w:rsidRPr="0036474B">
        <w:rPr>
          <w:rFonts w:ascii="Times New Roman" w:eastAsia="Yu Mincho" w:hAnsi="Times New Roman" w:cs="Times New Roman"/>
          <w:noProof/>
          <w:sz w:val="24"/>
          <w:szCs w:val="24"/>
          <w:lang w:val="en-GB"/>
        </w:rPr>
        <w:t xml:space="preserve"> </w:t>
      </w:r>
      <w:r w:rsidR="00137ED7" w:rsidRPr="4EB84919">
        <w:rPr>
          <w:rFonts w:ascii="Times New Roman" w:eastAsia="Yu Mincho" w:hAnsi="Times New Roman" w:cs="Times New Roman"/>
          <w:noProof/>
          <w:sz w:val="24"/>
          <w:szCs w:val="24"/>
          <w:lang w:val="en-GB"/>
        </w:rPr>
        <w:t>framework</w:t>
      </w:r>
      <w:r w:rsidR="005C7179" w:rsidRPr="0036474B">
        <w:rPr>
          <w:rFonts w:ascii="Times New Roman" w:eastAsia="Yu Mincho" w:hAnsi="Times New Roman" w:cs="Times New Roman"/>
          <w:noProof/>
          <w:sz w:val="24"/>
          <w:szCs w:val="24"/>
          <w:lang w:val="en-GB"/>
        </w:rPr>
        <w:t xml:space="preserve"> directly limit the allocation of funds </w:t>
      </w:r>
      <w:r w:rsidR="00FB4370" w:rsidRPr="0036474B">
        <w:rPr>
          <w:rFonts w:ascii="Times New Roman" w:eastAsia="Yu Mincho" w:hAnsi="Times New Roman" w:cs="Times New Roman"/>
          <w:noProof/>
          <w:sz w:val="24"/>
          <w:szCs w:val="24"/>
          <w:lang w:val="en-GB"/>
        </w:rPr>
        <w:t xml:space="preserve">within cross border groups, such as </w:t>
      </w:r>
      <w:r w:rsidR="00B54FDF" w:rsidRPr="0036474B">
        <w:rPr>
          <w:rFonts w:ascii="Times New Roman" w:eastAsia="Yu Mincho" w:hAnsi="Times New Roman" w:cs="Times New Roman"/>
          <w:noProof/>
          <w:sz w:val="24"/>
          <w:szCs w:val="24"/>
          <w:lang w:val="en-GB"/>
        </w:rPr>
        <w:t xml:space="preserve">the application of risk weights to </w:t>
      </w:r>
      <w:r w:rsidR="005C7179" w:rsidRPr="0036474B">
        <w:rPr>
          <w:rFonts w:ascii="Times New Roman" w:eastAsia="Yu Mincho" w:hAnsi="Times New Roman" w:cs="Times New Roman"/>
          <w:noProof/>
          <w:sz w:val="24"/>
          <w:szCs w:val="24"/>
          <w:lang w:val="en-GB"/>
        </w:rPr>
        <w:t xml:space="preserve">cross-border </w:t>
      </w:r>
      <w:r w:rsidR="00B54FDF" w:rsidRPr="0036474B">
        <w:rPr>
          <w:rFonts w:ascii="Times New Roman" w:eastAsia="Yu Mincho" w:hAnsi="Times New Roman" w:cs="Times New Roman"/>
          <w:noProof/>
          <w:sz w:val="24"/>
          <w:szCs w:val="24"/>
          <w:lang w:val="en-GB"/>
        </w:rPr>
        <w:t xml:space="preserve">intragroup </w:t>
      </w:r>
      <w:r w:rsidR="00561C2C" w:rsidRPr="0036474B">
        <w:rPr>
          <w:rFonts w:ascii="Times New Roman" w:eastAsia="Yu Mincho" w:hAnsi="Times New Roman" w:cs="Times New Roman"/>
          <w:noProof/>
          <w:sz w:val="24"/>
          <w:szCs w:val="24"/>
          <w:lang w:val="en-GB"/>
        </w:rPr>
        <w:t xml:space="preserve">exposures </w:t>
      </w:r>
      <w:r w:rsidR="005C7179" w:rsidRPr="0036474B">
        <w:rPr>
          <w:rFonts w:ascii="Times New Roman" w:eastAsia="Yu Mincho" w:hAnsi="Times New Roman" w:cs="Times New Roman"/>
          <w:noProof/>
          <w:sz w:val="24"/>
          <w:szCs w:val="24"/>
          <w:lang w:val="en-GB"/>
        </w:rPr>
        <w:t xml:space="preserve">or the </w:t>
      </w:r>
      <w:r w:rsidRPr="0036474B">
        <w:rPr>
          <w:rFonts w:ascii="Times New Roman" w:eastAsia="Yu Mincho" w:hAnsi="Times New Roman" w:cs="Times New Roman"/>
          <w:noProof/>
          <w:sz w:val="24"/>
          <w:szCs w:val="24"/>
          <w:lang w:val="en-GB"/>
        </w:rPr>
        <w:t xml:space="preserve">current large exposure requirements </w:t>
      </w:r>
      <w:r w:rsidR="005C7179" w:rsidRPr="0036474B">
        <w:rPr>
          <w:rFonts w:ascii="Times New Roman" w:eastAsia="Yu Mincho" w:hAnsi="Times New Roman" w:cs="Times New Roman"/>
          <w:noProof/>
          <w:sz w:val="24"/>
          <w:szCs w:val="24"/>
          <w:lang w:val="en-GB"/>
        </w:rPr>
        <w:t xml:space="preserve">that </w:t>
      </w:r>
      <w:r w:rsidRPr="0036474B">
        <w:rPr>
          <w:rFonts w:ascii="Times New Roman" w:eastAsia="Yu Mincho" w:hAnsi="Times New Roman" w:cs="Times New Roman"/>
          <w:noProof/>
          <w:sz w:val="24"/>
          <w:szCs w:val="24"/>
          <w:lang w:val="en-GB"/>
        </w:rPr>
        <w:t xml:space="preserve">allow for a Member State derogation </w:t>
      </w:r>
      <w:r w:rsidR="005C7179" w:rsidRPr="0036474B">
        <w:rPr>
          <w:rFonts w:ascii="Times New Roman" w:eastAsia="Yu Mincho" w:hAnsi="Times New Roman" w:cs="Times New Roman"/>
          <w:noProof/>
          <w:sz w:val="24"/>
          <w:szCs w:val="24"/>
          <w:lang w:val="en-GB"/>
        </w:rPr>
        <w:t>to</w:t>
      </w:r>
      <w:r w:rsidRPr="0036474B">
        <w:rPr>
          <w:rFonts w:ascii="Times New Roman" w:eastAsia="Yu Mincho" w:hAnsi="Times New Roman" w:cs="Times New Roman"/>
          <w:noProof/>
          <w:sz w:val="24"/>
          <w:szCs w:val="24"/>
          <w:lang w:val="en-GB"/>
        </w:rPr>
        <w:t xml:space="preserve"> impos</w:t>
      </w:r>
      <w:r w:rsidR="005C7179" w:rsidRPr="0036474B">
        <w:rPr>
          <w:rFonts w:ascii="Times New Roman" w:eastAsia="Yu Mincho" w:hAnsi="Times New Roman" w:cs="Times New Roman"/>
          <w:noProof/>
          <w:sz w:val="24"/>
          <w:szCs w:val="24"/>
          <w:lang w:val="en-GB"/>
        </w:rPr>
        <w:t>e</w:t>
      </w:r>
      <w:r w:rsidRPr="0036474B">
        <w:rPr>
          <w:rFonts w:ascii="Times New Roman" w:eastAsia="Yu Mincho" w:hAnsi="Times New Roman" w:cs="Times New Roman"/>
          <w:noProof/>
          <w:sz w:val="24"/>
          <w:szCs w:val="24"/>
          <w:lang w:val="en-GB"/>
        </w:rPr>
        <w:t xml:space="preserve"> </w:t>
      </w:r>
      <w:r w:rsidR="00ED217C" w:rsidRPr="0036474B">
        <w:rPr>
          <w:rFonts w:ascii="Times New Roman" w:eastAsia="Yu Mincho" w:hAnsi="Times New Roman" w:cs="Times New Roman"/>
          <w:noProof/>
          <w:sz w:val="24"/>
          <w:szCs w:val="24"/>
          <w:lang w:val="en-GB"/>
        </w:rPr>
        <w:t xml:space="preserve">restrictions to </w:t>
      </w:r>
      <w:r w:rsidRPr="0036474B">
        <w:rPr>
          <w:rFonts w:ascii="Times New Roman" w:eastAsia="Yu Mincho" w:hAnsi="Times New Roman" w:cs="Times New Roman"/>
          <w:noProof/>
          <w:sz w:val="24"/>
          <w:szCs w:val="24"/>
          <w:lang w:val="en-GB"/>
        </w:rPr>
        <w:t xml:space="preserve">intragroup </w:t>
      </w:r>
      <w:r w:rsidR="005C7179" w:rsidRPr="0036474B">
        <w:rPr>
          <w:rFonts w:ascii="Times New Roman" w:eastAsia="Yu Mincho" w:hAnsi="Times New Roman" w:cs="Times New Roman"/>
          <w:noProof/>
          <w:sz w:val="24"/>
          <w:szCs w:val="24"/>
          <w:lang w:val="en-GB"/>
        </w:rPr>
        <w:t>flows</w:t>
      </w:r>
      <w:r w:rsidRPr="0036474B">
        <w:rPr>
          <w:rFonts w:ascii="Times New Roman" w:eastAsia="Yu Mincho" w:hAnsi="Times New Roman" w:cs="Times New Roman"/>
          <w:noProof/>
          <w:sz w:val="24"/>
          <w:szCs w:val="24"/>
          <w:lang w:val="en-GB"/>
        </w:rPr>
        <w:t xml:space="preserve"> until 31 December 2028.</w:t>
      </w:r>
      <w:r w:rsidR="00ED217C" w:rsidRPr="0036474B">
        <w:rPr>
          <w:rFonts w:ascii="Times New Roman" w:eastAsia="Yu Mincho" w:hAnsi="Times New Roman" w:cs="Times New Roman"/>
          <w:noProof/>
          <w:sz w:val="24"/>
          <w:szCs w:val="24"/>
          <w:lang w:val="en-GB"/>
        </w:rPr>
        <w:t xml:space="preserve"> </w:t>
      </w:r>
      <w:r w:rsidR="001D7C62" w:rsidRPr="0036474B">
        <w:rPr>
          <w:rFonts w:ascii="Times New Roman" w:eastAsia="Yu Mincho" w:hAnsi="Times New Roman" w:cs="Times New Roman"/>
          <w:noProof/>
          <w:sz w:val="24"/>
          <w:szCs w:val="24"/>
          <w:lang w:val="en-GB"/>
        </w:rPr>
        <w:t xml:space="preserve">Coupled with other parts of the framework, in particular the need for banks to </w:t>
      </w:r>
      <w:r w:rsidR="004E2171" w:rsidRPr="0036474B">
        <w:rPr>
          <w:rFonts w:ascii="Times New Roman" w:eastAsia="Yu Mincho" w:hAnsi="Times New Roman" w:cs="Times New Roman"/>
          <w:noProof/>
          <w:sz w:val="24"/>
          <w:szCs w:val="24"/>
          <w:lang w:val="en-GB"/>
        </w:rPr>
        <w:t xml:space="preserve">put in place internal MREL to execute internal loss-transfer mechanisms, these intragroup restrictions contribute to lock resources </w:t>
      </w:r>
      <w:r w:rsidR="00C2216D" w:rsidRPr="0036474B">
        <w:rPr>
          <w:rFonts w:ascii="Times New Roman" w:eastAsia="Yu Mincho" w:hAnsi="Times New Roman" w:cs="Times New Roman"/>
          <w:noProof/>
          <w:sz w:val="24"/>
          <w:szCs w:val="24"/>
          <w:lang w:val="en-GB"/>
        </w:rPr>
        <w:t>at local level.</w:t>
      </w:r>
    </w:p>
    <w:p w14:paraId="078EFA90" w14:textId="1815D73D" w:rsidR="0057181C" w:rsidRPr="0036474B" w:rsidRDefault="0057181C" w:rsidP="0057181C">
      <w:pPr>
        <w:spacing w:after="120" w:line="264" w:lineRule="auto"/>
        <w:jc w:val="both"/>
        <w:rPr>
          <w:rFonts w:ascii="Times New Roman" w:eastAsia="Yu Mincho" w:hAnsi="Times New Roman" w:cs="Times New Roman"/>
          <w:bCs/>
          <w:noProof/>
          <w:sz w:val="24"/>
          <w:szCs w:val="24"/>
        </w:rPr>
      </w:pPr>
      <w:r w:rsidRPr="0036474B">
        <w:rPr>
          <w:rFonts w:ascii="Times New Roman" w:eastAsia="Yu Mincho" w:hAnsi="Times New Roman" w:cs="Times New Roman"/>
          <w:bCs/>
          <w:noProof/>
          <w:sz w:val="24"/>
          <w:szCs w:val="24"/>
        </w:rPr>
        <w:t>A similar effect has been</w:t>
      </w:r>
      <w:r w:rsidR="00616FA2" w:rsidRPr="0036474B">
        <w:rPr>
          <w:rFonts w:ascii="Times New Roman" w:eastAsia="Yu Mincho" w:hAnsi="Times New Roman" w:cs="Times New Roman"/>
          <w:bCs/>
          <w:noProof/>
          <w:sz w:val="24"/>
          <w:szCs w:val="24"/>
        </w:rPr>
        <w:t xml:space="preserve"> </w:t>
      </w:r>
      <w:r w:rsidRPr="0036474B">
        <w:rPr>
          <w:rFonts w:ascii="Times New Roman" w:eastAsia="Yu Mincho" w:hAnsi="Times New Roman" w:cs="Times New Roman"/>
          <w:bCs/>
          <w:noProof/>
          <w:sz w:val="24"/>
          <w:szCs w:val="24"/>
        </w:rPr>
        <w:t>observed</w:t>
      </w:r>
      <w:r w:rsidR="00616FA2" w:rsidRPr="0036474B">
        <w:rPr>
          <w:rFonts w:ascii="Times New Roman" w:eastAsia="Yu Mincho" w:hAnsi="Times New Roman" w:cs="Times New Roman"/>
          <w:bCs/>
          <w:noProof/>
          <w:sz w:val="24"/>
          <w:szCs w:val="24"/>
        </w:rPr>
        <w:t xml:space="preserve"> </w:t>
      </w:r>
      <w:r w:rsidRPr="0036474B">
        <w:rPr>
          <w:rFonts w:ascii="Times New Roman" w:eastAsia="Yu Mincho" w:hAnsi="Times New Roman" w:cs="Times New Roman"/>
          <w:bCs/>
          <w:noProof/>
          <w:sz w:val="24"/>
          <w:szCs w:val="24"/>
        </w:rPr>
        <w:t>in relation to the level of C</w:t>
      </w:r>
      <w:r w:rsidR="00FA4F69">
        <w:rPr>
          <w:rFonts w:ascii="Times New Roman" w:eastAsia="Yu Mincho" w:hAnsi="Times New Roman" w:cs="Times New Roman"/>
          <w:bCs/>
          <w:noProof/>
          <w:sz w:val="24"/>
          <w:szCs w:val="24"/>
        </w:rPr>
        <w:t xml:space="preserve">risis </w:t>
      </w:r>
      <w:r w:rsidRPr="0036474B">
        <w:rPr>
          <w:rFonts w:ascii="Times New Roman" w:eastAsia="Yu Mincho" w:hAnsi="Times New Roman" w:cs="Times New Roman"/>
          <w:bCs/>
          <w:noProof/>
          <w:sz w:val="24"/>
          <w:szCs w:val="24"/>
        </w:rPr>
        <w:t>M</w:t>
      </w:r>
      <w:r w:rsidR="00FA4F69">
        <w:rPr>
          <w:rFonts w:ascii="Times New Roman" w:eastAsia="Yu Mincho" w:hAnsi="Times New Roman" w:cs="Times New Roman"/>
          <w:bCs/>
          <w:noProof/>
          <w:sz w:val="24"/>
          <w:szCs w:val="24"/>
        </w:rPr>
        <w:t xml:space="preserve">anagement and </w:t>
      </w:r>
      <w:r w:rsidRPr="0036474B">
        <w:rPr>
          <w:rFonts w:ascii="Times New Roman" w:eastAsia="Yu Mincho" w:hAnsi="Times New Roman" w:cs="Times New Roman"/>
          <w:bCs/>
          <w:noProof/>
          <w:sz w:val="24"/>
          <w:szCs w:val="24"/>
        </w:rPr>
        <w:t>D</w:t>
      </w:r>
      <w:r w:rsidR="00BC29C2">
        <w:rPr>
          <w:rFonts w:ascii="Times New Roman" w:eastAsia="Yu Mincho" w:hAnsi="Times New Roman" w:cs="Times New Roman"/>
          <w:bCs/>
          <w:noProof/>
          <w:sz w:val="24"/>
          <w:szCs w:val="24"/>
        </w:rPr>
        <w:t xml:space="preserve">eposit </w:t>
      </w:r>
      <w:r w:rsidRPr="0036474B">
        <w:rPr>
          <w:rFonts w:ascii="Times New Roman" w:eastAsia="Yu Mincho" w:hAnsi="Times New Roman" w:cs="Times New Roman"/>
          <w:bCs/>
          <w:noProof/>
          <w:sz w:val="24"/>
          <w:szCs w:val="24"/>
        </w:rPr>
        <w:t>I</w:t>
      </w:r>
      <w:r w:rsidR="00BC29C2">
        <w:rPr>
          <w:rFonts w:ascii="Times New Roman" w:eastAsia="Yu Mincho" w:hAnsi="Times New Roman" w:cs="Times New Roman"/>
          <w:bCs/>
          <w:noProof/>
          <w:sz w:val="24"/>
          <w:szCs w:val="24"/>
        </w:rPr>
        <w:t>nsurance (</w:t>
      </w:r>
      <w:r w:rsidRPr="0036474B">
        <w:rPr>
          <w:rFonts w:ascii="Times New Roman" w:eastAsia="Yu Mincho" w:hAnsi="Times New Roman" w:cs="Times New Roman"/>
          <w:bCs/>
          <w:noProof/>
          <w:sz w:val="24"/>
          <w:szCs w:val="24"/>
        </w:rPr>
        <w:t>CMDI</w:t>
      </w:r>
      <w:r w:rsidR="00DC35E5">
        <w:rPr>
          <w:rFonts w:ascii="Times New Roman" w:eastAsia="Yu Mincho" w:hAnsi="Times New Roman" w:cs="Times New Roman"/>
          <w:bCs/>
          <w:noProof/>
          <w:sz w:val="24"/>
          <w:szCs w:val="24"/>
        </w:rPr>
        <w:t>)</w:t>
      </w:r>
      <w:r w:rsidRPr="0036474B">
        <w:rPr>
          <w:rFonts w:ascii="Times New Roman" w:eastAsia="Yu Mincho" w:hAnsi="Times New Roman" w:cs="Times New Roman"/>
          <w:bCs/>
          <w:noProof/>
          <w:sz w:val="24"/>
          <w:szCs w:val="24"/>
        </w:rPr>
        <w:t xml:space="preserve"> requirements that may be imposed on banks,</w:t>
      </w:r>
      <w:r w:rsidR="00616FA2" w:rsidRPr="0036474B">
        <w:rPr>
          <w:rFonts w:ascii="Times New Roman" w:eastAsia="Yu Mincho" w:hAnsi="Times New Roman" w:cs="Times New Roman"/>
          <w:bCs/>
          <w:noProof/>
          <w:sz w:val="24"/>
          <w:szCs w:val="24"/>
        </w:rPr>
        <w:t xml:space="preserve"> </w:t>
      </w:r>
      <w:r w:rsidRPr="0036474B">
        <w:rPr>
          <w:rFonts w:ascii="Times New Roman" w:eastAsia="Yu Mincho" w:hAnsi="Times New Roman" w:cs="Times New Roman"/>
          <w:bCs/>
          <w:noProof/>
          <w:sz w:val="24"/>
          <w:szCs w:val="24"/>
        </w:rPr>
        <w:t>with regard to</w:t>
      </w:r>
      <w:r w:rsidR="00616FA2" w:rsidRPr="0036474B">
        <w:rPr>
          <w:rFonts w:ascii="Times New Roman" w:eastAsia="Yu Mincho" w:hAnsi="Times New Roman" w:cs="Times New Roman"/>
          <w:bCs/>
          <w:noProof/>
          <w:sz w:val="24"/>
          <w:szCs w:val="24"/>
        </w:rPr>
        <w:t xml:space="preserve"> </w:t>
      </w:r>
      <w:r w:rsidRPr="0036474B">
        <w:rPr>
          <w:rFonts w:ascii="Times New Roman" w:eastAsia="Yu Mincho" w:hAnsi="Times New Roman" w:cs="Times New Roman"/>
          <w:bCs/>
          <w:noProof/>
          <w:sz w:val="24"/>
          <w:szCs w:val="24"/>
        </w:rPr>
        <w:t xml:space="preserve">building MREL buffers and contributing to financial safety nets. The fact that most banks have reached their MREL targets and </w:t>
      </w:r>
      <w:r w:rsidR="00593964">
        <w:rPr>
          <w:rFonts w:ascii="Times New Roman" w:eastAsia="Yu Mincho" w:hAnsi="Times New Roman" w:cs="Times New Roman"/>
          <w:bCs/>
          <w:noProof/>
          <w:sz w:val="24"/>
          <w:szCs w:val="24"/>
        </w:rPr>
        <w:t>that</w:t>
      </w:r>
      <w:r w:rsidRPr="0036474B">
        <w:rPr>
          <w:rFonts w:ascii="Times New Roman" w:eastAsia="Yu Mincho" w:hAnsi="Times New Roman" w:cs="Times New Roman"/>
          <w:bCs/>
          <w:noProof/>
          <w:sz w:val="24"/>
          <w:szCs w:val="24"/>
        </w:rPr>
        <w:t xml:space="preserve"> industry funded financial safety nets </w:t>
      </w:r>
      <w:r w:rsidR="00A00F54" w:rsidRPr="00B9CD08">
        <w:rPr>
          <w:rFonts w:ascii="Times New Roman" w:hAnsi="Times New Roman" w:cs="Times New Roman"/>
          <w:noProof/>
          <w:sz w:val="24"/>
          <w:szCs w:val="24"/>
          <w:lang w:val="en-GB"/>
        </w:rPr>
        <w:t>(national DGS and SRF) are currently well capitalised</w:t>
      </w:r>
      <w:r w:rsidRPr="0036474B">
        <w:rPr>
          <w:rFonts w:ascii="Times New Roman" w:eastAsia="Yu Mincho" w:hAnsi="Times New Roman" w:cs="Times New Roman"/>
          <w:bCs/>
          <w:noProof/>
          <w:sz w:val="24"/>
          <w:szCs w:val="24"/>
        </w:rPr>
        <w:t xml:space="preserve"> should help attenuate th</w:t>
      </w:r>
      <w:r w:rsidR="00137ED7">
        <w:rPr>
          <w:rFonts w:ascii="Times New Roman" w:eastAsia="Yu Mincho" w:hAnsi="Times New Roman" w:cs="Times New Roman"/>
          <w:bCs/>
          <w:noProof/>
          <w:sz w:val="24"/>
          <w:szCs w:val="24"/>
        </w:rPr>
        <w:t>ese</w:t>
      </w:r>
      <w:r w:rsidRPr="0036474B">
        <w:rPr>
          <w:rFonts w:ascii="Times New Roman" w:eastAsia="Yu Mincho" w:hAnsi="Times New Roman" w:cs="Times New Roman"/>
          <w:bCs/>
          <w:noProof/>
          <w:sz w:val="24"/>
          <w:szCs w:val="24"/>
        </w:rPr>
        <w:t xml:space="preserve"> barriers.</w:t>
      </w:r>
      <w:r w:rsidR="00616FA2" w:rsidRPr="0036474B">
        <w:rPr>
          <w:rFonts w:ascii="Times New Roman" w:eastAsia="Yu Mincho" w:hAnsi="Times New Roman" w:cs="Times New Roman"/>
          <w:bCs/>
          <w:noProof/>
          <w:sz w:val="24"/>
          <w:szCs w:val="24"/>
        </w:rPr>
        <w:t xml:space="preserve"> </w:t>
      </w:r>
      <w:r w:rsidRPr="0036474B">
        <w:rPr>
          <w:rFonts w:ascii="Times New Roman" w:eastAsia="Yu Mincho" w:hAnsi="Times New Roman" w:cs="Times New Roman"/>
          <w:bCs/>
          <w:noProof/>
          <w:sz w:val="24"/>
          <w:szCs w:val="24"/>
        </w:rPr>
        <w:t xml:space="preserve">Nevertheless, some issues related to contributions to DGSs remain. Individual entities within cross-border groups are affiliated to different DGSs and have to comply with divergent national rules, including </w:t>
      </w:r>
      <w:r w:rsidR="00F97CEC" w:rsidRPr="0036474B">
        <w:rPr>
          <w:rFonts w:ascii="Times New Roman" w:eastAsia="Yu Mincho" w:hAnsi="Times New Roman" w:cs="Times New Roman"/>
          <w:bCs/>
          <w:noProof/>
          <w:sz w:val="24"/>
          <w:szCs w:val="24"/>
        </w:rPr>
        <w:t>on</w:t>
      </w:r>
      <w:r w:rsidRPr="0036474B">
        <w:rPr>
          <w:rFonts w:ascii="Times New Roman" w:eastAsia="Yu Mincho" w:hAnsi="Times New Roman" w:cs="Times New Roman"/>
          <w:bCs/>
          <w:noProof/>
          <w:sz w:val="24"/>
          <w:szCs w:val="24"/>
        </w:rPr>
        <w:t xml:space="preserve"> target levels, reporting and methodologies for the calculation and payment of contributions and additional fees. As highlighted in the consultation, this leads to uneven funding burdens for cross-border banks operating in multiple</w:t>
      </w:r>
      <w:r w:rsidR="00B82AAC" w:rsidRPr="0036474B">
        <w:rPr>
          <w:rFonts w:ascii="Times New Roman" w:eastAsia="Yu Mincho" w:hAnsi="Times New Roman" w:cs="Times New Roman"/>
          <w:bCs/>
          <w:noProof/>
          <w:sz w:val="24"/>
          <w:szCs w:val="24"/>
        </w:rPr>
        <w:t xml:space="preserve"> countries</w:t>
      </w:r>
      <w:r w:rsidRPr="0036474B">
        <w:rPr>
          <w:rFonts w:ascii="Times New Roman" w:eastAsia="Yu Mincho" w:hAnsi="Times New Roman" w:cs="Times New Roman"/>
          <w:bCs/>
          <w:noProof/>
          <w:sz w:val="24"/>
          <w:szCs w:val="24"/>
        </w:rPr>
        <w:t>. This divergence increases compliance costs and undermines the level playing field within the Banking Union.</w:t>
      </w:r>
    </w:p>
    <w:p w14:paraId="132F1718" w14:textId="13ECB0AA" w:rsidR="0057181C" w:rsidRPr="0036474B" w:rsidRDefault="0057181C" w:rsidP="0057181C">
      <w:pPr>
        <w:spacing w:after="120" w:line="264" w:lineRule="auto"/>
        <w:jc w:val="both"/>
        <w:rPr>
          <w:rFonts w:ascii="Times New Roman" w:eastAsia="Yu Mincho" w:hAnsi="Times New Roman" w:cs="Times New Roman"/>
          <w:bCs/>
          <w:noProof/>
          <w:sz w:val="24"/>
          <w:szCs w:val="24"/>
        </w:rPr>
      </w:pPr>
      <w:r w:rsidRPr="0036474B">
        <w:rPr>
          <w:rFonts w:ascii="Times New Roman" w:eastAsia="Yu Mincho" w:hAnsi="Times New Roman" w:cs="Times New Roman"/>
          <w:bCs/>
          <w:noProof/>
          <w:sz w:val="24"/>
          <w:szCs w:val="24"/>
        </w:rPr>
        <w:t>In addition, the</w:t>
      </w:r>
      <w:r w:rsidR="00616FA2" w:rsidRPr="0036474B">
        <w:rPr>
          <w:rFonts w:ascii="Times New Roman" w:eastAsia="Yu Mincho" w:hAnsi="Times New Roman" w:cs="Times New Roman"/>
          <w:bCs/>
          <w:noProof/>
          <w:sz w:val="24"/>
          <w:szCs w:val="24"/>
        </w:rPr>
        <w:t xml:space="preserve"> </w:t>
      </w:r>
      <w:r w:rsidRPr="0036474B">
        <w:rPr>
          <w:rFonts w:ascii="Times New Roman" w:eastAsia="Yu Mincho" w:hAnsi="Times New Roman" w:cs="Times New Roman"/>
          <w:bCs/>
          <w:noProof/>
          <w:sz w:val="24"/>
          <w:szCs w:val="24"/>
        </w:rPr>
        <w:t>uncertain legal framework for</w:t>
      </w:r>
      <w:r w:rsidR="00616FA2" w:rsidRPr="0036474B">
        <w:rPr>
          <w:rFonts w:ascii="Times New Roman" w:eastAsia="Yu Mincho" w:hAnsi="Times New Roman" w:cs="Times New Roman"/>
          <w:bCs/>
          <w:noProof/>
          <w:sz w:val="24"/>
          <w:szCs w:val="24"/>
        </w:rPr>
        <w:t xml:space="preserve"> </w:t>
      </w:r>
      <w:r w:rsidRPr="0036474B">
        <w:rPr>
          <w:rFonts w:ascii="Times New Roman" w:eastAsia="Yu Mincho" w:hAnsi="Times New Roman" w:cs="Times New Roman"/>
          <w:bCs/>
          <w:noProof/>
          <w:sz w:val="24"/>
          <w:szCs w:val="24"/>
        </w:rPr>
        <w:t>the</w:t>
      </w:r>
      <w:r w:rsidR="00616FA2" w:rsidRPr="0036474B">
        <w:rPr>
          <w:rFonts w:ascii="Times New Roman" w:eastAsia="Yu Mincho" w:hAnsi="Times New Roman" w:cs="Times New Roman"/>
          <w:bCs/>
          <w:noProof/>
          <w:sz w:val="24"/>
          <w:szCs w:val="24"/>
        </w:rPr>
        <w:t xml:space="preserve"> </w:t>
      </w:r>
      <w:r w:rsidRPr="0036474B">
        <w:rPr>
          <w:rFonts w:ascii="Times New Roman" w:eastAsia="Yu Mincho" w:hAnsi="Times New Roman" w:cs="Times New Roman"/>
          <w:bCs/>
          <w:noProof/>
          <w:sz w:val="24"/>
          <w:szCs w:val="24"/>
        </w:rPr>
        <w:t>recalibration</w:t>
      </w:r>
      <w:r w:rsidR="00616FA2" w:rsidRPr="0036474B">
        <w:rPr>
          <w:rFonts w:ascii="Times New Roman" w:eastAsia="Yu Mincho" w:hAnsi="Times New Roman" w:cs="Times New Roman"/>
          <w:bCs/>
          <w:noProof/>
          <w:sz w:val="24"/>
          <w:szCs w:val="24"/>
        </w:rPr>
        <w:t xml:space="preserve"> </w:t>
      </w:r>
      <w:r w:rsidRPr="0036474B">
        <w:rPr>
          <w:rFonts w:ascii="Times New Roman" w:eastAsia="Yu Mincho" w:hAnsi="Times New Roman" w:cs="Times New Roman"/>
          <w:bCs/>
          <w:noProof/>
          <w:sz w:val="24"/>
          <w:szCs w:val="24"/>
        </w:rPr>
        <w:t>of contributions between DGSs when banks change their affiliation translate</w:t>
      </w:r>
      <w:r w:rsidR="00E4607A">
        <w:rPr>
          <w:rFonts w:ascii="Times New Roman" w:eastAsia="Yu Mincho" w:hAnsi="Times New Roman" w:cs="Times New Roman"/>
          <w:bCs/>
          <w:noProof/>
          <w:sz w:val="24"/>
          <w:szCs w:val="24"/>
        </w:rPr>
        <w:t>d</w:t>
      </w:r>
      <w:r w:rsidRPr="0036474B">
        <w:rPr>
          <w:rFonts w:ascii="Times New Roman" w:eastAsia="Yu Mincho" w:hAnsi="Times New Roman" w:cs="Times New Roman"/>
          <w:bCs/>
          <w:noProof/>
          <w:sz w:val="24"/>
          <w:szCs w:val="24"/>
        </w:rPr>
        <w:t xml:space="preserve"> </w:t>
      </w:r>
      <w:r w:rsidR="005A184A">
        <w:rPr>
          <w:rFonts w:ascii="Times New Roman" w:eastAsia="Yu Mincho" w:hAnsi="Times New Roman" w:cs="Times New Roman"/>
          <w:bCs/>
          <w:noProof/>
          <w:sz w:val="24"/>
          <w:szCs w:val="24"/>
        </w:rPr>
        <w:t xml:space="preserve">in some cases </w:t>
      </w:r>
      <w:r w:rsidRPr="0036474B">
        <w:rPr>
          <w:rFonts w:ascii="Times New Roman" w:eastAsia="Yu Mincho" w:hAnsi="Times New Roman" w:cs="Times New Roman"/>
          <w:bCs/>
          <w:noProof/>
          <w:sz w:val="24"/>
          <w:szCs w:val="24"/>
        </w:rPr>
        <w:t>into an entry payment in the DGS of the Member State to which the activities w</w:t>
      </w:r>
      <w:r w:rsidR="00E07D6D">
        <w:rPr>
          <w:rFonts w:ascii="Times New Roman" w:eastAsia="Yu Mincho" w:hAnsi="Times New Roman" w:cs="Times New Roman"/>
          <w:bCs/>
          <w:noProof/>
          <w:sz w:val="24"/>
          <w:szCs w:val="24"/>
        </w:rPr>
        <w:t>ere</w:t>
      </w:r>
      <w:r w:rsidRPr="0036474B">
        <w:rPr>
          <w:rFonts w:ascii="Times New Roman" w:eastAsia="Yu Mincho" w:hAnsi="Times New Roman" w:cs="Times New Roman"/>
          <w:bCs/>
          <w:noProof/>
          <w:sz w:val="24"/>
          <w:szCs w:val="24"/>
        </w:rPr>
        <w:t xml:space="preserve"> affiliated in order to</w:t>
      </w:r>
      <w:r w:rsidR="00616FA2" w:rsidRPr="0036474B">
        <w:rPr>
          <w:rFonts w:ascii="Times New Roman" w:eastAsia="Yu Mincho" w:hAnsi="Times New Roman" w:cs="Times New Roman"/>
          <w:bCs/>
          <w:noProof/>
          <w:sz w:val="24"/>
          <w:szCs w:val="24"/>
        </w:rPr>
        <w:t xml:space="preserve"> </w:t>
      </w:r>
      <w:r w:rsidRPr="0036474B">
        <w:rPr>
          <w:rFonts w:ascii="Times New Roman" w:eastAsia="Yu Mincho" w:hAnsi="Times New Roman" w:cs="Times New Roman"/>
          <w:bCs/>
          <w:noProof/>
          <w:sz w:val="24"/>
          <w:szCs w:val="24"/>
        </w:rPr>
        <w:t xml:space="preserve">rebalance the increased level of liabilities to insure depositors of the receiving DGS. Some banks see the contributions into the DGSs as well as entry fees as a form of tax as they could be transferred only in limited cases. The current legislation </w:t>
      </w:r>
      <w:r w:rsidR="000232E0">
        <w:rPr>
          <w:rFonts w:ascii="Times New Roman" w:eastAsia="Yu Mincho" w:hAnsi="Times New Roman" w:cs="Times New Roman"/>
          <w:bCs/>
          <w:noProof/>
          <w:sz w:val="24"/>
          <w:szCs w:val="24"/>
        </w:rPr>
        <w:t>doe</w:t>
      </w:r>
      <w:r w:rsidRPr="0036474B">
        <w:rPr>
          <w:rFonts w:ascii="Times New Roman" w:eastAsia="Yu Mincho" w:hAnsi="Times New Roman" w:cs="Times New Roman"/>
          <w:bCs/>
          <w:noProof/>
          <w:sz w:val="24"/>
          <w:szCs w:val="24"/>
        </w:rPr>
        <w:t>s not sufficiently reflect the transfer of the risk to another DGS when a bank changes it legal establishment. The transfer of 12-month contributions that have been collected by the DGS to another one is possible only in case of DGSs which continue collecting contributions from their banking sector</w:t>
      </w:r>
      <w:r w:rsidR="00C004C7">
        <w:rPr>
          <w:rFonts w:ascii="Times New Roman" w:eastAsia="Yu Mincho" w:hAnsi="Times New Roman" w:cs="Times New Roman"/>
          <w:bCs/>
          <w:noProof/>
          <w:sz w:val="24"/>
          <w:szCs w:val="24"/>
        </w:rPr>
        <w:t xml:space="preserve"> due to a higher than the minimum target level or following </w:t>
      </w:r>
      <w:r w:rsidR="001A1B60">
        <w:rPr>
          <w:rFonts w:ascii="Times New Roman" w:eastAsia="Yu Mincho" w:hAnsi="Times New Roman" w:cs="Times New Roman"/>
          <w:bCs/>
          <w:noProof/>
          <w:sz w:val="24"/>
          <w:szCs w:val="24"/>
        </w:rPr>
        <w:t xml:space="preserve">a </w:t>
      </w:r>
      <w:r w:rsidR="00C004C7">
        <w:rPr>
          <w:rFonts w:ascii="Times New Roman" w:eastAsia="Yu Mincho" w:hAnsi="Times New Roman" w:cs="Times New Roman"/>
          <w:bCs/>
          <w:noProof/>
          <w:sz w:val="24"/>
          <w:szCs w:val="24"/>
        </w:rPr>
        <w:t>depletion</w:t>
      </w:r>
      <w:r w:rsidRPr="0036474B">
        <w:rPr>
          <w:rFonts w:ascii="Times New Roman" w:eastAsia="Yu Mincho" w:hAnsi="Times New Roman" w:cs="Times New Roman"/>
          <w:bCs/>
          <w:noProof/>
          <w:sz w:val="24"/>
          <w:szCs w:val="24"/>
        </w:rPr>
        <w:t>. </w:t>
      </w:r>
    </w:p>
    <w:p w14:paraId="1095B0B7" w14:textId="77777777" w:rsidR="0057181C" w:rsidRPr="0036474B" w:rsidRDefault="0057181C" w:rsidP="0057181C">
      <w:pPr>
        <w:spacing w:after="120" w:line="264" w:lineRule="auto"/>
        <w:jc w:val="both"/>
        <w:rPr>
          <w:rFonts w:ascii="Times New Roman" w:eastAsia="Yu Mincho" w:hAnsi="Times New Roman" w:cs="Times New Roman"/>
          <w:noProof/>
          <w:sz w:val="24"/>
          <w:szCs w:val="24"/>
          <w:lang w:val="en-GB"/>
        </w:rPr>
      </w:pPr>
      <w:r w:rsidRPr="0036474B">
        <w:rPr>
          <w:rFonts w:ascii="Times New Roman" w:eastAsia="Yu Mincho" w:hAnsi="Times New Roman" w:cs="Times New Roman"/>
          <w:noProof/>
          <w:sz w:val="24"/>
          <w:szCs w:val="24"/>
          <w:lang w:val="en-GB"/>
        </w:rPr>
        <w:t xml:space="preserve">Differences in enforcement and supervisory practices across Member States, fuelled by the existence of numerous options and national discretions in the regulatory framework, contribute to the increase of compliance costs for international banking groups and can prevent decisions to expand beyond borders. </w:t>
      </w:r>
    </w:p>
    <w:p w14:paraId="4501453F" w14:textId="5BCD8EEE" w:rsidR="0057181C" w:rsidRPr="0036474B" w:rsidRDefault="0057181C" w:rsidP="0057181C">
      <w:pPr>
        <w:spacing w:after="120" w:line="264" w:lineRule="auto"/>
        <w:jc w:val="both"/>
        <w:rPr>
          <w:rFonts w:ascii="Times New Roman" w:eastAsia="Yu Mincho" w:hAnsi="Times New Roman" w:cs="Times New Roman"/>
          <w:noProof/>
          <w:sz w:val="24"/>
          <w:szCs w:val="24"/>
          <w:lang w:val="en-GB"/>
        </w:rPr>
      </w:pPr>
      <w:r w:rsidRPr="0036474B">
        <w:rPr>
          <w:rFonts w:ascii="Times New Roman" w:eastAsia="Yu Mincho" w:hAnsi="Times New Roman" w:cs="Times New Roman"/>
          <w:noProof/>
          <w:sz w:val="24"/>
          <w:szCs w:val="24"/>
          <w:lang w:val="en-GB"/>
        </w:rPr>
        <w:t xml:space="preserve">Cases of misconduct (most prominently money laundering) in some banks’ foreign entities have also led to reputational costs for </w:t>
      </w:r>
      <w:r w:rsidR="00675B63" w:rsidRPr="0036474B">
        <w:rPr>
          <w:rFonts w:ascii="Times New Roman" w:eastAsia="Yu Mincho" w:hAnsi="Times New Roman" w:cs="Times New Roman"/>
          <w:noProof/>
          <w:sz w:val="24"/>
          <w:szCs w:val="24"/>
          <w:lang w:val="en-GB"/>
        </w:rPr>
        <w:t>supervisors and</w:t>
      </w:r>
      <w:r w:rsidRPr="0036474B">
        <w:rPr>
          <w:rFonts w:ascii="Times New Roman" w:eastAsia="Yu Mincho" w:hAnsi="Times New Roman" w:cs="Times New Roman"/>
          <w:noProof/>
          <w:sz w:val="24"/>
          <w:szCs w:val="24"/>
          <w:lang w:val="en-GB"/>
        </w:rPr>
        <w:t xml:space="preserve"> strengthened the perception of a possible failure in coordination between home and host authorities</w:t>
      </w:r>
      <w:r w:rsidR="00F87CEF">
        <w:rPr>
          <w:rFonts w:ascii="Times New Roman" w:eastAsia="Yu Mincho" w:hAnsi="Times New Roman" w:cs="Times New Roman"/>
          <w:noProof/>
          <w:sz w:val="24"/>
          <w:szCs w:val="24"/>
          <w:lang w:val="en-GB"/>
        </w:rPr>
        <w:t xml:space="preserve"> that </w:t>
      </w:r>
      <w:r w:rsidR="007D6496">
        <w:rPr>
          <w:rFonts w:ascii="Times New Roman" w:eastAsia="Yu Mincho" w:hAnsi="Times New Roman" w:cs="Times New Roman"/>
          <w:noProof/>
          <w:sz w:val="24"/>
          <w:szCs w:val="24"/>
          <w:lang w:val="en-GB"/>
        </w:rPr>
        <w:t>the legislative initiatives and institutional progress (e.g. with the setting up of AMLA) are aiming to address.</w:t>
      </w:r>
    </w:p>
    <w:p w14:paraId="144E4784" w14:textId="4FEA2636" w:rsidR="42120E47" w:rsidRPr="001752EA" w:rsidRDefault="42120E47" w:rsidP="001752EA">
      <w:pPr>
        <w:spacing w:after="120" w:line="264" w:lineRule="auto"/>
        <w:jc w:val="both"/>
        <w:rPr>
          <w:rFonts w:ascii="Times New Roman" w:eastAsia="Yu Mincho" w:hAnsi="Times New Roman" w:cs="Times New Roman"/>
          <w:b/>
          <w:i/>
          <w:iCs/>
          <w:noProof/>
          <w:sz w:val="24"/>
          <w:szCs w:val="24"/>
          <w:lang w:val="en-GB"/>
        </w:rPr>
      </w:pPr>
      <w:r w:rsidRPr="001752EA">
        <w:rPr>
          <w:rFonts w:ascii="Times New Roman" w:eastAsia="Yu Mincho" w:hAnsi="Times New Roman" w:cs="Times New Roman"/>
          <w:b/>
          <w:i/>
          <w:iCs/>
          <w:noProof/>
          <w:sz w:val="24"/>
          <w:szCs w:val="24"/>
          <w:lang w:val="en-GB"/>
        </w:rPr>
        <w:t>Sovereign exposures</w:t>
      </w:r>
    </w:p>
    <w:p w14:paraId="5E0183B8" w14:textId="69CAC450" w:rsidR="42120E47" w:rsidRDefault="42120E47" w:rsidP="491A6A6C">
      <w:pPr>
        <w:jc w:val="both"/>
        <w:rPr>
          <w:rFonts w:ascii="Times New Roman" w:hAnsi="Times New Roman" w:cs="Times New Roman"/>
          <w:noProof/>
          <w:sz w:val="24"/>
          <w:szCs w:val="24"/>
          <w:lang w:val="en-GB"/>
        </w:rPr>
      </w:pPr>
      <w:r w:rsidRPr="491A6A6C">
        <w:rPr>
          <w:rFonts w:ascii="Times New Roman" w:hAnsi="Times New Roman" w:cs="Times New Roman"/>
          <w:noProof/>
          <w:sz w:val="24"/>
          <w:szCs w:val="24"/>
          <w:lang w:val="en-GB"/>
        </w:rPr>
        <w:t>One of the Banking Union’s objectives has been to address the bank-sovereign nexus</w:t>
      </w:r>
      <w:r w:rsidR="006E4A82">
        <w:rPr>
          <w:rStyle w:val="FootnoteReference"/>
          <w:rFonts w:ascii="Times New Roman" w:hAnsi="Times New Roman" w:cs="Times New Roman"/>
          <w:noProof/>
          <w:sz w:val="24"/>
          <w:szCs w:val="24"/>
          <w:lang w:val="en-GB"/>
        </w:rPr>
        <w:footnoteReference w:id="66"/>
      </w:r>
      <w:r w:rsidRPr="491A6A6C">
        <w:rPr>
          <w:rFonts w:ascii="Times New Roman" w:hAnsi="Times New Roman" w:cs="Times New Roman"/>
          <w:noProof/>
          <w:sz w:val="24"/>
          <w:szCs w:val="24"/>
          <w:lang w:val="en-GB"/>
        </w:rPr>
        <w:t xml:space="preserve"> by reducing the need for public funds to act as a backstop to banking crisis as well as to isolate to a larger degree banks from sovereigns’ crises. Banks sovereign exposures include debt and loans, and can comprise of both central government as well as regional, local governments or public entities.</w:t>
      </w:r>
    </w:p>
    <w:p w14:paraId="78722EA2" w14:textId="49880F5F" w:rsidR="42120E47" w:rsidRDefault="42120E47" w:rsidP="491A6A6C">
      <w:pPr>
        <w:jc w:val="both"/>
        <w:rPr>
          <w:rFonts w:ascii="Times New Roman" w:hAnsi="Times New Roman" w:cs="Times New Roman"/>
          <w:noProof/>
          <w:sz w:val="24"/>
          <w:szCs w:val="24"/>
          <w:lang w:val="en-GB"/>
        </w:rPr>
      </w:pPr>
      <w:r w:rsidRPr="00B9CD08">
        <w:rPr>
          <w:rFonts w:ascii="Times New Roman" w:hAnsi="Times New Roman" w:cs="Times New Roman"/>
          <w:noProof/>
          <w:sz w:val="24"/>
          <w:szCs w:val="24"/>
          <w:lang w:val="en-GB"/>
        </w:rPr>
        <w:t>Since the EU sovereign debt crisis several structural reforms have been made contributing to this goal. The euro area sovereign crisis-management architecture has been reinforced, including through the establishment of the European Stability Mechanism (ESM) and the SRM. The implementation of the SSM presents another pillar designed to prevent and manage more effectively banking crises. Additionally, the EU has substantially overhauled the banking regulatory framework to ensure the financial system is more resilient to future shocks.</w:t>
      </w:r>
      <w:r w:rsidR="006975C5" w:rsidRPr="00B9CD08">
        <w:rPr>
          <w:rFonts w:ascii="Times New Roman" w:hAnsi="Times New Roman" w:cs="Times New Roman"/>
          <w:noProof/>
          <w:sz w:val="24"/>
          <w:szCs w:val="24"/>
          <w:lang w:val="en-GB"/>
        </w:rPr>
        <w:t xml:space="preserve"> </w:t>
      </w:r>
    </w:p>
    <w:p w14:paraId="438A0E70" w14:textId="24B57100" w:rsidR="42120E47" w:rsidRDefault="42120E47" w:rsidP="491A6A6C">
      <w:pPr>
        <w:jc w:val="both"/>
        <w:rPr>
          <w:rFonts w:ascii="Times New Roman" w:hAnsi="Times New Roman" w:cs="Times New Roman"/>
          <w:noProof/>
          <w:sz w:val="24"/>
          <w:szCs w:val="24"/>
          <w:lang w:val="en-GB"/>
        </w:rPr>
      </w:pPr>
      <w:r w:rsidRPr="491A6A6C">
        <w:rPr>
          <w:rFonts w:ascii="Times New Roman" w:hAnsi="Times New Roman" w:cs="Times New Roman"/>
          <w:noProof/>
          <w:sz w:val="24"/>
          <w:szCs w:val="24"/>
          <w:lang w:val="en-GB"/>
        </w:rPr>
        <w:t xml:space="preserve">Further progress on the Banking Union </w:t>
      </w:r>
      <w:r w:rsidR="006B1D8A">
        <w:rPr>
          <w:rFonts w:ascii="Times New Roman" w:hAnsi="Times New Roman" w:cs="Times New Roman"/>
          <w:noProof/>
          <w:sz w:val="24"/>
          <w:szCs w:val="24"/>
          <w:lang w:val="en-GB"/>
        </w:rPr>
        <w:t>as part of the</w:t>
      </w:r>
      <w:r w:rsidRPr="491A6A6C">
        <w:rPr>
          <w:rFonts w:ascii="Times New Roman" w:hAnsi="Times New Roman" w:cs="Times New Roman"/>
          <w:noProof/>
          <w:sz w:val="24"/>
          <w:szCs w:val="24"/>
          <w:lang w:val="en-GB"/>
        </w:rPr>
        <w:t xml:space="preserve"> SIU, will help further address bank</w:t>
      </w:r>
      <w:r w:rsidR="006B1D8A">
        <w:rPr>
          <w:rFonts w:ascii="Times New Roman" w:hAnsi="Times New Roman" w:cs="Times New Roman"/>
          <w:noProof/>
          <w:sz w:val="24"/>
          <w:szCs w:val="24"/>
          <w:lang w:val="en-GB"/>
        </w:rPr>
        <w:t>-</w:t>
      </w:r>
      <w:r w:rsidR="006B1D8A" w:rsidRPr="006B1D8A">
        <w:rPr>
          <w:rFonts w:ascii="Times New Roman" w:hAnsi="Times New Roman" w:cs="Times New Roman"/>
          <w:noProof/>
          <w:sz w:val="24"/>
          <w:szCs w:val="24"/>
          <w:lang w:val="en-GB"/>
        </w:rPr>
        <w:t xml:space="preserve"> </w:t>
      </w:r>
      <w:r w:rsidR="006B1D8A" w:rsidRPr="491A6A6C">
        <w:rPr>
          <w:rFonts w:ascii="Times New Roman" w:hAnsi="Times New Roman" w:cs="Times New Roman"/>
          <w:noProof/>
          <w:sz w:val="24"/>
          <w:szCs w:val="24"/>
          <w:lang w:val="en-GB"/>
        </w:rPr>
        <w:t>sovereign</w:t>
      </w:r>
      <w:r w:rsidRPr="491A6A6C">
        <w:rPr>
          <w:rFonts w:ascii="Times New Roman" w:hAnsi="Times New Roman" w:cs="Times New Roman"/>
          <w:noProof/>
          <w:sz w:val="24"/>
          <w:szCs w:val="24"/>
          <w:lang w:val="en-GB"/>
        </w:rPr>
        <w:t xml:space="preserve"> linkages by strengthening bank resilience, improving crisis management, and supporting more diversified financing channels.</w:t>
      </w:r>
    </w:p>
    <w:p w14:paraId="6541D694" w14:textId="3C23166E" w:rsidR="42120E47" w:rsidRDefault="42120E47" w:rsidP="491A6A6C">
      <w:pPr>
        <w:jc w:val="both"/>
        <w:rPr>
          <w:rFonts w:ascii="Times New Roman" w:hAnsi="Times New Roman" w:cs="Times New Roman"/>
          <w:noProof/>
          <w:sz w:val="24"/>
          <w:szCs w:val="24"/>
          <w:u w:val="single"/>
          <w:lang w:val="en-GB"/>
        </w:rPr>
      </w:pPr>
      <w:r w:rsidRPr="491A6A6C">
        <w:rPr>
          <w:rFonts w:ascii="Times New Roman" w:hAnsi="Times New Roman" w:cs="Times New Roman"/>
          <w:noProof/>
          <w:sz w:val="24"/>
          <w:szCs w:val="24"/>
          <w:u w:val="single"/>
          <w:lang w:val="en-GB"/>
        </w:rPr>
        <w:t>Issues identified:</w:t>
      </w:r>
    </w:p>
    <w:p w14:paraId="41A27E07" w14:textId="5FBCE3B1" w:rsidR="42120E47" w:rsidRDefault="42120E47" w:rsidP="003A32FC">
      <w:pPr>
        <w:pStyle w:val="ListParagraph"/>
        <w:numPr>
          <w:ilvl w:val="0"/>
          <w:numId w:val="13"/>
        </w:numPr>
        <w:jc w:val="both"/>
        <w:rPr>
          <w:rFonts w:ascii="Times New Roman" w:hAnsi="Times New Roman" w:cs="Times New Roman"/>
          <w:noProof/>
          <w:sz w:val="24"/>
          <w:szCs w:val="24"/>
          <w:lang w:val="en-GB"/>
        </w:rPr>
      </w:pPr>
      <w:r w:rsidRPr="00432101">
        <w:rPr>
          <w:rFonts w:ascii="Times New Roman" w:hAnsi="Times New Roman" w:cs="Times New Roman"/>
          <w:noProof/>
          <w:sz w:val="24"/>
          <w:szCs w:val="24"/>
          <w:lang w:val="en-GB"/>
        </w:rPr>
        <w:t xml:space="preserve">Absent the development of a fiscal union or the existence of a common safe asset through the permanent and substantial issuance of common debt, the </w:t>
      </w:r>
      <w:r w:rsidR="006B1D8A" w:rsidRPr="00432101">
        <w:rPr>
          <w:rFonts w:ascii="Times New Roman" w:hAnsi="Times New Roman" w:cs="Times New Roman"/>
          <w:noProof/>
          <w:sz w:val="24"/>
          <w:szCs w:val="24"/>
          <w:lang w:val="en-GB"/>
        </w:rPr>
        <w:t>bank-</w:t>
      </w:r>
      <w:r w:rsidRPr="00432101">
        <w:rPr>
          <w:rFonts w:ascii="Times New Roman" w:hAnsi="Times New Roman" w:cs="Times New Roman"/>
          <w:noProof/>
          <w:sz w:val="24"/>
          <w:szCs w:val="24"/>
          <w:lang w:val="en-GB"/>
        </w:rPr>
        <w:t>sovereign nexus has not been fully mitigated- although less of a concern as during the height of the sovereign bank nexus. A particularly relevant aspect of bank exposure to the sovereign is the so called ‘home-bias’ of bank sovereign exposures (i.e. whereby banks are disproportionally exposed to their ‘home’ sovereign relative to total sovereign exposures). Recent EBA and SSM data (</w:t>
      </w:r>
      <w:hyperlink r:id="rId43" w:history="1">
        <w:r w:rsidRPr="004A7ED2">
          <w:rPr>
            <w:rStyle w:val="Hyperlink"/>
            <w:rFonts w:ascii="Times New Roman" w:hAnsi="Times New Roman" w:cs="Times New Roman"/>
            <w:noProof/>
            <w:sz w:val="24"/>
            <w:szCs w:val="24"/>
            <w:lang w:val="en-GB"/>
          </w:rPr>
          <w:t>link</w:t>
        </w:r>
      </w:hyperlink>
      <w:r w:rsidRPr="00432101">
        <w:rPr>
          <w:rFonts w:ascii="Times New Roman" w:hAnsi="Times New Roman" w:cs="Times New Roman"/>
          <w:noProof/>
          <w:sz w:val="24"/>
          <w:szCs w:val="24"/>
          <w:lang w:val="en-GB"/>
        </w:rPr>
        <w:t xml:space="preserve">, </w:t>
      </w:r>
      <w:hyperlink r:id="rId44" w:history="1">
        <w:r w:rsidRPr="004A7ED2">
          <w:rPr>
            <w:rStyle w:val="Hyperlink"/>
            <w:rFonts w:ascii="Times New Roman" w:hAnsi="Times New Roman" w:cs="Times New Roman"/>
            <w:noProof/>
            <w:sz w:val="24"/>
            <w:szCs w:val="24"/>
            <w:lang w:val="en-GB"/>
          </w:rPr>
          <w:t>link</w:t>
        </w:r>
      </w:hyperlink>
      <w:r w:rsidRPr="00432101">
        <w:rPr>
          <w:rFonts w:ascii="Times New Roman" w:hAnsi="Times New Roman" w:cs="Times New Roman"/>
          <w:noProof/>
          <w:sz w:val="24"/>
          <w:szCs w:val="24"/>
          <w:lang w:val="en-GB"/>
        </w:rPr>
        <w:t>) show that the home-bias persists, but that it has come down for most Member States in the last decade and sovereign debt portfolios have diversified. Generally, larger banks are more diversified and have less concentration to home sovereign debt than smaller banks.</w:t>
      </w:r>
    </w:p>
    <w:p w14:paraId="578AA921" w14:textId="7D874428" w:rsidR="0056249D" w:rsidRDefault="0056249D">
      <w:pPr>
        <w:rPr>
          <w:rFonts w:ascii="Times New Roman" w:hAnsi="Times New Roman" w:cs="Times New Roman"/>
          <w:noProof/>
          <w:sz w:val="24"/>
          <w:szCs w:val="24"/>
          <w:lang w:val="en-GB"/>
        </w:rPr>
      </w:pPr>
      <w:r>
        <w:rPr>
          <w:rFonts w:ascii="Times New Roman" w:hAnsi="Times New Roman" w:cs="Times New Roman"/>
          <w:noProof/>
          <w:sz w:val="24"/>
          <w:szCs w:val="24"/>
          <w:lang w:val="en-GB"/>
        </w:rPr>
        <w:br w:type="page"/>
      </w:r>
    </w:p>
    <w:p w14:paraId="4E208DDA" w14:textId="59E662F7" w:rsidR="006F43E5" w:rsidRPr="006F43E5" w:rsidRDefault="006F43E5" w:rsidP="491A6A6C">
      <w:pPr>
        <w:jc w:val="both"/>
        <w:rPr>
          <w:rFonts w:ascii="Times New Roman" w:hAnsi="Times New Roman" w:cs="Times New Roman"/>
          <w:i/>
          <w:iCs/>
          <w:noProof/>
          <w:sz w:val="24"/>
          <w:szCs w:val="24"/>
        </w:rPr>
      </w:pPr>
      <w:r w:rsidRPr="006F43E5">
        <w:rPr>
          <w:rFonts w:ascii="Times New Roman" w:hAnsi="Times New Roman" w:cs="Times New Roman"/>
          <w:i/>
          <w:iCs/>
          <w:noProof/>
          <w:sz w:val="24"/>
          <w:szCs w:val="24"/>
        </w:rPr>
        <w:t>Figure 2</w:t>
      </w:r>
      <w:r w:rsidR="005B63B3">
        <w:rPr>
          <w:rFonts w:ascii="Times New Roman" w:hAnsi="Times New Roman" w:cs="Times New Roman"/>
          <w:i/>
          <w:iCs/>
          <w:noProof/>
          <w:sz w:val="24"/>
          <w:szCs w:val="24"/>
        </w:rPr>
        <w:t>5</w:t>
      </w:r>
      <w:r w:rsidRPr="006F43E5">
        <w:rPr>
          <w:rFonts w:ascii="Times New Roman" w:hAnsi="Times New Roman" w:cs="Times New Roman"/>
          <w:i/>
          <w:iCs/>
          <w:noProof/>
          <w:sz w:val="24"/>
          <w:szCs w:val="24"/>
        </w:rPr>
        <w:t xml:space="preserve"> - Euro area banks’ sovereign bond holdings</w:t>
      </w:r>
    </w:p>
    <w:p w14:paraId="49BCD134" w14:textId="617D57D7" w:rsidR="42120E47" w:rsidRDefault="00CB1A53" w:rsidP="491A6A6C">
      <w:pPr>
        <w:jc w:val="both"/>
        <w:rPr>
          <w:rFonts w:ascii="Times New Roman" w:hAnsi="Times New Roman" w:cs="Times New Roman"/>
          <w:noProof/>
          <w:sz w:val="24"/>
          <w:szCs w:val="24"/>
          <w:lang w:val="en-GB"/>
        </w:rPr>
      </w:pPr>
      <w:r w:rsidRPr="00CB1A53">
        <w:rPr>
          <w:noProof/>
          <w:lang w:val="en-GB" w:eastAsia="en-GB"/>
        </w:rPr>
        <w:drawing>
          <wp:inline distT="0" distB="0" distL="0" distR="0" wp14:anchorId="2E236C2D" wp14:editId="1F5D8328">
            <wp:extent cx="5731510" cy="3870960"/>
            <wp:effectExtent l="0" t="0" r="2540" b="0"/>
            <wp:docPr id="996488447" name="Picture 1" descr="A graph and chart with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488447" name="Picture 1" descr="A graph and chart with numbers&#10;&#10;AI-generated content may be incorrect."/>
                    <pic:cNvPicPr/>
                  </pic:nvPicPr>
                  <pic:blipFill>
                    <a:blip r:embed="rId45"/>
                    <a:stretch>
                      <a:fillRect/>
                    </a:stretch>
                  </pic:blipFill>
                  <pic:spPr>
                    <a:xfrm>
                      <a:off x="0" y="0"/>
                      <a:ext cx="5731510" cy="3870960"/>
                    </a:xfrm>
                    <a:prstGeom prst="rect">
                      <a:avLst/>
                    </a:prstGeom>
                  </pic:spPr>
                </pic:pic>
              </a:graphicData>
            </a:graphic>
          </wp:inline>
        </w:drawing>
      </w:r>
    </w:p>
    <w:p w14:paraId="2D0D3FCC" w14:textId="4E595850" w:rsidR="00CB1A53" w:rsidRPr="00ED68F6" w:rsidRDefault="00CB1A53" w:rsidP="491A6A6C">
      <w:pPr>
        <w:jc w:val="both"/>
        <w:rPr>
          <w:rFonts w:ascii="Times New Roman" w:hAnsi="Times New Roman" w:cs="Times New Roman"/>
          <w:i/>
          <w:iCs/>
          <w:noProof/>
          <w:sz w:val="24"/>
          <w:szCs w:val="24"/>
          <w:lang w:val="en-GB"/>
        </w:rPr>
      </w:pPr>
      <w:r w:rsidRPr="00ED68F6">
        <w:rPr>
          <w:rFonts w:ascii="Times New Roman" w:hAnsi="Times New Roman" w:cs="Times New Roman"/>
          <w:i/>
          <w:iCs/>
          <w:noProof/>
          <w:sz w:val="24"/>
          <w:szCs w:val="24"/>
          <w:lang w:val="en-GB"/>
        </w:rPr>
        <w:t>Source: ECB, Speech by SSM Chai</w:t>
      </w:r>
      <w:r w:rsidR="006F43E5">
        <w:rPr>
          <w:rFonts w:ascii="Times New Roman" w:hAnsi="Times New Roman" w:cs="Times New Roman"/>
          <w:i/>
          <w:iCs/>
          <w:noProof/>
          <w:sz w:val="24"/>
          <w:szCs w:val="24"/>
          <w:lang w:val="en-GB"/>
        </w:rPr>
        <w:t>r</w:t>
      </w:r>
      <w:r w:rsidRPr="00ED68F6">
        <w:rPr>
          <w:rFonts w:ascii="Times New Roman" w:hAnsi="Times New Roman" w:cs="Times New Roman"/>
          <w:i/>
          <w:iCs/>
          <w:noProof/>
          <w:sz w:val="24"/>
          <w:szCs w:val="24"/>
          <w:lang w:val="en-GB"/>
        </w:rPr>
        <w:t xml:space="preserve"> (</w:t>
      </w:r>
      <w:hyperlink r:id="rId46" w:history="1">
        <w:r w:rsidRPr="00ED68F6">
          <w:rPr>
            <w:rStyle w:val="Hyperlink"/>
            <w:rFonts w:ascii="Times New Roman" w:hAnsi="Times New Roman" w:cs="Times New Roman"/>
            <w:i/>
            <w:iCs/>
            <w:noProof/>
            <w:sz w:val="24"/>
            <w:szCs w:val="24"/>
            <w:lang w:val="en-GB"/>
          </w:rPr>
          <w:t>link</w:t>
        </w:r>
      </w:hyperlink>
      <w:r w:rsidRPr="00ED68F6">
        <w:rPr>
          <w:rFonts w:ascii="Times New Roman" w:hAnsi="Times New Roman" w:cs="Times New Roman"/>
          <w:i/>
          <w:iCs/>
          <w:noProof/>
          <w:sz w:val="24"/>
          <w:szCs w:val="24"/>
          <w:lang w:val="en-GB"/>
        </w:rPr>
        <w:t>)</w:t>
      </w:r>
    </w:p>
    <w:p w14:paraId="5CCA5954" w14:textId="77777777" w:rsidR="0057181C" w:rsidRPr="0036474B" w:rsidRDefault="0057181C" w:rsidP="0057181C">
      <w:pPr>
        <w:spacing w:after="120" w:line="264" w:lineRule="auto"/>
        <w:jc w:val="both"/>
        <w:rPr>
          <w:rFonts w:ascii="Times New Roman" w:eastAsia="Yu Mincho" w:hAnsi="Times New Roman" w:cs="Times New Roman"/>
          <w:b/>
          <w:i/>
          <w:iCs/>
          <w:noProof/>
          <w:sz w:val="24"/>
          <w:szCs w:val="24"/>
          <w:lang w:val="en-GB"/>
        </w:rPr>
      </w:pPr>
      <w:r w:rsidRPr="0036474B">
        <w:rPr>
          <w:rFonts w:ascii="Times New Roman" w:eastAsia="Yu Mincho" w:hAnsi="Times New Roman" w:cs="Times New Roman"/>
          <w:b/>
          <w:i/>
          <w:iCs/>
          <w:noProof/>
          <w:sz w:val="24"/>
          <w:szCs w:val="24"/>
          <w:lang w:val="en-GB"/>
        </w:rPr>
        <w:t>Barriers to cross-border mergers and acquisitions</w:t>
      </w:r>
    </w:p>
    <w:p w14:paraId="59D1C461" w14:textId="77777777" w:rsidR="0057181C" w:rsidRPr="0036474B" w:rsidRDefault="0057181C" w:rsidP="0057181C">
      <w:pPr>
        <w:spacing w:after="120" w:line="264" w:lineRule="auto"/>
        <w:jc w:val="both"/>
        <w:rPr>
          <w:rFonts w:ascii="Times New Roman" w:eastAsia="Yu Mincho" w:hAnsi="Times New Roman" w:cs="Times New Roman"/>
          <w:noProof/>
          <w:sz w:val="24"/>
          <w:szCs w:val="24"/>
          <w:lang w:val="en-GB"/>
        </w:rPr>
      </w:pPr>
      <w:r w:rsidRPr="0036474B">
        <w:rPr>
          <w:rFonts w:ascii="Times New Roman" w:eastAsia="Yu Mincho" w:hAnsi="Times New Roman" w:cs="Times New Roman"/>
          <w:noProof/>
          <w:sz w:val="24"/>
          <w:szCs w:val="24"/>
          <w:lang w:val="en-GB"/>
        </w:rPr>
        <w:t>Diverging supervisory practices that could deter banking groups from undertaking cross-border consolidation could be linked to the process and timing to grant supervisory approvals for M&amp;As, fit and proper approvals or approvals for the acquisition of qualifying holdings. Another example of such lack of coordination relates to additional supervisory requests from host authorities following an M&amp;A and resulting in higher Pillar 2 and combined buffer requirements for the merged or acquired entities if the operation is perceived as bringing additional risks to the local market.</w:t>
      </w:r>
    </w:p>
    <w:p w14:paraId="5F67A769" w14:textId="3C07E64E" w:rsidR="0057181C" w:rsidRPr="0036474B" w:rsidRDefault="0057181C" w:rsidP="0057181C">
      <w:pPr>
        <w:jc w:val="both"/>
        <w:rPr>
          <w:rFonts w:ascii="Times New Roman" w:hAnsi="Times New Roman" w:cs="Times New Roman"/>
          <w:noProof/>
          <w:sz w:val="24"/>
          <w:szCs w:val="24"/>
        </w:rPr>
      </w:pPr>
      <w:r w:rsidRPr="0036474B">
        <w:rPr>
          <w:rFonts w:ascii="Times New Roman" w:hAnsi="Times New Roman" w:cs="Times New Roman"/>
          <w:noProof/>
          <w:sz w:val="24"/>
          <w:szCs w:val="24"/>
        </w:rPr>
        <w:t xml:space="preserve">The absence of a uniform and transparent EU-wide supervisory assessment regime, including </w:t>
      </w:r>
      <w:r w:rsidR="7FAE68E3" w:rsidRPr="0036474B">
        <w:rPr>
          <w:rFonts w:ascii="Times New Roman" w:hAnsi="Times New Roman" w:cs="Times New Roman"/>
          <w:noProof/>
          <w:sz w:val="24"/>
          <w:szCs w:val="24"/>
        </w:rPr>
        <w:t xml:space="preserve">the lack of </w:t>
      </w:r>
      <w:r w:rsidR="008B48DC" w:rsidRPr="00B9CD08">
        <w:rPr>
          <w:rFonts w:ascii="Times New Roman" w:hAnsi="Times New Roman" w:cs="Times New Roman"/>
          <w:noProof/>
          <w:sz w:val="24"/>
          <w:szCs w:val="24"/>
        </w:rPr>
        <w:t>predictabil</w:t>
      </w:r>
      <w:r w:rsidR="1E73E070" w:rsidRPr="00B9CD08">
        <w:rPr>
          <w:rFonts w:ascii="Times New Roman" w:hAnsi="Times New Roman" w:cs="Times New Roman"/>
          <w:noProof/>
          <w:sz w:val="24"/>
          <w:szCs w:val="24"/>
        </w:rPr>
        <w:t xml:space="preserve">ity </w:t>
      </w:r>
      <w:r w:rsidR="4E4F22B3" w:rsidRPr="0036474B">
        <w:rPr>
          <w:rFonts w:ascii="Times New Roman" w:hAnsi="Times New Roman" w:cs="Times New Roman"/>
          <w:noProof/>
          <w:sz w:val="24"/>
          <w:szCs w:val="24"/>
        </w:rPr>
        <w:t xml:space="preserve">in relation to </w:t>
      </w:r>
      <w:r w:rsidRPr="0036474B">
        <w:rPr>
          <w:rFonts w:ascii="Times New Roman" w:hAnsi="Times New Roman" w:cs="Times New Roman"/>
          <w:noProof/>
          <w:sz w:val="24"/>
          <w:szCs w:val="24"/>
        </w:rPr>
        <w:t xml:space="preserve">expected capital requirements, can </w:t>
      </w:r>
      <w:r w:rsidR="00B11CC9" w:rsidRPr="0036474B">
        <w:rPr>
          <w:rFonts w:ascii="Times New Roman" w:hAnsi="Times New Roman" w:cs="Times New Roman"/>
          <w:noProof/>
          <w:sz w:val="24"/>
          <w:szCs w:val="24"/>
        </w:rPr>
        <w:t xml:space="preserve">contribute to </w:t>
      </w:r>
      <w:r w:rsidRPr="0036474B">
        <w:rPr>
          <w:rFonts w:ascii="Times New Roman" w:hAnsi="Times New Roman" w:cs="Times New Roman"/>
          <w:noProof/>
          <w:sz w:val="24"/>
          <w:szCs w:val="24"/>
        </w:rPr>
        <w:t>the low level of M&amp;A deals in the EU</w:t>
      </w:r>
      <w:r w:rsidRPr="0036474B">
        <w:rPr>
          <w:rStyle w:val="FootnoteReference"/>
          <w:rFonts w:ascii="Times New Roman" w:hAnsi="Times New Roman" w:cs="Times New Roman"/>
          <w:noProof/>
          <w:sz w:val="24"/>
          <w:szCs w:val="24"/>
        </w:rPr>
        <w:footnoteReference w:id="67"/>
      </w:r>
      <w:r w:rsidRPr="0036474B">
        <w:rPr>
          <w:rFonts w:ascii="Times New Roman" w:hAnsi="Times New Roman" w:cs="Times New Roman"/>
          <w:noProof/>
          <w:sz w:val="24"/>
          <w:szCs w:val="24"/>
        </w:rPr>
        <w:t xml:space="preserve">. </w:t>
      </w:r>
      <w:r w:rsidR="748CDA0A" w:rsidRPr="0036474B">
        <w:rPr>
          <w:rFonts w:ascii="Times New Roman" w:hAnsi="Times New Roman" w:cs="Times New Roman"/>
          <w:noProof/>
          <w:sz w:val="24"/>
          <w:szCs w:val="24"/>
        </w:rPr>
        <w:t>Banks</w:t>
      </w:r>
      <w:r w:rsidRPr="0036474B">
        <w:rPr>
          <w:rFonts w:ascii="Times New Roman" w:hAnsi="Times New Roman" w:cs="Times New Roman"/>
          <w:noProof/>
          <w:sz w:val="24"/>
          <w:szCs w:val="24"/>
        </w:rPr>
        <w:t xml:space="preserve"> may be concerned by the lack of clarity</w:t>
      </w:r>
      <w:r w:rsidR="00B11CC9" w:rsidRPr="0036474B">
        <w:rPr>
          <w:rFonts w:ascii="Times New Roman" w:hAnsi="Times New Roman" w:cs="Times New Roman"/>
          <w:noProof/>
          <w:sz w:val="24"/>
          <w:szCs w:val="24"/>
        </w:rPr>
        <w:t xml:space="preserve"> and</w:t>
      </w:r>
      <w:r w:rsidRPr="0036474B">
        <w:rPr>
          <w:rFonts w:ascii="Times New Roman" w:hAnsi="Times New Roman" w:cs="Times New Roman"/>
          <w:noProof/>
          <w:sz w:val="24"/>
          <w:szCs w:val="24"/>
        </w:rPr>
        <w:t xml:space="preserve"> transparency </w:t>
      </w:r>
      <w:r w:rsidR="00B11CC9" w:rsidRPr="0036474B">
        <w:rPr>
          <w:rFonts w:ascii="Times New Roman" w:hAnsi="Times New Roman" w:cs="Times New Roman"/>
          <w:noProof/>
          <w:sz w:val="24"/>
          <w:szCs w:val="24"/>
        </w:rPr>
        <w:t>of</w:t>
      </w:r>
      <w:r w:rsidRPr="0036474B">
        <w:rPr>
          <w:rFonts w:ascii="Times New Roman" w:hAnsi="Times New Roman" w:cs="Times New Roman"/>
          <w:noProof/>
          <w:sz w:val="24"/>
          <w:szCs w:val="24"/>
        </w:rPr>
        <w:t xml:space="preserve"> the criteria to set Pillar 2 requirements to the entity resulting from the merger.</w:t>
      </w:r>
    </w:p>
    <w:p w14:paraId="268E4FBF" w14:textId="4AE1E3A9" w:rsidR="0057181C" w:rsidRPr="0036474B" w:rsidRDefault="0057181C" w:rsidP="0057181C">
      <w:pPr>
        <w:jc w:val="both"/>
        <w:rPr>
          <w:rFonts w:ascii="Times New Roman" w:hAnsi="Times New Roman" w:cs="Times New Roman"/>
          <w:noProof/>
          <w:sz w:val="24"/>
          <w:szCs w:val="24"/>
        </w:rPr>
      </w:pPr>
      <w:r w:rsidRPr="0036474B">
        <w:rPr>
          <w:rFonts w:ascii="Times New Roman" w:hAnsi="Times New Roman" w:cs="Times New Roman"/>
          <w:noProof/>
          <w:sz w:val="24"/>
          <w:szCs w:val="24"/>
        </w:rPr>
        <w:t>Such prolonged approval processes may add delays and costs, discouraging potential deals on cross-border transactions.</w:t>
      </w:r>
    </w:p>
    <w:p w14:paraId="3C961BBE" w14:textId="335EDAB2" w:rsidR="0057181C" w:rsidRPr="0036474B" w:rsidRDefault="0057181C" w:rsidP="0057181C">
      <w:pPr>
        <w:spacing w:after="120" w:line="264" w:lineRule="auto"/>
        <w:jc w:val="both"/>
        <w:rPr>
          <w:rFonts w:ascii="Times New Roman" w:eastAsia="Yu Mincho" w:hAnsi="Times New Roman" w:cs="Times New Roman"/>
          <w:noProof/>
          <w:sz w:val="24"/>
          <w:szCs w:val="24"/>
          <w:lang w:val="en-GB"/>
        </w:rPr>
      </w:pPr>
      <w:r w:rsidRPr="00B9CD08">
        <w:rPr>
          <w:rFonts w:ascii="Times New Roman" w:eastAsia="Yu Mincho" w:hAnsi="Times New Roman" w:cs="Times New Roman"/>
          <w:noProof/>
          <w:sz w:val="24"/>
          <w:szCs w:val="24"/>
          <w:lang w:val="en-GB"/>
        </w:rPr>
        <w:t xml:space="preserve">Moreover, the use of macroprudential policy tools at the national level increases the complexity of cross-border banks’ operations. The presence of banks </w:t>
      </w:r>
      <w:r w:rsidR="00294F35">
        <w:rPr>
          <w:rFonts w:ascii="Times New Roman" w:eastAsia="Yu Mincho" w:hAnsi="Times New Roman" w:cs="Times New Roman"/>
          <w:noProof/>
          <w:sz w:val="24"/>
          <w:szCs w:val="24"/>
          <w:lang w:val="en-GB"/>
        </w:rPr>
        <w:t>from other M</w:t>
      </w:r>
      <w:r w:rsidR="007B7963">
        <w:rPr>
          <w:rFonts w:ascii="Times New Roman" w:eastAsia="Yu Mincho" w:hAnsi="Times New Roman" w:cs="Times New Roman"/>
          <w:noProof/>
          <w:sz w:val="24"/>
          <w:szCs w:val="24"/>
          <w:lang w:val="en-GB"/>
        </w:rPr>
        <w:t xml:space="preserve">ember </w:t>
      </w:r>
      <w:r w:rsidR="00294F35">
        <w:rPr>
          <w:rFonts w:ascii="Times New Roman" w:eastAsia="Yu Mincho" w:hAnsi="Times New Roman" w:cs="Times New Roman"/>
          <w:noProof/>
          <w:sz w:val="24"/>
          <w:szCs w:val="24"/>
          <w:lang w:val="en-GB"/>
        </w:rPr>
        <w:t>S</w:t>
      </w:r>
      <w:r w:rsidR="007B7963">
        <w:rPr>
          <w:rFonts w:ascii="Times New Roman" w:eastAsia="Yu Mincho" w:hAnsi="Times New Roman" w:cs="Times New Roman"/>
          <w:noProof/>
          <w:sz w:val="24"/>
          <w:szCs w:val="24"/>
          <w:lang w:val="en-GB"/>
        </w:rPr>
        <w:t>tate</w:t>
      </w:r>
      <w:r w:rsidR="00294F35">
        <w:rPr>
          <w:rFonts w:ascii="Times New Roman" w:eastAsia="Yu Mincho" w:hAnsi="Times New Roman" w:cs="Times New Roman"/>
          <w:noProof/>
          <w:sz w:val="24"/>
          <w:szCs w:val="24"/>
          <w:lang w:val="en-GB"/>
        </w:rPr>
        <w:t xml:space="preserve">s </w:t>
      </w:r>
      <w:r w:rsidRPr="00B9CD08">
        <w:rPr>
          <w:rFonts w:ascii="Times New Roman" w:eastAsia="Yu Mincho" w:hAnsi="Times New Roman" w:cs="Times New Roman"/>
          <w:noProof/>
          <w:sz w:val="24"/>
          <w:szCs w:val="24"/>
          <w:lang w:val="en-GB"/>
        </w:rPr>
        <w:t>may reduce the effectiveness of the policy intervention and requires reciprocity of policy actions by home authorities, which multiplies the number of policy measures in place. Reciprocity is particularly cumbersome in operational terms if the measures are overly detailed and require additional granular data collections. Certain buffers, such as G/O-SII buffer and some SyRBs apply to all exposures of the institution and by construction cannot be reciprocated, which means that any differences in their calibration between Member States may affect the competitive position of the bank in all markets where the bank operates.</w:t>
      </w:r>
    </w:p>
    <w:p w14:paraId="13FF6CC5" w14:textId="1D65D420" w:rsidR="00A253A5" w:rsidRPr="0036474B" w:rsidRDefault="005E1FCB" w:rsidP="00A253A5">
      <w:pPr>
        <w:spacing w:before="240" w:after="120" w:line="264" w:lineRule="auto"/>
        <w:jc w:val="both"/>
        <w:rPr>
          <w:rFonts w:ascii="Times New Roman" w:eastAsia="Yu Mincho" w:hAnsi="Times New Roman" w:cs="Times New Roman"/>
          <w:b/>
          <w:i/>
          <w:iCs/>
          <w:noProof/>
          <w:sz w:val="24"/>
          <w:szCs w:val="24"/>
          <w:lang w:val="en-GB"/>
        </w:rPr>
      </w:pPr>
      <w:r w:rsidRPr="0036474B">
        <w:rPr>
          <w:rFonts w:ascii="Times New Roman" w:eastAsia="Yu Mincho" w:hAnsi="Times New Roman" w:cs="Times New Roman"/>
          <w:noProof/>
          <w:sz w:val="24"/>
          <w:szCs w:val="24"/>
          <w:lang w:val="en-GB"/>
        </w:rPr>
        <w:t xml:space="preserve">In general, </w:t>
      </w:r>
      <w:r w:rsidR="00356275" w:rsidRPr="0036474B">
        <w:rPr>
          <w:rFonts w:ascii="Times New Roman" w:eastAsia="Yu Mincho" w:hAnsi="Times New Roman" w:cs="Times New Roman"/>
          <w:noProof/>
          <w:sz w:val="24"/>
          <w:szCs w:val="24"/>
          <w:lang w:val="en-GB"/>
        </w:rPr>
        <w:t>industry representatives tend to consider that c</w:t>
      </w:r>
      <w:r w:rsidR="0057181C" w:rsidRPr="0036474B">
        <w:rPr>
          <w:rFonts w:ascii="Times New Roman" w:eastAsia="Yu Mincho" w:hAnsi="Times New Roman" w:cs="Times New Roman"/>
          <w:noProof/>
          <w:sz w:val="24"/>
          <w:szCs w:val="24"/>
          <w:lang w:val="en-GB"/>
        </w:rPr>
        <w:t>ross-border M&amp;A</w:t>
      </w:r>
      <w:r w:rsidR="00356275" w:rsidRPr="0036474B">
        <w:rPr>
          <w:rFonts w:ascii="Times New Roman" w:eastAsia="Yu Mincho" w:hAnsi="Times New Roman" w:cs="Times New Roman"/>
          <w:noProof/>
          <w:sz w:val="24"/>
          <w:szCs w:val="24"/>
          <w:lang w:val="en-GB"/>
        </w:rPr>
        <w:t>s</w:t>
      </w:r>
      <w:r w:rsidR="0057181C" w:rsidRPr="0036474B">
        <w:rPr>
          <w:rFonts w:ascii="Times New Roman" w:eastAsia="Yu Mincho" w:hAnsi="Times New Roman" w:cs="Times New Roman"/>
          <w:noProof/>
          <w:sz w:val="24"/>
          <w:szCs w:val="24"/>
          <w:lang w:val="en-GB"/>
        </w:rPr>
        <w:t xml:space="preserve"> are less attractive than domestic deals due to regulatory, supervisory, operational and political frictions that reduce expected synergies. </w:t>
      </w:r>
    </w:p>
    <w:p w14:paraId="5324F073" w14:textId="1AC85F5F" w:rsidR="00A253A5" w:rsidRPr="003B3C42" w:rsidRDefault="00A253A5" w:rsidP="00A253A5">
      <w:pPr>
        <w:spacing w:before="240" w:after="120" w:line="264" w:lineRule="auto"/>
        <w:jc w:val="both"/>
        <w:rPr>
          <w:rFonts w:ascii="Times New Roman" w:eastAsia="Yu Mincho" w:hAnsi="Times New Roman" w:cs="Times New Roman"/>
          <w:b/>
          <w:i/>
          <w:iCs/>
          <w:noProof/>
          <w:sz w:val="24"/>
          <w:szCs w:val="24"/>
        </w:rPr>
      </w:pPr>
      <w:r w:rsidRPr="0036474B">
        <w:rPr>
          <w:rFonts w:ascii="Times New Roman" w:eastAsia="Yu Mincho" w:hAnsi="Times New Roman" w:cs="Times New Roman"/>
          <w:b/>
          <w:i/>
          <w:iCs/>
          <w:noProof/>
          <w:sz w:val="24"/>
          <w:szCs w:val="24"/>
          <w:lang w:val="en-GB"/>
        </w:rPr>
        <w:t>Non-prudential barriers</w:t>
      </w:r>
    </w:p>
    <w:p w14:paraId="4B295A85" w14:textId="77777777" w:rsidR="00A253A5" w:rsidRPr="0036474B" w:rsidRDefault="00A253A5" w:rsidP="00A253A5">
      <w:pPr>
        <w:spacing w:after="120" w:line="264" w:lineRule="auto"/>
        <w:jc w:val="both"/>
        <w:rPr>
          <w:rFonts w:ascii="Times New Roman" w:eastAsia="Yu Mincho" w:hAnsi="Times New Roman" w:cs="Times New Roman"/>
          <w:noProof/>
          <w:sz w:val="24"/>
          <w:szCs w:val="24"/>
          <w:lang w:val="en-GB"/>
        </w:rPr>
      </w:pPr>
      <w:r w:rsidRPr="0036474B">
        <w:rPr>
          <w:rFonts w:ascii="Times New Roman" w:eastAsia="Yu Mincho" w:hAnsi="Times New Roman" w:cs="Times New Roman"/>
          <w:noProof/>
          <w:sz w:val="24"/>
          <w:szCs w:val="24"/>
          <w:lang w:val="en-GB"/>
        </w:rPr>
        <w:t xml:space="preserve">In the past decade, the low level of profitability of the EU banks has hampered cross-border banking in the EU. It discouraged banks from acquiring entities perceived as unproductive in another Member State, and low productivity at home narrowed the number of banks that were fit to undertake cross-border ventures. This effect pushed banks in the EU to develop their cross-border activities through ancillary services, such as leasing or insurance. While the situation has improved in recent years, </w:t>
      </w:r>
      <w:r w:rsidRPr="0036474B">
        <w:rPr>
          <w:rFonts w:ascii="Times New Roman" w:eastAsia="Yu Mincho" w:hAnsi="Times New Roman" w:cs="Times New Roman"/>
          <w:noProof/>
          <w:sz w:val="24"/>
          <w:szCs w:val="24"/>
          <w:lang w:val="en-US"/>
        </w:rPr>
        <w:t>a number of the biggest potential deals have stumbled upon the opposition of national governments</w:t>
      </w:r>
      <w:r w:rsidRPr="0036474B">
        <w:rPr>
          <w:rStyle w:val="FootnoteReference"/>
          <w:rFonts w:ascii="Times New Roman" w:eastAsia="Yu Mincho" w:hAnsi="Times New Roman" w:cs="Times New Roman"/>
          <w:noProof/>
          <w:sz w:val="24"/>
          <w:szCs w:val="24"/>
          <w:lang w:val="en-US"/>
        </w:rPr>
        <w:footnoteReference w:id="68"/>
      </w:r>
      <w:r w:rsidRPr="0036474B">
        <w:rPr>
          <w:rFonts w:ascii="Times New Roman" w:eastAsia="Yu Mincho" w:hAnsi="Times New Roman" w:cs="Times New Roman"/>
          <w:noProof/>
          <w:sz w:val="24"/>
          <w:szCs w:val="24"/>
          <w:lang w:val="en-US"/>
        </w:rPr>
        <w:t>, showing that national politics can also be a barrier to the single market.</w:t>
      </w:r>
    </w:p>
    <w:p w14:paraId="0C828BFE" w14:textId="617D65CC" w:rsidR="00A253A5" w:rsidRPr="0036474B" w:rsidRDefault="00A253A5" w:rsidP="00A253A5">
      <w:pPr>
        <w:spacing w:after="120" w:line="264" w:lineRule="auto"/>
        <w:jc w:val="both"/>
        <w:rPr>
          <w:rFonts w:ascii="Times New Roman" w:eastAsia="Yu Mincho" w:hAnsi="Times New Roman" w:cs="Times New Roman"/>
          <w:b/>
          <w:noProof/>
          <w:sz w:val="24"/>
          <w:szCs w:val="24"/>
          <w:lang w:val="en-GB"/>
        </w:rPr>
      </w:pPr>
      <w:r w:rsidRPr="0036474B">
        <w:rPr>
          <w:rFonts w:ascii="Times New Roman" w:eastAsia="Yu Mincho" w:hAnsi="Times New Roman" w:cs="Times New Roman"/>
          <w:noProof/>
          <w:sz w:val="24"/>
          <w:szCs w:val="24"/>
          <w:lang w:val="en-GB"/>
        </w:rPr>
        <w:t>Divergent legal systems (in particular company, insolvency, tax, employment or labour laws, collateral enforcement as well as judicial systems) and traditional factors such as differences in language, culture, and domestic product preferences fragment banking markets in the same way that they fragment other industries. Differences in taxation, including personal taxation for global employees or specific bank levies</w:t>
      </w:r>
      <w:r w:rsidRPr="0036474B">
        <w:rPr>
          <w:rStyle w:val="FootnoteReference"/>
          <w:rFonts w:ascii="Times New Roman" w:eastAsia="Yu Mincho" w:hAnsi="Times New Roman" w:cs="Times New Roman"/>
          <w:noProof/>
          <w:sz w:val="24"/>
          <w:szCs w:val="24"/>
          <w:lang w:val="en-GB"/>
        </w:rPr>
        <w:footnoteReference w:id="69"/>
      </w:r>
      <w:r w:rsidRPr="0036474B">
        <w:rPr>
          <w:rFonts w:ascii="Times New Roman" w:eastAsia="Yu Mincho" w:hAnsi="Times New Roman" w:cs="Times New Roman"/>
          <w:noProof/>
          <w:sz w:val="24"/>
          <w:szCs w:val="24"/>
          <w:lang w:val="en-GB"/>
        </w:rPr>
        <w:t xml:space="preserve">, consumer protection (e.g. affordability checks, repayment account structures, bank contract terms, servicing/complaints handling, marketing and advertisement), anti-money-laundering provisions (e.g. </w:t>
      </w:r>
      <w:r w:rsidR="00720595">
        <w:rPr>
          <w:rFonts w:ascii="Times New Roman" w:eastAsia="Yu Mincho" w:hAnsi="Times New Roman" w:cs="Times New Roman"/>
          <w:noProof/>
          <w:sz w:val="24"/>
          <w:szCs w:val="24"/>
          <w:lang w:val="en-GB"/>
        </w:rPr>
        <w:t xml:space="preserve">different </w:t>
      </w:r>
      <w:r w:rsidRPr="0036474B">
        <w:rPr>
          <w:rFonts w:ascii="Times New Roman" w:eastAsia="Yu Mincho" w:hAnsi="Times New Roman" w:cs="Times New Roman"/>
          <w:noProof/>
          <w:sz w:val="24"/>
          <w:szCs w:val="24"/>
          <w:lang w:val="en-GB"/>
        </w:rPr>
        <w:t xml:space="preserve">remote </w:t>
      </w:r>
      <w:r w:rsidR="00720595">
        <w:rPr>
          <w:rFonts w:ascii="Times New Roman" w:eastAsia="Yu Mincho" w:hAnsi="Times New Roman" w:cs="Times New Roman"/>
          <w:noProof/>
          <w:sz w:val="24"/>
          <w:szCs w:val="24"/>
          <w:lang w:val="en-GB"/>
        </w:rPr>
        <w:t>client</w:t>
      </w:r>
      <w:r w:rsidRPr="0036474B">
        <w:rPr>
          <w:rFonts w:ascii="Times New Roman" w:eastAsia="Yu Mincho" w:hAnsi="Times New Roman" w:cs="Times New Roman"/>
          <w:noProof/>
          <w:sz w:val="24"/>
          <w:szCs w:val="24"/>
          <w:lang w:val="en-GB"/>
        </w:rPr>
        <w:t xml:space="preserve"> onboarding</w:t>
      </w:r>
      <w:r w:rsidR="0051340E">
        <w:rPr>
          <w:rFonts w:ascii="Times New Roman" w:eastAsia="Yu Mincho" w:hAnsi="Times New Roman" w:cs="Times New Roman"/>
          <w:noProof/>
          <w:sz w:val="24"/>
          <w:szCs w:val="24"/>
          <w:lang w:val="en-GB"/>
        </w:rPr>
        <w:t xml:space="preserve">, </w:t>
      </w:r>
      <w:r w:rsidR="00720595">
        <w:rPr>
          <w:rFonts w:ascii="Times New Roman" w:eastAsia="Yu Mincho" w:hAnsi="Times New Roman" w:cs="Times New Roman"/>
          <w:noProof/>
          <w:sz w:val="24"/>
          <w:szCs w:val="24"/>
          <w:lang w:val="en-GB"/>
        </w:rPr>
        <w:t xml:space="preserve">lack of cross-border recognition of </w:t>
      </w:r>
      <w:r w:rsidRPr="0036474B">
        <w:rPr>
          <w:rFonts w:ascii="Times New Roman" w:eastAsia="Yu Mincho" w:hAnsi="Times New Roman" w:cs="Times New Roman"/>
          <w:noProof/>
          <w:sz w:val="24"/>
          <w:szCs w:val="24"/>
          <w:lang w:val="en-GB"/>
        </w:rPr>
        <w:t>KYC</w:t>
      </w:r>
      <w:r w:rsidR="00720595">
        <w:rPr>
          <w:rFonts w:ascii="Times New Roman" w:eastAsia="Yu Mincho" w:hAnsi="Times New Roman" w:cs="Times New Roman"/>
          <w:noProof/>
          <w:sz w:val="24"/>
          <w:szCs w:val="24"/>
          <w:lang w:val="en-GB"/>
        </w:rPr>
        <w:t xml:space="preserve"> checks</w:t>
      </w:r>
      <w:r w:rsidRPr="0036474B">
        <w:rPr>
          <w:rFonts w:ascii="Times New Roman" w:eastAsia="Yu Mincho" w:hAnsi="Times New Roman" w:cs="Times New Roman"/>
          <w:noProof/>
          <w:sz w:val="24"/>
          <w:szCs w:val="24"/>
          <w:lang w:val="en-GB"/>
        </w:rPr>
        <w:t xml:space="preserve">, </w:t>
      </w:r>
      <w:r w:rsidR="00720595">
        <w:rPr>
          <w:rFonts w:ascii="Times New Roman" w:eastAsia="Yu Mincho" w:hAnsi="Times New Roman" w:cs="Times New Roman"/>
          <w:noProof/>
          <w:sz w:val="24"/>
          <w:szCs w:val="24"/>
          <w:lang w:val="en-GB"/>
        </w:rPr>
        <w:t xml:space="preserve">divergences in </w:t>
      </w:r>
      <w:r w:rsidR="00895E6A">
        <w:rPr>
          <w:rFonts w:ascii="Times New Roman" w:eastAsia="Yu Mincho" w:hAnsi="Times New Roman" w:cs="Times New Roman"/>
          <w:noProof/>
          <w:sz w:val="24"/>
          <w:szCs w:val="24"/>
          <w:lang w:val="en-GB"/>
        </w:rPr>
        <w:t>thresholds</w:t>
      </w:r>
      <w:r w:rsidR="00720595">
        <w:rPr>
          <w:rFonts w:ascii="Times New Roman" w:eastAsia="Yu Mincho" w:hAnsi="Times New Roman" w:cs="Times New Roman"/>
          <w:noProof/>
          <w:sz w:val="24"/>
          <w:szCs w:val="24"/>
          <w:lang w:val="en-GB"/>
        </w:rPr>
        <w:t xml:space="preserve"> for</w:t>
      </w:r>
      <w:r w:rsidRPr="0036474B">
        <w:rPr>
          <w:rFonts w:ascii="Times New Roman" w:eastAsia="Yu Mincho" w:hAnsi="Times New Roman" w:cs="Times New Roman"/>
          <w:noProof/>
          <w:sz w:val="24"/>
          <w:szCs w:val="24"/>
          <w:lang w:val="en-GB"/>
        </w:rPr>
        <w:t xml:space="preserve"> suspicious activity reports) or data protection (</w:t>
      </w:r>
      <w:r w:rsidR="00895E6A">
        <w:rPr>
          <w:rFonts w:ascii="Times New Roman" w:eastAsia="Yu Mincho" w:hAnsi="Times New Roman" w:cs="Times New Roman"/>
          <w:noProof/>
          <w:sz w:val="24"/>
          <w:szCs w:val="24"/>
          <w:lang w:val="en-GB"/>
        </w:rPr>
        <w:t xml:space="preserve">divergent </w:t>
      </w:r>
      <w:r w:rsidRPr="0036474B">
        <w:rPr>
          <w:rFonts w:ascii="Times New Roman" w:eastAsia="Yu Mincho" w:hAnsi="Times New Roman" w:cs="Times New Roman"/>
          <w:noProof/>
          <w:sz w:val="24"/>
          <w:szCs w:val="24"/>
          <w:lang w:val="en-GB"/>
        </w:rPr>
        <w:t xml:space="preserve">GDPR interpretation) at Member State-level result in bank-specific entry and adjustment costs that discourage cross-border banking. </w:t>
      </w:r>
    </w:p>
    <w:p w14:paraId="0741436D" w14:textId="77777777" w:rsidR="00A253A5" w:rsidRPr="0036474B" w:rsidRDefault="00A253A5" w:rsidP="00A253A5">
      <w:pPr>
        <w:spacing w:after="120" w:line="264" w:lineRule="auto"/>
        <w:jc w:val="both"/>
        <w:rPr>
          <w:rFonts w:ascii="Times New Roman" w:eastAsia="Yu Mincho" w:hAnsi="Times New Roman" w:cs="Times New Roman"/>
          <w:bCs/>
          <w:noProof/>
          <w:sz w:val="24"/>
          <w:szCs w:val="24"/>
          <w:lang w:val="en-GB"/>
        </w:rPr>
      </w:pPr>
      <w:r w:rsidRPr="0036474B">
        <w:rPr>
          <w:rFonts w:ascii="Times New Roman" w:eastAsia="Yu Mincho" w:hAnsi="Times New Roman" w:cs="Times New Roman"/>
          <w:bCs/>
          <w:noProof/>
          <w:sz w:val="24"/>
          <w:szCs w:val="24"/>
          <w:lang w:val="en-GB"/>
        </w:rPr>
        <w:t>Diverging product offering regulations may be another barrier to operate cross border. Examples include widespread advertising specifications for consumer loans, no harmonised data set for credit bureaus or diverging minimum interest rates for different products (regulated savings accounts, mortgage loans). Equally, consumer preferences may also be biased towards more familiar “national” products and brands.</w:t>
      </w:r>
    </w:p>
    <w:p w14:paraId="6DC47041" w14:textId="77777777" w:rsidR="00A253A5" w:rsidRPr="0036474B" w:rsidRDefault="00A253A5" w:rsidP="00A253A5">
      <w:pPr>
        <w:spacing w:after="120" w:line="264" w:lineRule="auto"/>
        <w:jc w:val="both"/>
        <w:rPr>
          <w:rFonts w:ascii="Times New Roman" w:eastAsia="Yu Mincho" w:hAnsi="Times New Roman" w:cs="Times New Roman"/>
          <w:bCs/>
          <w:noProof/>
          <w:sz w:val="24"/>
          <w:szCs w:val="24"/>
        </w:rPr>
      </w:pPr>
      <w:r w:rsidRPr="0036474B">
        <w:rPr>
          <w:rFonts w:ascii="Times New Roman" w:eastAsia="Yu Mincho" w:hAnsi="Times New Roman" w:cs="Times New Roman"/>
          <w:bCs/>
          <w:noProof/>
          <w:sz w:val="24"/>
          <w:szCs w:val="24"/>
        </w:rPr>
        <w:t>While the possibility of acquiring ailing banks typically presents a good opportunity for banks to expand into foreign markets, uncertainties around asset quality, collateral enforcement, recovery rates (dependant on the judicial system) and high levels of NPLs seem to have discouraged banks from doing so in the last years. However, the steadily declining NPL ratios in the EU banking sector help attenuate this barrier. </w:t>
      </w:r>
    </w:p>
    <w:p w14:paraId="24136EA4" w14:textId="18102C37" w:rsidR="00A253A5" w:rsidRPr="0036474B" w:rsidRDefault="00A253A5" w:rsidP="00B9CD08">
      <w:pPr>
        <w:spacing w:after="120" w:line="264" w:lineRule="auto"/>
        <w:jc w:val="both"/>
        <w:rPr>
          <w:rFonts w:ascii="Times New Roman" w:eastAsia="Yu Mincho" w:hAnsi="Times New Roman" w:cs="Times New Roman"/>
          <w:noProof/>
          <w:sz w:val="24"/>
          <w:szCs w:val="24"/>
        </w:rPr>
      </w:pPr>
      <w:r w:rsidRPr="0036474B">
        <w:rPr>
          <w:rFonts w:ascii="Times New Roman" w:eastAsia="Yu Mincho" w:hAnsi="Times New Roman" w:cs="Times New Roman"/>
          <w:noProof/>
          <w:sz w:val="24"/>
          <w:szCs w:val="24"/>
        </w:rPr>
        <w:t xml:space="preserve">The decline in cross-border banking during the GFC was, among other things, the consequence of public support schemes that often </w:t>
      </w:r>
      <w:r w:rsidR="27B7FCE5" w:rsidRPr="0036474B">
        <w:rPr>
          <w:rFonts w:ascii="Times New Roman" w:eastAsia="Yu Mincho" w:hAnsi="Times New Roman" w:cs="Times New Roman"/>
          <w:noProof/>
          <w:sz w:val="24"/>
          <w:szCs w:val="24"/>
        </w:rPr>
        <w:t xml:space="preserve">required </w:t>
      </w:r>
      <w:r w:rsidRPr="0036474B">
        <w:rPr>
          <w:rFonts w:ascii="Times New Roman" w:eastAsia="Yu Mincho" w:hAnsi="Times New Roman" w:cs="Times New Roman"/>
          <w:noProof/>
          <w:sz w:val="24"/>
          <w:szCs w:val="24"/>
        </w:rPr>
        <w:t xml:space="preserve">banks to restructure their activities. Activities to support the domestic banking market could count on political backing, but there was much less appetite for banks to maintain activities in foreign markets. Such developments were also the result of the restructuring commitments undertaken by Member States for the approval of State aid operations, as it was perceived to be more difficult to communicate to taxpayers why public money should be used to prop up foreign operations. The fact that local </w:t>
      </w:r>
      <w:r w:rsidR="00150AFA" w:rsidRPr="0036474B">
        <w:rPr>
          <w:rFonts w:ascii="Times New Roman" w:eastAsia="Yu Mincho" w:hAnsi="Times New Roman" w:cs="Times New Roman"/>
          <w:noProof/>
          <w:sz w:val="24"/>
          <w:szCs w:val="24"/>
        </w:rPr>
        <w:t>policymakers</w:t>
      </w:r>
      <w:r w:rsidRPr="0036474B">
        <w:rPr>
          <w:rFonts w:ascii="Times New Roman" w:eastAsia="Yu Mincho" w:hAnsi="Times New Roman" w:cs="Times New Roman"/>
          <w:noProof/>
          <w:sz w:val="24"/>
          <w:szCs w:val="24"/>
        </w:rPr>
        <w:t xml:space="preserve"> might value the preservation of national banks above further banking integration seems also to be a factor that deters banks from entering a foreign market</w:t>
      </w:r>
      <w:r w:rsidRPr="0036474B">
        <w:rPr>
          <w:rFonts w:ascii="Times New Roman" w:hAnsi="Times New Roman" w:cs="Times New Roman"/>
          <w:noProof/>
          <w:sz w:val="24"/>
          <w:szCs w:val="24"/>
          <w:vertAlign w:val="superscript"/>
        </w:rPr>
        <w:footnoteReference w:id="70"/>
      </w:r>
      <w:r w:rsidRPr="0036474B">
        <w:rPr>
          <w:rFonts w:ascii="Times New Roman" w:eastAsia="Yu Mincho" w:hAnsi="Times New Roman" w:cs="Times New Roman"/>
          <w:noProof/>
          <w:sz w:val="24"/>
          <w:szCs w:val="24"/>
          <w:vertAlign w:val="superscript"/>
        </w:rPr>
        <w:t xml:space="preserve"> </w:t>
      </w:r>
      <w:r w:rsidRPr="0036474B">
        <w:rPr>
          <w:rFonts w:ascii="Times New Roman" w:eastAsia="Yu Mincho" w:hAnsi="Times New Roman" w:cs="Times New Roman"/>
          <w:noProof/>
          <w:sz w:val="24"/>
          <w:szCs w:val="24"/>
        </w:rPr>
        <w:t>and indicates a high level of political interference in banking operations in some jurisdictions. Several respondents to the public consultation noted the existence of, sometimes excessive, government interventions in banks’ financial decisions. Public pressure has been observed in relation to extraordinary taxes and sector-wide levies, administrative restrictions on prices and fees, intervention in distribution policies and constraints on structural decisions (branch closure, workforce adjustment, territorial presence). Some respondents also noted that recent times were characterised by a growing trend towards a highly politicised environment in which the banking sector is being used as a tool in broader conflicts.</w:t>
      </w:r>
    </w:p>
    <w:p w14:paraId="18885B54" w14:textId="77777777" w:rsidR="00A253A5" w:rsidRPr="0036474B" w:rsidRDefault="00A253A5" w:rsidP="00A253A5">
      <w:pPr>
        <w:spacing w:after="120" w:line="264" w:lineRule="auto"/>
        <w:jc w:val="both"/>
        <w:rPr>
          <w:rFonts w:ascii="Times New Roman" w:eastAsia="Yu Mincho" w:hAnsi="Times New Roman" w:cs="Times New Roman"/>
          <w:noProof/>
          <w:sz w:val="24"/>
          <w:szCs w:val="24"/>
          <w:lang w:val="en-GB"/>
        </w:rPr>
      </w:pPr>
      <w:r w:rsidRPr="0036474B">
        <w:rPr>
          <w:rFonts w:ascii="Times New Roman" w:eastAsia="Yu Mincho" w:hAnsi="Times New Roman" w:cs="Times New Roman"/>
          <w:noProof/>
          <w:sz w:val="24"/>
          <w:szCs w:val="24"/>
          <w:lang w:val="en-GB"/>
        </w:rPr>
        <w:t>Stakeholders also indicate that non-prudential barriers are particularly prominent in discussions on digitalisation and retail expansion. Succeeding in one Member State does not automatically translate into success in another because of differences in national legal, tax, accounting and supervisory environments. Barriers are perceived particularly acute in smaller markets, where the costs of entry and adaptation may outweigh business opportunities.</w:t>
      </w:r>
    </w:p>
    <w:p w14:paraId="65B31B31" w14:textId="42245F83" w:rsidR="0057181C" w:rsidRPr="0036474B" w:rsidRDefault="0057181C" w:rsidP="0057181C">
      <w:pPr>
        <w:spacing w:after="120" w:line="264" w:lineRule="auto"/>
        <w:jc w:val="both"/>
        <w:rPr>
          <w:rFonts w:ascii="Times New Roman" w:eastAsia="Yu Mincho" w:hAnsi="Times New Roman" w:cs="Times New Roman"/>
          <w:noProof/>
          <w:sz w:val="24"/>
          <w:szCs w:val="24"/>
          <w:lang w:val="en-GB"/>
        </w:rPr>
      </w:pPr>
    </w:p>
    <w:p w14:paraId="2DE27C20" w14:textId="77777777" w:rsidR="0057181C" w:rsidRPr="0036474B" w:rsidRDefault="0057181C" w:rsidP="00B00C18">
      <w:pPr>
        <w:pStyle w:val="ListParagraph"/>
        <w:numPr>
          <w:ilvl w:val="2"/>
          <w:numId w:val="11"/>
        </w:numPr>
        <w:ind w:left="1077"/>
        <w:outlineLvl w:val="2"/>
        <w:rPr>
          <w:rFonts w:ascii="Times New Roman" w:hAnsi="Times New Roman" w:cs="Times New Roman"/>
          <w:b/>
          <w:bCs/>
          <w:noProof/>
          <w:sz w:val="24"/>
          <w:szCs w:val="24"/>
          <w:lang w:val="en-GB"/>
        </w:rPr>
      </w:pPr>
      <w:bookmarkStart w:id="30" w:name="_Toc234341736"/>
      <w:r w:rsidRPr="0036474B">
        <w:rPr>
          <w:rFonts w:ascii="Times New Roman" w:hAnsi="Times New Roman" w:cs="Times New Roman"/>
          <w:b/>
          <w:bCs/>
          <w:noProof/>
          <w:sz w:val="24"/>
          <w:szCs w:val="24"/>
          <w:lang w:val="en-GB"/>
        </w:rPr>
        <w:t>Cross-border allocation of funds: efficiency and resilience</w:t>
      </w:r>
      <w:bookmarkEnd w:id="30"/>
    </w:p>
    <w:p w14:paraId="64C0AADE" w14:textId="77777777" w:rsidR="0057181C" w:rsidRPr="0036474B" w:rsidRDefault="0057181C" w:rsidP="0057181C">
      <w:pPr>
        <w:spacing w:after="120" w:line="264" w:lineRule="auto"/>
        <w:jc w:val="both"/>
        <w:rPr>
          <w:rFonts w:ascii="Times New Roman" w:eastAsia="Yu Mincho" w:hAnsi="Times New Roman" w:cs="Times New Roman"/>
          <w:noProof/>
          <w:kern w:val="2"/>
          <w:sz w:val="24"/>
          <w:szCs w:val="24"/>
          <w:lang w:val="en-GB"/>
          <w14:ligatures w14:val="standardContextual"/>
        </w:rPr>
      </w:pPr>
      <w:r w:rsidRPr="0036474B">
        <w:rPr>
          <w:rFonts w:ascii="Times New Roman" w:eastAsia="Yu Mincho" w:hAnsi="Times New Roman" w:cs="Times New Roman"/>
          <w:noProof/>
          <w:kern w:val="2"/>
          <w:sz w:val="24"/>
          <w:szCs w:val="24"/>
          <w:lang w:val="en-GB"/>
          <w14:ligatures w14:val="standardContextual"/>
        </w:rPr>
        <w:t>The current barriers to a free flow of resources within cross-border groups is a material example of fragmentation, contributing to the absence of a European dimension in the banking sector and the economic inefficiencies it generates. While this is largely a feature of the regulatory framework and the debate on completing the Banking Union, it may also be explained by a lack of initiatives from the banking sector itself to use the tools at its disposal to operate in other markets (e.g. restructuring of business lines and branchification, direct cross border provision of services), either by choice or because of supervisory or political pressure.</w:t>
      </w:r>
    </w:p>
    <w:p w14:paraId="4E67FF48" w14:textId="77777777" w:rsidR="0057181C" w:rsidRPr="0036474B" w:rsidRDefault="0057181C" w:rsidP="0057181C">
      <w:pPr>
        <w:spacing w:after="120" w:line="264" w:lineRule="auto"/>
        <w:jc w:val="both"/>
        <w:rPr>
          <w:rFonts w:ascii="Times New Roman" w:eastAsia="Yu Mincho" w:hAnsi="Times New Roman" w:cs="Times New Roman"/>
          <w:noProof/>
          <w:kern w:val="2"/>
          <w:sz w:val="24"/>
          <w:szCs w:val="24"/>
          <w:lang w:val="en-GB"/>
          <w14:ligatures w14:val="standardContextual"/>
        </w:rPr>
      </w:pPr>
      <w:r w:rsidRPr="0036474B">
        <w:rPr>
          <w:rFonts w:ascii="Times New Roman" w:eastAsia="Yu Mincho" w:hAnsi="Times New Roman" w:cs="Times New Roman"/>
          <w:noProof/>
          <w:kern w:val="2"/>
          <w:sz w:val="24"/>
          <w:szCs w:val="24"/>
          <w:lang w:val="en-GB"/>
          <w14:ligatures w14:val="standardContextual"/>
        </w:rPr>
        <w:t xml:space="preserve">In this context, banks’ ability to operate cross border without barriers to allocate liquidity and capital is essential to improve the efficiency of banking groups and their financing of the economy. Moving towards an unhampered management of resources inside cross-border groups supports market integration and comes with important benefits such as freeing up resources that can be allocated more efficiently and agility in dealing with stress located in specific parts of the groups. It may also generate substantial second order effects to the benefit of all Member States, including: a diversification of risks across markets, scale effects that generate efficiency gains and support bank competitiveness, increased competition locally that can improve the offering of adequate financial services to citizens and businesses, reduced procyclicality </w:t>
      </w:r>
      <w:r w:rsidRPr="0036474B">
        <w:rPr>
          <w:rFonts w:ascii="Times New Roman" w:eastAsia="Calibri" w:hAnsi="Times New Roman" w:cs="Times New Roman"/>
          <w:noProof/>
          <w:kern w:val="2"/>
          <w:sz w:val="24"/>
          <w:szCs w:val="24"/>
          <w:lang w:val="en-GB"/>
          <w14:ligatures w14:val="standardContextual"/>
        </w:rPr>
        <w:t>in local markets thanks to the presence of foreign operators that may react differently to local shocks,</w:t>
      </w:r>
      <w:r w:rsidRPr="0036474B">
        <w:rPr>
          <w:rFonts w:ascii="Times New Roman" w:eastAsia="Yu Mincho" w:hAnsi="Times New Roman" w:cs="Times New Roman"/>
          <w:noProof/>
          <w:kern w:val="2"/>
          <w:sz w:val="24"/>
          <w:szCs w:val="24"/>
          <w:lang w:val="en-GB"/>
          <w14:ligatures w14:val="standardContextual"/>
        </w:rPr>
        <w:t xml:space="preserve"> etc. </w:t>
      </w:r>
    </w:p>
    <w:p w14:paraId="06B957EF" w14:textId="77777777" w:rsidR="0057181C" w:rsidRPr="0036474B" w:rsidRDefault="0057181C" w:rsidP="0057181C">
      <w:pPr>
        <w:spacing w:after="120" w:line="264" w:lineRule="auto"/>
        <w:jc w:val="both"/>
        <w:rPr>
          <w:rFonts w:ascii="Times New Roman" w:eastAsia="Yu Mincho" w:hAnsi="Times New Roman" w:cs="Times New Roman"/>
          <w:noProof/>
          <w:kern w:val="2"/>
          <w:sz w:val="24"/>
          <w:szCs w:val="24"/>
          <w:lang w:val="en-GB"/>
          <w14:ligatures w14:val="standardContextual"/>
        </w:rPr>
      </w:pPr>
      <w:r w:rsidRPr="0036474B">
        <w:rPr>
          <w:rFonts w:ascii="Times New Roman" w:eastAsia="Yu Mincho" w:hAnsi="Times New Roman" w:cs="Times New Roman"/>
          <w:noProof/>
          <w:kern w:val="2"/>
          <w:sz w:val="24"/>
          <w:szCs w:val="24"/>
          <w:lang w:val="en-GB"/>
          <w14:ligatures w14:val="standardContextual"/>
        </w:rPr>
        <w:t xml:space="preserve">Improving market integration in the banking sector should not be opposed to preserving financial stability or the presence of more local players. More efficient, more resilient banking groups, able to withstand shocks and be sufficiently competitive to support the financing of EU priorities can contribute to strengthen financial stability as long as adequate safeguards are in place, in particular a solid institutional and governance structure in the Banking Union. These safeguards should ensure that irrespective of what happens to the banking group and subsidiaries when they fail, the costs will not be borne locally. </w:t>
      </w:r>
    </w:p>
    <w:p w14:paraId="0F6F1916" w14:textId="2743C5E4" w:rsidR="0057181C" w:rsidRPr="0036474B" w:rsidRDefault="0057181C" w:rsidP="0057181C">
      <w:pPr>
        <w:spacing w:after="120" w:line="264" w:lineRule="auto"/>
        <w:jc w:val="both"/>
        <w:rPr>
          <w:rFonts w:ascii="Times New Roman" w:eastAsia="Yu Mincho" w:hAnsi="Times New Roman" w:cs="Times New Roman"/>
          <w:noProof/>
          <w:sz w:val="24"/>
          <w:szCs w:val="24"/>
          <w:lang w:val="en-GB"/>
        </w:rPr>
      </w:pPr>
      <w:r w:rsidRPr="0036474B">
        <w:rPr>
          <w:rFonts w:ascii="Times New Roman" w:eastAsia="Yu Mincho" w:hAnsi="Times New Roman" w:cs="Times New Roman"/>
          <w:noProof/>
          <w:kern w:val="2"/>
          <w:sz w:val="24"/>
          <w:szCs w:val="24"/>
          <w:lang w:val="en-GB"/>
          <w14:ligatures w14:val="standardContextual"/>
        </w:rPr>
        <w:t xml:space="preserve">Moreover, improving market integration in the banking sector should not mean a mechanistic reduction of the level of credit to the local economy, as demand for credit, and the sources of profits and competition it implies, will remain unaffected by the way bank liquidity is managed. In addition, </w:t>
      </w:r>
      <w:r w:rsidR="0051340E" w:rsidRPr="0036474B">
        <w:rPr>
          <w:rFonts w:ascii="Times New Roman" w:eastAsia="Yu Mincho" w:hAnsi="Times New Roman" w:cs="Times New Roman"/>
          <w:noProof/>
          <w:kern w:val="2"/>
          <w:sz w:val="24"/>
          <w:szCs w:val="24"/>
          <w:lang w:val="en-GB"/>
          <w14:ligatures w14:val="standardContextual"/>
        </w:rPr>
        <w:t>experience</w:t>
      </w:r>
      <w:r w:rsidRPr="0036474B">
        <w:rPr>
          <w:rFonts w:ascii="Times New Roman" w:eastAsia="Yu Mincho" w:hAnsi="Times New Roman" w:cs="Times New Roman"/>
          <w:noProof/>
          <w:kern w:val="2"/>
          <w:sz w:val="24"/>
          <w:szCs w:val="24"/>
          <w:lang w:val="en-GB"/>
          <w14:ligatures w14:val="standardContextual"/>
        </w:rPr>
        <w:t xml:space="preserve"> shows that the presence of local requirements in each subsidiary is not a protection against commercial decisions to lower the level of credit in host Member States during a downturn.</w:t>
      </w:r>
    </w:p>
    <w:p w14:paraId="119F03F0" w14:textId="78BBF4F6" w:rsidR="0057181C" w:rsidRPr="0036474B" w:rsidRDefault="0057181C" w:rsidP="0057181C">
      <w:pPr>
        <w:spacing w:after="120"/>
        <w:jc w:val="both"/>
        <w:rPr>
          <w:rFonts w:ascii="Times New Roman" w:hAnsi="Times New Roman" w:cs="Times New Roman"/>
          <w:bCs/>
          <w:noProof/>
          <w:sz w:val="24"/>
          <w:szCs w:val="24"/>
          <w:u w:val="single"/>
          <w:lang w:val="en-GB"/>
        </w:rPr>
      </w:pPr>
      <w:r w:rsidRPr="0036474B">
        <w:rPr>
          <w:rFonts w:ascii="Times New Roman" w:hAnsi="Times New Roman" w:cs="Times New Roman"/>
          <w:bCs/>
          <w:noProof/>
          <w:sz w:val="24"/>
          <w:szCs w:val="24"/>
          <w:u w:val="single"/>
          <w:lang w:val="en-GB"/>
        </w:rPr>
        <w:t>Issues identified:</w:t>
      </w:r>
    </w:p>
    <w:p w14:paraId="1C66CA0F" w14:textId="77777777" w:rsidR="0057181C" w:rsidRPr="0036474B" w:rsidRDefault="0057181C" w:rsidP="0057181C">
      <w:pPr>
        <w:pStyle w:val="ListParagraph"/>
        <w:numPr>
          <w:ilvl w:val="0"/>
          <w:numId w:val="13"/>
        </w:numPr>
        <w:spacing w:after="120"/>
        <w:contextualSpacing w:val="0"/>
        <w:jc w:val="both"/>
        <w:rPr>
          <w:rFonts w:ascii="Times New Roman" w:hAnsi="Times New Roman" w:cs="Times New Roman"/>
          <w:bCs/>
          <w:noProof/>
          <w:sz w:val="24"/>
          <w:szCs w:val="24"/>
          <w:lang w:val="en-GB"/>
        </w:rPr>
      </w:pPr>
      <w:r w:rsidRPr="0036474B">
        <w:rPr>
          <w:rFonts w:ascii="Times New Roman" w:hAnsi="Times New Roman" w:cs="Times New Roman"/>
          <w:bCs/>
          <w:noProof/>
          <w:sz w:val="24"/>
          <w:szCs w:val="24"/>
          <w:lang w:val="en-GB"/>
        </w:rPr>
        <w:t>Prudential regulation applies to all levels of consolidation. Liquidity requirements can be waived fully or partially on a cross-border basis, while capital requirements at solo level cannot be waived on a cross-border basis. However, in practice supervisors have not granted liquidity waivers on a cross-border basis in a substantive way.</w:t>
      </w:r>
    </w:p>
    <w:p w14:paraId="2E6259F2" w14:textId="014071D7" w:rsidR="0057181C" w:rsidRPr="00920CC4" w:rsidRDefault="0057181C" w:rsidP="0057181C">
      <w:pPr>
        <w:pStyle w:val="ListParagraph"/>
        <w:numPr>
          <w:ilvl w:val="0"/>
          <w:numId w:val="13"/>
        </w:numPr>
        <w:spacing w:after="120"/>
        <w:contextualSpacing w:val="0"/>
        <w:jc w:val="both"/>
        <w:rPr>
          <w:rFonts w:ascii="Times New Roman" w:hAnsi="Times New Roman" w:cs="Times New Roman"/>
          <w:bCs/>
          <w:noProof/>
          <w:sz w:val="24"/>
          <w:szCs w:val="24"/>
          <w:lang w:val="en-GB"/>
        </w:rPr>
      </w:pPr>
      <w:r w:rsidRPr="0036474B">
        <w:rPr>
          <w:rFonts w:ascii="Times New Roman" w:hAnsi="Times New Roman" w:cs="Times New Roman"/>
          <w:bCs/>
          <w:noProof/>
          <w:sz w:val="24"/>
          <w:szCs w:val="24"/>
          <w:lang w:val="en-GB"/>
        </w:rPr>
        <w:t xml:space="preserve">Other requirements constrain or limit the free intra-group transfer of resources. Including </w:t>
      </w:r>
      <w:r w:rsidRPr="0036474B">
        <w:rPr>
          <w:rFonts w:ascii="Times New Roman" w:hAnsi="Times New Roman" w:cs="Times New Roman"/>
          <w:bCs/>
          <w:noProof/>
          <w:sz w:val="24"/>
          <w:szCs w:val="24"/>
        </w:rPr>
        <w:t>national large exposure limits as well as capital requirements on intragroup exposures.</w:t>
      </w:r>
    </w:p>
    <w:p w14:paraId="53D757A0" w14:textId="77777777" w:rsidR="00920CC4" w:rsidRPr="00920CC4" w:rsidRDefault="00920CC4" w:rsidP="00920CC4">
      <w:pPr>
        <w:spacing w:after="120"/>
        <w:jc w:val="both"/>
        <w:rPr>
          <w:rFonts w:ascii="Times New Roman" w:hAnsi="Times New Roman" w:cs="Times New Roman"/>
          <w:bCs/>
          <w:noProof/>
          <w:sz w:val="24"/>
          <w:szCs w:val="24"/>
          <w:lang w:val="en-GB"/>
        </w:rPr>
      </w:pPr>
    </w:p>
    <w:p w14:paraId="49FD2DBD" w14:textId="77777777" w:rsidR="0057181C" w:rsidRPr="0036474B" w:rsidRDefault="0057181C" w:rsidP="00B00C18">
      <w:pPr>
        <w:pStyle w:val="ListParagraph"/>
        <w:numPr>
          <w:ilvl w:val="2"/>
          <w:numId w:val="11"/>
        </w:numPr>
        <w:ind w:left="1077"/>
        <w:outlineLvl w:val="2"/>
        <w:rPr>
          <w:rFonts w:ascii="Times New Roman" w:hAnsi="Times New Roman" w:cs="Times New Roman"/>
          <w:b/>
          <w:bCs/>
          <w:noProof/>
          <w:sz w:val="24"/>
          <w:szCs w:val="24"/>
          <w:lang w:val="en-GB"/>
        </w:rPr>
      </w:pPr>
      <w:bookmarkStart w:id="31" w:name="_Toc234341737"/>
      <w:r w:rsidRPr="0036474B">
        <w:rPr>
          <w:rFonts w:ascii="Times New Roman" w:hAnsi="Times New Roman" w:cs="Times New Roman"/>
          <w:b/>
          <w:bCs/>
          <w:noProof/>
          <w:sz w:val="24"/>
          <w:szCs w:val="24"/>
          <w:lang w:val="en-GB"/>
        </w:rPr>
        <w:t>Safety nets and resolution strategies</w:t>
      </w:r>
      <w:bookmarkEnd w:id="31"/>
    </w:p>
    <w:p w14:paraId="10D089B3" w14:textId="77777777" w:rsidR="0057181C" w:rsidRPr="0036474B" w:rsidRDefault="0057181C" w:rsidP="0057181C">
      <w:pPr>
        <w:spacing w:after="120" w:line="264" w:lineRule="auto"/>
        <w:jc w:val="both"/>
        <w:rPr>
          <w:rFonts w:ascii="Times New Roman" w:eastAsia="Yu Mincho" w:hAnsi="Times New Roman" w:cs="Times New Roman"/>
          <w:noProof/>
          <w:sz w:val="24"/>
          <w:szCs w:val="24"/>
          <w:lang w:val="en-GB"/>
        </w:rPr>
      </w:pPr>
      <w:r w:rsidRPr="0036474B">
        <w:rPr>
          <w:rFonts w:ascii="Times New Roman" w:eastAsia="Yu Mincho" w:hAnsi="Times New Roman" w:cs="Times New Roman"/>
          <w:noProof/>
          <w:sz w:val="24"/>
          <w:szCs w:val="24"/>
          <w:lang w:val="en-GB"/>
        </w:rPr>
        <w:t xml:space="preserve">It is complex to find the right equilibrium that would allow for favourable conditions driving a more integrated banking market, for example through a more central management of liquidity and capital at group level, while at the same time providing assurances and safeguards protecting the financial stability in Member States where group entities are located. </w:t>
      </w:r>
    </w:p>
    <w:p w14:paraId="2B3F49EE" w14:textId="4F05E15D" w:rsidR="0057181C" w:rsidRPr="0036474B" w:rsidRDefault="0057181C" w:rsidP="0057181C">
      <w:pPr>
        <w:spacing w:after="120" w:line="264" w:lineRule="auto"/>
        <w:jc w:val="both"/>
        <w:rPr>
          <w:rFonts w:ascii="Times New Roman" w:eastAsia="Yu Mincho" w:hAnsi="Times New Roman" w:cs="Times New Roman"/>
          <w:noProof/>
          <w:sz w:val="24"/>
          <w:szCs w:val="24"/>
          <w:lang w:val="en-GB"/>
        </w:rPr>
      </w:pPr>
      <w:r w:rsidRPr="0036474B">
        <w:rPr>
          <w:rFonts w:ascii="Times New Roman" w:eastAsia="Yu Mincho" w:hAnsi="Times New Roman" w:cs="Times New Roman"/>
          <w:noProof/>
          <w:sz w:val="24"/>
          <w:szCs w:val="24"/>
          <w:lang w:val="en-GB"/>
        </w:rPr>
        <w:t xml:space="preserve">A key concern expressed by </w:t>
      </w:r>
      <w:r w:rsidR="003A32FC">
        <w:rPr>
          <w:rFonts w:ascii="Times New Roman" w:eastAsia="Yu Mincho" w:hAnsi="Times New Roman" w:cs="Times New Roman"/>
          <w:noProof/>
          <w:sz w:val="24"/>
          <w:szCs w:val="24"/>
          <w:lang w:val="en-GB"/>
        </w:rPr>
        <w:t xml:space="preserve">some </w:t>
      </w:r>
      <w:r w:rsidRPr="0036474B">
        <w:rPr>
          <w:rFonts w:ascii="Times New Roman" w:eastAsia="Yu Mincho" w:hAnsi="Times New Roman" w:cs="Times New Roman"/>
          <w:noProof/>
          <w:sz w:val="24"/>
          <w:szCs w:val="24"/>
          <w:lang w:val="en-GB"/>
        </w:rPr>
        <w:t>Member States is the risk that</w:t>
      </w:r>
      <w:r w:rsidRPr="0036474B">
        <w:rPr>
          <w:rFonts w:ascii="Times New Roman" w:eastAsia="Yu Mincho" w:hAnsi="Times New Roman" w:cs="Times New Roman"/>
          <w:noProof/>
          <w:kern w:val="2"/>
          <w:sz w:val="24"/>
          <w:szCs w:val="24"/>
          <w:lang w:val="en-GB"/>
          <w14:ligatures w14:val="standardContextual"/>
        </w:rPr>
        <w:t>, absent sufficiently robust pre-positioned capital and liquidity,</w:t>
      </w:r>
      <w:r w:rsidRPr="0036474B">
        <w:rPr>
          <w:rFonts w:ascii="Times New Roman" w:eastAsia="Yu Mincho" w:hAnsi="Times New Roman" w:cs="Times New Roman"/>
          <w:noProof/>
          <w:sz w:val="24"/>
          <w:szCs w:val="24"/>
          <w:lang w:val="en-GB"/>
        </w:rPr>
        <w:t xml:space="preserve"> local subsidiaries of a foreign banking group would be cut off from the rest of the group in times of stress, forcing authorities to deal with the subsidiary </w:t>
      </w:r>
      <w:r w:rsidRPr="0036474B">
        <w:rPr>
          <w:rFonts w:ascii="Times New Roman" w:eastAsia="Yu Mincho" w:hAnsi="Times New Roman" w:cs="Times New Roman"/>
          <w:noProof/>
          <w:kern w:val="2"/>
          <w:sz w:val="24"/>
          <w:szCs w:val="24"/>
          <w:lang w:val="en-GB"/>
          <w14:ligatures w14:val="standardContextual"/>
        </w:rPr>
        <w:t>in a disorderly manner</w:t>
      </w:r>
      <w:r w:rsidRPr="0036474B">
        <w:rPr>
          <w:rFonts w:ascii="Times New Roman" w:eastAsia="Yu Mincho" w:hAnsi="Times New Roman" w:cs="Times New Roman"/>
          <w:noProof/>
          <w:sz w:val="24"/>
          <w:szCs w:val="24"/>
          <w:lang w:val="en-GB"/>
        </w:rPr>
        <w:t xml:space="preserve">. </w:t>
      </w:r>
      <w:r w:rsidRPr="0036474B">
        <w:rPr>
          <w:rFonts w:ascii="Times New Roman" w:eastAsia="Yu Mincho" w:hAnsi="Times New Roman" w:cs="Times New Roman"/>
          <w:noProof/>
          <w:kern w:val="2"/>
          <w:sz w:val="24"/>
          <w:szCs w:val="24"/>
          <w:lang w:val="en-GB"/>
          <w14:ligatures w14:val="standardContextual"/>
        </w:rPr>
        <w:t xml:space="preserve">The arguments against more market integration in good times always come down to the risks at national level </w:t>
      </w:r>
      <w:r w:rsidRPr="0036474B">
        <w:rPr>
          <w:rFonts w:ascii="Times New Roman" w:eastAsia="Yu Mincho" w:hAnsi="Times New Roman" w:cs="Times New Roman"/>
          <w:noProof/>
          <w:sz w:val="24"/>
          <w:szCs w:val="24"/>
          <w:lang w:val="en-GB"/>
        </w:rPr>
        <w:t xml:space="preserve">in bad (crisis) times, and are also related to a lack of trust among authorities. More specifically, most banking groups in the EU are subject to a single-point-of-entry </w:t>
      </w:r>
      <w:r w:rsidRPr="0036474B">
        <w:rPr>
          <w:rFonts w:ascii="Times New Roman" w:eastAsia="Yu Mincho" w:hAnsi="Times New Roman" w:cs="Times New Roman"/>
          <w:noProof/>
          <w:kern w:val="2"/>
          <w:sz w:val="24"/>
          <w:szCs w:val="24"/>
          <w:lang w:val="en-GB"/>
          <w14:ligatures w14:val="standardContextual"/>
        </w:rPr>
        <w:t>resolution</w:t>
      </w:r>
      <w:r w:rsidRPr="0036474B">
        <w:rPr>
          <w:rFonts w:ascii="Times New Roman" w:eastAsia="Yu Mincho" w:hAnsi="Times New Roman" w:cs="Times New Roman"/>
          <w:noProof/>
          <w:sz w:val="24"/>
          <w:szCs w:val="24"/>
          <w:lang w:val="en-GB"/>
        </w:rPr>
        <w:t xml:space="preserve"> strategy, meaning that crisis management tools are supposed to be applied at the level of the parent while subsidiaries, especially when they provide critical functions for the economy, are left untouched</w:t>
      </w:r>
      <w:r w:rsidRPr="0036474B">
        <w:rPr>
          <w:rStyle w:val="FootnoteReference"/>
          <w:rFonts w:ascii="Times New Roman" w:eastAsia="Yu Mincho" w:hAnsi="Times New Roman" w:cs="Times New Roman"/>
          <w:noProof/>
          <w:sz w:val="24"/>
          <w:szCs w:val="24"/>
          <w:lang w:val="en-GB"/>
        </w:rPr>
        <w:footnoteReference w:id="71"/>
      </w:r>
      <w:r w:rsidRPr="0036474B" w:rsidDel="00C51BBB">
        <w:rPr>
          <w:rFonts w:ascii="Times New Roman" w:eastAsia="Yu Mincho" w:hAnsi="Times New Roman" w:cs="Times New Roman"/>
          <w:noProof/>
          <w:sz w:val="24"/>
          <w:szCs w:val="24"/>
          <w:lang w:val="en-GB"/>
        </w:rPr>
        <w:t>.</w:t>
      </w:r>
      <w:r w:rsidRPr="0036474B">
        <w:rPr>
          <w:rFonts w:ascii="Times New Roman" w:eastAsia="Yu Mincho" w:hAnsi="Times New Roman" w:cs="Times New Roman"/>
          <w:noProof/>
          <w:sz w:val="24"/>
          <w:szCs w:val="24"/>
          <w:lang w:val="en-GB"/>
        </w:rPr>
        <w:t xml:space="preserve"> Breaking this ‘presumptive path’ is a source of concern for authorities who seek to</w:t>
      </w:r>
      <w:r w:rsidRPr="0036474B">
        <w:rPr>
          <w:rFonts w:ascii="Times New Roman" w:eastAsia="Yu Mincho" w:hAnsi="Times New Roman" w:cs="Times New Roman"/>
          <w:noProof/>
          <w:kern w:val="2"/>
          <w:sz w:val="24"/>
          <w:szCs w:val="24"/>
          <w:lang w:val="en-GB"/>
          <w14:ligatures w14:val="standardContextual"/>
        </w:rPr>
        <w:t xml:space="preserve"> mitigate any risk of being left to deal with local subsidiaries on their own. In addition, vulnerable subsidiaries insufficiently supported by the group – or healthy subsidiaries not considered as the group’s priority – may not be able to provide financing to the real economy in their Member States, which may adversely affect economic performance in these countries. </w:t>
      </w:r>
    </w:p>
    <w:p w14:paraId="36040840" w14:textId="77777777" w:rsidR="0057181C" w:rsidRPr="006F43E5" w:rsidRDefault="0057181C" w:rsidP="006F43E5">
      <w:pPr>
        <w:rPr>
          <w:rFonts w:ascii="Times New Roman" w:hAnsi="Times New Roman" w:cs="Times New Roman"/>
          <w:b/>
          <w:noProof/>
          <w:color w:val="FF0000"/>
          <w:sz w:val="24"/>
          <w:szCs w:val="24"/>
          <w:lang w:val="en-GB"/>
        </w:rPr>
      </w:pPr>
      <w:r w:rsidRPr="006F43E5">
        <w:rPr>
          <w:rFonts w:ascii="Times New Roman" w:hAnsi="Times New Roman" w:cs="Times New Roman"/>
          <w:b/>
          <w:bCs/>
          <w:i/>
          <w:iCs/>
          <w:noProof/>
          <w:sz w:val="24"/>
          <w:szCs w:val="24"/>
          <w:lang w:val="en-GB"/>
        </w:rPr>
        <w:t>Integration of the deposit insurance framework in the Banking Union</w:t>
      </w:r>
    </w:p>
    <w:p w14:paraId="53BD6274" w14:textId="77777777" w:rsidR="0057181C" w:rsidRPr="0036474B" w:rsidRDefault="0057181C" w:rsidP="0057181C">
      <w:pPr>
        <w:spacing w:after="120" w:line="264" w:lineRule="auto"/>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Under the current crisis management framework, Significant Institutions (SIs) and cross-border less significant institutions (LSI) representing approximately 75% of covered deposits in the Banking Union fall under the direct responsibility of the SRB. Most of these banks are planned for resolution and comply with the requirements to have sufficient loss absorbing capacity (MREL). More than 95% of the covered deposits of those banks will be protected through other means than a depositor pay-out such as by the application of resolution tools, which will provide for uninterrupted access of depositors to their covered deposits. In the consultation, several stakeholders underline that banks under the direct SRB remit are already subject to sound resolution planning and strong MREL buffers and are unlikely to rely on DGS support in case of resolution.</w:t>
      </w:r>
    </w:p>
    <w:p w14:paraId="2376E8DD" w14:textId="742FBBF4" w:rsidR="0057181C" w:rsidRPr="0036474B" w:rsidRDefault="0057181C" w:rsidP="0057181C">
      <w:pPr>
        <w:spacing w:after="120" w:line="264" w:lineRule="auto"/>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The remaining 25% of covered deposits not held by banks under the SRB-remit are financing mainly national and local economies and governments. Crisis management tools used for these banks differ among Member States and specific subsectors of the national banking sectors. Most LSIs in the Banking Union are members of Institutional Protection Schemes that are recognised as DGS, which together hold 70% of all covered deposits in all LSIs in the Banking Union, and problems in individual members are expected to be addressed via the use of IPS measures.</w:t>
      </w:r>
    </w:p>
    <w:p w14:paraId="23D02F44" w14:textId="7CDF8577" w:rsidR="0057181C" w:rsidRPr="0036474B" w:rsidRDefault="0057181C" w:rsidP="0057181C">
      <w:pPr>
        <w:jc w:val="both"/>
        <w:rPr>
          <w:rFonts w:ascii="Times New Roman" w:hAnsi="Times New Roman" w:cs="Times New Roman"/>
          <w:noProof/>
          <w:sz w:val="24"/>
          <w:szCs w:val="24"/>
          <w:u w:val="single"/>
          <w:lang w:val="en-GB"/>
        </w:rPr>
      </w:pPr>
      <w:r w:rsidRPr="0036474B">
        <w:rPr>
          <w:rFonts w:ascii="Times New Roman" w:hAnsi="Times New Roman" w:cs="Times New Roman"/>
          <w:noProof/>
          <w:sz w:val="24"/>
          <w:szCs w:val="24"/>
          <w:u w:val="single"/>
          <w:lang w:val="en-GB"/>
        </w:rPr>
        <w:t>Issues identified:</w:t>
      </w:r>
    </w:p>
    <w:p w14:paraId="04B21A66" w14:textId="205BFC2E" w:rsidR="0057181C" w:rsidRPr="0036474B" w:rsidRDefault="0057181C" w:rsidP="0057181C">
      <w:pPr>
        <w:pStyle w:val="ListParagraph"/>
        <w:numPr>
          <w:ilvl w:val="0"/>
          <w:numId w:val="14"/>
        </w:numPr>
        <w:spacing w:after="120" w:line="264" w:lineRule="auto"/>
        <w:ind w:left="714" w:hanging="357"/>
        <w:contextualSpacing w:val="0"/>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 xml:space="preserve">While not the default scenario, pay-outs remain a possibility for banks under SRB-remit. Under the current CMDI framework, the SRB can decide both in planning and – due to a change of circumstances – at the moment a bank is failing or likely to fail, that a bank has a negative public interest and therefore should be liquidated. A single point of entry resolution strategy for a group can also break at the point of failure and some or all of the individual entities within a group would end up in liquidation. In these cases, the financial consequences of a negative public interest assessment or a failure of the resolution strategy – implying a depositor pay-out through the DGS – will be for the national banking sector to support, even though national authorities, while involved, are not in control of the bank’s supervision or resolution planning. Inasmuch as covered deposits under SRB remit are deposits in group subsidiaries located in Member States other than the Member State of the parent institution, this risk provides an additional incentive to ringfence bank capital and liquidity at entity level, limiting the benefits of liquidity and capital pooling at group level and failing to catalyse the potential benefits of the internal market. </w:t>
      </w:r>
    </w:p>
    <w:p w14:paraId="3FAB749A" w14:textId="77777777" w:rsidR="0057181C" w:rsidRPr="0036474B" w:rsidRDefault="0057181C" w:rsidP="0057181C">
      <w:pPr>
        <w:pStyle w:val="ListParagraph"/>
        <w:numPr>
          <w:ilvl w:val="0"/>
          <w:numId w:val="14"/>
        </w:numPr>
        <w:spacing w:after="120" w:line="264" w:lineRule="auto"/>
        <w:ind w:left="714" w:hanging="357"/>
        <w:contextualSpacing w:val="0"/>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Without prejudice to internal support measures for IPS members, in case of failure, today most LSIs will be liquidated and covered deposits will be protected by way of DGS payout, preventive or alternative measures. Given the strong capital buffers in the system and the DGS super-preference, DGSs would rarely suffer material losses but they might face substantial liquidity shortfalls, as demonstrated in the ECB occasional paper</w:t>
      </w:r>
      <w:r w:rsidRPr="0036474B">
        <w:rPr>
          <w:rStyle w:val="FootnoteReference"/>
          <w:rFonts w:ascii="Times New Roman" w:eastAsia="Times New Roman" w:hAnsi="Times New Roman" w:cs="Times New Roman"/>
          <w:noProof/>
          <w:sz w:val="24"/>
          <w:szCs w:val="24"/>
          <w:lang w:val="en-GB"/>
        </w:rPr>
        <w:footnoteReference w:id="72"/>
      </w:r>
      <w:r w:rsidRPr="0036474B">
        <w:rPr>
          <w:rFonts w:ascii="Times New Roman" w:eastAsia="Times New Roman" w:hAnsi="Times New Roman" w:cs="Times New Roman"/>
          <w:noProof/>
          <w:sz w:val="24"/>
          <w:szCs w:val="24"/>
          <w:lang w:val="en-GB"/>
        </w:rPr>
        <w:t xml:space="preserve"> and highlighted by many stakeholders in the responses to the consultation.</w:t>
      </w:r>
    </w:p>
    <w:p w14:paraId="2FA4FE9B" w14:textId="03E63799" w:rsidR="0057181C" w:rsidRPr="0036474B" w:rsidRDefault="0057181C" w:rsidP="0057181C">
      <w:pPr>
        <w:pStyle w:val="ListParagraph"/>
        <w:numPr>
          <w:ilvl w:val="0"/>
          <w:numId w:val="14"/>
        </w:numPr>
        <w:spacing w:after="120" w:line="264" w:lineRule="auto"/>
        <w:ind w:left="714" w:hanging="357"/>
        <w:contextualSpacing w:val="0"/>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Other LSIs are planned for resolution by national resolution authorities. Where the resolution of an LSI requires the use of the SRF, all requirements for access to the SRF should be fulfilled and the resolution scheme should be adopted by the SRB, despite the fact that the SRB has not been in the driver’s seat for the resolution planning and setting the MREL targets for the LSI. This results in subjecting LSIs that are considered ‘too big to be liquidated’ to the same complex MREL rules and conditions for access to the SRF as SIs. This is one of the reasons for the reluctance of some NRAs to expand the scope of resolution to LSIs. This results in pushing authorities to choose national winding-up procedures and payout of covered deposits even when resolution would be more efficient and would provide better and less costly protection of deposits, even though the recent CMDI reform provides additional tools to use DGS to cover possible funding gaps to access resolution funds. The consultation also indicates that some stakeholders consider access requirements to the resolution fund too rigid for smaller banks and not sufficiently reflecting differences in size and business model, while supporting the underlying principle that shareholders and creditors should bear losses before financial safety nets are used.</w:t>
      </w:r>
    </w:p>
    <w:p w14:paraId="67C83ECC" w14:textId="77777777" w:rsidR="0057181C" w:rsidRPr="0036474B" w:rsidRDefault="0057181C" w:rsidP="0057181C">
      <w:pPr>
        <w:pStyle w:val="ListParagraph"/>
        <w:numPr>
          <w:ilvl w:val="0"/>
          <w:numId w:val="14"/>
        </w:numPr>
        <w:spacing w:after="120" w:line="264" w:lineRule="auto"/>
        <w:ind w:left="714" w:hanging="357"/>
        <w:contextualSpacing w:val="0"/>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Overall, a system in which there is a risk of misalignment between control and financial liability in case of failure and banks contribute to two different funds – one for protection of covered deposits and one for resolution – while it is clear that there is a preferred route to manage a bank’s failure with the possible use of only one of the funds – leads to overly complex arrangements and inefficiencies. This situation combined with the lack of any solidarity mechanism among financial safety nets results in the necessity to maintain higher total amount of resources in the safety nets</w:t>
      </w:r>
      <w:r w:rsidRPr="0036474B">
        <w:rPr>
          <w:rStyle w:val="FootnoteReference"/>
          <w:rFonts w:ascii="Times New Roman" w:eastAsia="Times New Roman" w:hAnsi="Times New Roman" w:cs="Times New Roman"/>
          <w:noProof/>
          <w:sz w:val="24"/>
          <w:szCs w:val="24"/>
          <w:lang w:val="en-GB"/>
        </w:rPr>
        <w:footnoteReference w:id="73"/>
      </w:r>
      <w:r w:rsidRPr="0036474B">
        <w:rPr>
          <w:rStyle w:val="FootnoteReference"/>
          <w:rFonts w:ascii="Times New Roman" w:eastAsia="Times New Roman" w:hAnsi="Times New Roman" w:cs="Times New Roman"/>
          <w:noProof/>
          <w:sz w:val="24"/>
          <w:szCs w:val="24"/>
          <w:vertAlign w:val="baseline"/>
          <w:lang w:val="en-GB"/>
        </w:rPr>
        <w:t>, and ultimately, in increased financial burden on banks.</w:t>
      </w:r>
      <w:r w:rsidRPr="0036474B">
        <w:rPr>
          <w:rFonts w:ascii="Times New Roman" w:eastAsia="Times New Roman" w:hAnsi="Times New Roman" w:cs="Times New Roman"/>
          <w:noProof/>
          <w:sz w:val="24"/>
          <w:szCs w:val="24"/>
          <w:lang w:val="en-GB"/>
        </w:rPr>
        <w:t xml:space="preserve"> </w:t>
      </w:r>
    </w:p>
    <w:p w14:paraId="3C3D35E1" w14:textId="77777777" w:rsidR="0057181C" w:rsidRPr="006F43E5" w:rsidRDefault="0057181C" w:rsidP="006F43E5">
      <w:pPr>
        <w:rPr>
          <w:rFonts w:ascii="Times New Roman" w:hAnsi="Times New Roman" w:cs="Times New Roman"/>
          <w:b/>
          <w:bCs/>
          <w:noProof/>
          <w:sz w:val="24"/>
          <w:szCs w:val="24"/>
          <w:lang w:val="en-GB"/>
        </w:rPr>
      </w:pPr>
      <w:r w:rsidRPr="006F43E5">
        <w:rPr>
          <w:rFonts w:ascii="Times New Roman" w:hAnsi="Times New Roman" w:cs="Times New Roman"/>
          <w:b/>
          <w:bCs/>
          <w:i/>
          <w:iCs/>
          <w:noProof/>
          <w:sz w:val="24"/>
          <w:szCs w:val="24"/>
          <w:lang w:val="en-GB"/>
        </w:rPr>
        <w:t>Predictability in the crisis management framework</w:t>
      </w:r>
    </w:p>
    <w:p w14:paraId="1348BC07" w14:textId="77777777" w:rsidR="0057181C" w:rsidRPr="0036474B" w:rsidRDefault="0057181C" w:rsidP="0057181C">
      <w:pPr>
        <w:jc w:val="both"/>
        <w:rPr>
          <w:rFonts w:ascii="Times New Roman" w:hAnsi="Times New Roman" w:cs="Times New Roman"/>
          <w:noProof/>
          <w:sz w:val="24"/>
          <w:szCs w:val="24"/>
          <w:lang w:val="en-GB"/>
        </w:rPr>
      </w:pPr>
      <w:r w:rsidRPr="0036474B">
        <w:rPr>
          <w:rFonts w:ascii="Times New Roman" w:hAnsi="Times New Roman" w:cs="Times New Roman"/>
          <w:noProof/>
          <w:sz w:val="24"/>
          <w:szCs w:val="24"/>
        </w:rPr>
        <w:t xml:space="preserve">To ensure an orderly management of failing banks, </w:t>
      </w:r>
      <w:r w:rsidRPr="0036474B">
        <w:rPr>
          <w:rFonts w:ascii="Times New Roman" w:hAnsi="Times New Roman" w:cs="Times New Roman"/>
          <w:noProof/>
          <w:sz w:val="24"/>
          <w:szCs w:val="24"/>
          <w:lang w:val="en-GB"/>
        </w:rPr>
        <w:t xml:space="preserve">resolution authorities are required to prepare and draft </w:t>
      </w:r>
      <w:r w:rsidRPr="0036474B">
        <w:rPr>
          <w:rFonts w:ascii="Times New Roman" w:hAnsi="Times New Roman" w:cs="Times New Roman"/>
          <w:noProof/>
          <w:sz w:val="24"/>
          <w:szCs w:val="24"/>
        </w:rPr>
        <w:t>resolution plans which detail a bank’s characteristics, determine whether it carries critical functions to the economy and identify which functions should be continued in case the bank fails. Based on this assessment, resolution authorities determine in advance whether a bank should be designated for liquidation and wound up under normal insolvency proceedings or whether the bank would need to be supported in resolution and under which preferred resolution strategy. However, on the day of a bank failure, resolution authorities may decide that it is no longer in the public interest to resolve the bank or to change the resolution strategy.</w:t>
      </w:r>
    </w:p>
    <w:p w14:paraId="6862105D" w14:textId="548C0273" w:rsidR="0057181C" w:rsidRPr="0036474B" w:rsidRDefault="0057181C" w:rsidP="0057181C">
      <w:pPr>
        <w:jc w:val="both"/>
        <w:rPr>
          <w:rFonts w:ascii="Times New Roman" w:hAnsi="Times New Roman" w:cs="Times New Roman"/>
          <w:noProof/>
          <w:sz w:val="24"/>
          <w:szCs w:val="24"/>
          <w:u w:val="single"/>
          <w:lang w:val="en-GB"/>
        </w:rPr>
      </w:pPr>
      <w:r w:rsidRPr="0036474B">
        <w:rPr>
          <w:rFonts w:ascii="Times New Roman" w:hAnsi="Times New Roman" w:cs="Times New Roman"/>
          <w:noProof/>
          <w:sz w:val="24"/>
          <w:szCs w:val="24"/>
          <w:u w:val="single"/>
          <w:lang w:val="en-GB"/>
        </w:rPr>
        <w:t>Issues identified:</w:t>
      </w:r>
    </w:p>
    <w:p w14:paraId="151AA5FE" w14:textId="26AA390C" w:rsidR="0057181C" w:rsidRDefault="0057181C" w:rsidP="0057181C">
      <w:pPr>
        <w:pStyle w:val="ListParagraph"/>
        <w:numPr>
          <w:ilvl w:val="0"/>
          <w:numId w:val="14"/>
        </w:numPr>
        <w:spacing w:after="120"/>
        <w:ind w:left="714" w:hanging="357"/>
        <w:contextualSpacing w:val="0"/>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rPr>
        <w:t xml:space="preserve">While it is essential that resolution authorities retain a certain degree of flexibility on the day of a crisis to adapt to conditions which could not have been foreseen in the resolution plan, it is also important to recognise that last-minute changes to how bank failures are managed can create significant concerns for authorities regarding the potential fallout for the local economy beyond the protection of depositors. This is in particular relevant for Single Point of Entry (SPE) group resolution plans where local authorities may be </w:t>
      </w:r>
      <w:r w:rsidR="00826CEB">
        <w:rPr>
          <w:rFonts w:ascii="Times New Roman" w:hAnsi="Times New Roman" w:cs="Times New Roman"/>
          <w:noProof/>
          <w:sz w:val="24"/>
          <w:szCs w:val="24"/>
          <w:lang w:val="en-GB"/>
        </w:rPr>
        <w:t xml:space="preserve">called </w:t>
      </w:r>
      <w:r w:rsidR="004F2925">
        <w:rPr>
          <w:rFonts w:ascii="Times New Roman" w:hAnsi="Times New Roman" w:cs="Times New Roman"/>
          <w:noProof/>
          <w:sz w:val="24"/>
          <w:szCs w:val="24"/>
          <w:lang w:val="en-GB"/>
        </w:rPr>
        <w:t>on</w:t>
      </w:r>
      <w:r w:rsidR="00826CEB" w:rsidRPr="0036474B">
        <w:rPr>
          <w:rFonts w:ascii="Times New Roman" w:hAnsi="Times New Roman" w:cs="Times New Roman"/>
          <w:noProof/>
          <w:sz w:val="24"/>
          <w:szCs w:val="24"/>
          <w:lang w:val="en-GB"/>
        </w:rPr>
        <w:t xml:space="preserve"> </w:t>
      </w:r>
      <w:r w:rsidR="004F2925" w:rsidRPr="0036474B">
        <w:rPr>
          <w:rFonts w:ascii="Times New Roman" w:hAnsi="Times New Roman" w:cs="Times New Roman"/>
          <w:noProof/>
          <w:sz w:val="24"/>
          <w:szCs w:val="24"/>
          <w:lang w:val="en-GB"/>
        </w:rPr>
        <w:t>manag</w:t>
      </w:r>
      <w:r w:rsidR="004F2925">
        <w:rPr>
          <w:rFonts w:ascii="Times New Roman" w:hAnsi="Times New Roman" w:cs="Times New Roman"/>
          <w:noProof/>
          <w:sz w:val="24"/>
          <w:szCs w:val="24"/>
          <w:lang w:val="en-GB"/>
        </w:rPr>
        <w:t>ing</w:t>
      </w:r>
      <w:r w:rsidR="004F2925" w:rsidRPr="0036474B">
        <w:rPr>
          <w:rFonts w:ascii="Times New Roman" w:hAnsi="Times New Roman" w:cs="Times New Roman"/>
          <w:noProof/>
          <w:sz w:val="24"/>
          <w:szCs w:val="24"/>
          <w:lang w:val="en-GB"/>
        </w:rPr>
        <w:t xml:space="preserve"> </w:t>
      </w:r>
      <w:r w:rsidR="004F2925">
        <w:rPr>
          <w:rFonts w:ascii="Times New Roman" w:hAnsi="Times New Roman" w:cs="Times New Roman"/>
          <w:noProof/>
          <w:sz w:val="24"/>
          <w:szCs w:val="24"/>
          <w:lang w:val="en-GB"/>
        </w:rPr>
        <w:t>the</w:t>
      </w:r>
      <w:r w:rsidRPr="0036474B">
        <w:rPr>
          <w:rFonts w:ascii="Times New Roman" w:hAnsi="Times New Roman" w:cs="Times New Roman"/>
          <w:noProof/>
          <w:sz w:val="24"/>
          <w:szCs w:val="24"/>
          <w:lang w:val="en-GB"/>
        </w:rPr>
        <w:t xml:space="preserve"> liquidation </w:t>
      </w:r>
      <w:r w:rsidR="004F2925">
        <w:rPr>
          <w:rFonts w:ascii="Times New Roman" w:hAnsi="Times New Roman" w:cs="Times New Roman"/>
          <w:noProof/>
          <w:sz w:val="24"/>
          <w:szCs w:val="24"/>
          <w:lang w:val="en-GB"/>
        </w:rPr>
        <w:t xml:space="preserve">of a subsidiary </w:t>
      </w:r>
      <w:r w:rsidRPr="0036474B">
        <w:rPr>
          <w:rFonts w:ascii="Times New Roman" w:hAnsi="Times New Roman" w:cs="Times New Roman"/>
          <w:noProof/>
          <w:sz w:val="24"/>
          <w:szCs w:val="24"/>
          <w:lang w:val="en-GB"/>
        </w:rPr>
        <w:t>without adequate planning, as this was not part of the initial resolution plan.</w:t>
      </w:r>
    </w:p>
    <w:p w14:paraId="6E6BFD6E" w14:textId="77777777" w:rsidR="00920CC4" w:rsidRPr="00920CC4" w:rsidRDefault="00920CC4" w:rsidP="00920CC4">
      <w:pPr>
        <w:spacing w:after="120"/>
        <w:jc w:val="both"/>
        <w:rPr>
          <w:rFonts w:ascii="Times New Roman" w:hAnsi="Times New Roman" w:cs="Times New Roman"/>
          <w:noProof/>
          <w:sz w:val="24"/>
          <w:szCs w:val="24"/>
          <w:lang w:val="en-GB"/>
        </w:rPr>
      </w:pPr>
    </w:p>
    <w:p w14:paraId="46C6ED2E" w14:textId="77777777" w:rsidR="0057181C" w:rsidRPr="0036474B" w:rsidRDefault="0057181C" w:rsidP="00B00C18">
      <w:pPr>
        <w:pStyle w:val="ListParagraph"/>
        <w:numPr>
          <w:ilvl w:val="2"/>
          <w:numId w:val="11"/>
        </w:numPr>
        <w:ind w:left="1077"/>
        <w:outlineLvl w:val="2"/>
        <w:rPr>
          <w:rFonts w:ascii="Times New Roman" w:hAnsi="Times New Roman" w:cs="Times New Roman"/>
          <w:b/>
          <w:bCs/>
          <w:noProof/>
          <w:sz w:val="24"/>
          <w:szCs w:val="24"/>
          <w:lang w:val="en-GB"/>
        </w:rPr>
      </w:pPr>
      <w:bookmarkStart w:id="32" w:name="_Toc234341738"/>
      <w:r w:rsidRPr="0036474B">
        <w:rPr>
          <w:rFonts w:ascii="Times New Roman" w:hAnsi="Times New Roman" w:cs="Times New Roman"/>
          <w:b/>
          <w:bCs/>
          <w:noProof/>
          <w:sz w:val="24"/>
          <w:szCs w:val="24"/>
          <w:lang w:val="en-GB"/>
        </w:rPr>
        <w:t>Liquidity in resolution</w:t>
      </w:r>
      <w:bookmarkEnd w:id="32"/>
    </w:p>
    <w:p w14:paraId="5885EA35" w14:textId="67013C15" w:rsidR="0057181C" w:rsidRPr="0036474B" w:rsidRDefault="0057181C" w:rsidP="0057181C">
      <w:pPr>
        <w:jc w:val="both"/>
        <w:rPr>
          <w:rFonts w:ascii="Times New Roman" w:eastAsia="Calibri" w:hAnsi="Times New Roman" w:cs="Arial"/>
          <w:noProof/>
          <w:kern w:val="2"/>
          <w:sz w:val="24"/>
          <w:szCs w:val="24"/>
          <w:lang w:val="en-GB"/>
          <w14:ligatures w14:val="standardContextual"/>
        </w:rPr>
      </w:pPr>
      <w:r w:rsidRPr="0036474B">
        <w:rPr>
          <w:rFonts w:ascii="Times New Roman" w:eastAsia="Calibri" w:hAnsi="Times New Roman" w:cs="Times New Roman"/>
          <w:noProof/>
          <w:kern w:val="2"/>
          <w:sz w:val="24"/>
          <w:szCs w:val="24"/>
          <w14:ligatures w14:val="standardContextual"/>
        </w:rPr>
        <w:t xml:space="preserve">The success of a resolution depends on its ability to restore market confidence and allow the resolved bank to finance itself on the market as soon as possible. Trust can be achieved through robust resolution planning, </w:t>
      </w:r>
      <w:r w:rsidR="005A4C20" w:rsidRPr="0036474B">
        <w:rPr>
          <w:rFonts w:ascii="Times New Roman" w:eastAsia="Calibri" w:hAnsi="Times New Roman" w:cs="Times New Roman"/>
          <w:noProof/>
          <w:kern w:val="2"/>
          <w:sz w:val="24"/>
          <w:szCs w:val="24"/>
          <w14:ligatures w14:val="standardContextual"/>
        </w:rPr>
        <w:t>timely failing-or-likely-to-fail declaration</w:t>
      </w:r>
      <w:r w:rsidR="005A4C20">
        <w:rPr>
          <w:rFonts w:ascii="Times New Roman" w:eastAsia="Calibri" w:hAnsi="Times New Roman" w:cs="Times New Roman"/>
          <w:noProof/>
          <w:kern w:val="2"/>
          <w:sz w:val="24"/>
          <w:szCs w:val="24"/>
          <w14:ligatures w14:val="standardContextual"/>
        </w:rPr>
        <w:t xml:space="preserve">, </w:t>
      </w:r>
      <w:r w:rsidRPr="0036474B">
        <w:rPr>
          <w:rFonts w:ascii="Times New Roman" w:eastAsia="Calibri" w:hAnsi="Times New Roman" w:cs="Times New Roman"/>
          <w:noProof/>
          <w:kern w:val="2"/>
          <w:sz w:val="24"/>
          <w:szCs w:val="24"/>
          <w14:ligatures w14:val="standardContextual"/>
        </w:rPr>
        <w:t>decisive resolution actions, including the bail-in of shareholders and creditors,</w:t>
      </w:r>
      <w:r w:rsidR="005A4C20">
        <w:rPr>
          <w:rFonts w:ascii="Times New Roman" w:eastAsia="Calibri" w:hAnsi="Times New Roman" w:cs="Times New Roman"/>
          <w:noProof/>
          <w:kern w:val="2"/>
          <w:sz w:val="24"/>
          <w:szCs w:val="24"/>
          <w14:ligatures w14:val="standardContextual"/>
        </w:rPr>
        <w:t xml:space="preserve"> the return of bank to viability</w:t>
      </w:r>
      <w:r w:rsidRPr="0036474B">
        <w:rPr>
          <w:rFonts w:ascii="Times New Roman" w:eastAsia="Calibri" w:hAnsi="Times New Roman" w:cs="Times New Roman"/>
          <w:noProof/>
          <w:kern w:val="2"/>
          <w:sz w:val="24"/>
          <w:szCs w:val="24"/>
          <w14:ligatures w14:val="standardContextual"/>
        </w:rPr>
        <w:t xml:space="preserve"> and effective communication that provides confidence to market participants (e.g. clear and credible messaging about the resolution strategy). </w:t>
      </w:r>
    </w:p>
    <w:p w14:paraId="2476CDB2" w14:textId="31EFA11E" w:rsidR="0057181C" w:rsidRPr="0036474B" w:rsidRDefault="0057181C" w:rsidP="0057181C">
      <w:pPr>
        <w:jc w:val="both"/>
        <w:rPr>
          <w:rFonts w:ascii="Times New Roman" w:eastAsia="Calibri" w:hAnsi="Times New Roman" w:cs="Times New Roman"/>
          <w:noProof/>
          <w:kern w:val="2"/>
          <w:sz w:val="24"/>
          <w:szCs w:val="24"/>
          <w14:ligatures w14:val="standardContextual"/>
        </w:rPr>
      </w:pPr>
      <w:r w:rsidRPr="0036474B">
        <w:rPr>
          <w:rFonts w:ascii="Times New Roman" w:eastAsia="Calibri" w:hAnsi="Times New Roman" w:cs="Times New Roman"/>
          <w:noProof/>
          <w:kern w:val="2"/>
          <w:sz w:val="24"/>
          <w:szCs w:val="24"/>
          <w14:ligatures w14:val="standardContextual"/>
        </w:rPr>
        <w:t>However, the exceptional nature and the potential impacts of resolution actions may raise concerns from various stakeholders, affected or not by the resolution, who may decide to stop transacting with the newly resolved bank despite the successful intervention of public authorities. As stated in the FSB 2024 resolution report</w:t>
      </w:r>
      <w:r w:rsidRPr="0036474B">
        <w:rPr>
          <w:rStyle w:val="FootnoteReference"/>
          <w:rFonts w:ascii="Times New Roman" w:eastAsia="Calibri" w:hAnsi="Times New Roman" w:cs="Times New Roman"/>
          <w:noProof/>
          <w:kern w:val="2"/>
          <w:sz w:val="24"/>
          <w:szCs w:val="24"/>
          <w14:ligatures w14:val="standardContextual"/>
        </w:rPr>
        <w:footnoteReference w:id="74"/>
      </w:r>
      <w:r w:rsidRPr="0036474B">
        <w:rPr>
          <w:rFonts w:ascii="Times New Roman" w:eastAsia="Calibri" w:hAnsi="Times New Roman" w:cs="Times New Roman"/>
          <w:noProof/>
          <w:kern w:val="2"/>
          <w:sz w:val="24"/>
          <w:szCs w:val="24"/>
          <w14:ligatures w14:val="standardContextual"/>
        </w:rPr>
        <w:t xml:space="preserve">, </w:t>
      </w:r>
      <w:r w:rsidRPr="4EB84919">
        <w:rPr>
          <w:rFonts w:ascii="Times New Roman" w:eastAsia="Calibri" w:hAnsi="Times New Roman" w:cs="Times New Roman"/>
          <w:i/>
          <w:iCs/>
          <w:noProof/>
          <w:kern w:val="2"/>
          <w:sz w:val="24"/>
          <w:szCs w:val="24"/>
          <w14:ligatures w14:val="standardContextual"/>
        </w:rPr>
        <w:t>‘[i]n the period following the commencement of a resolution process, even a recapitalised bank could experience heightened liquidity needs generated by market volatility’</w:t>
      </w:r>
      <w:r w:rsidRPr="0036474B">
        <w:rPr>
          <w:rFonts w:ascii="Times New Roman" w:eastAsia="Calibri" w:hAnsi="Times New Roman" w:cs="Times New Roman"/>
          <w:noProof/>
          <w:kern w:val="2"/>
          <w:sz w:val="24"/>
          <w:szCs w:val="24"/>
          <w14:ligatures w14:val="standardContextual"/>
        </w:rPr>
        <w:t>. In this respect, several jurisdictions have introduced facilities to deal with such challenges.</w:t>
      </w:r>
    </w:p>
    <w:p w14:paraId="7CBDE25A" w14:textId="56E789EE" w:rsidR="0057181C" w:rsidRPr="0036474B" w:rsidRDefault="0057181C" w:rsidP="0057181C">
      <w:pPr>
        <w:jc w:val="both"/>
        <w:rPr>
          <w:rFonts w:ascii="Times New Roman" w:eastAsia="Calibri" w:hAnsi="Times New Roman" w:cs="Times New Roman"/>
          <w:noProof/>
          <w:sz w:val="24"/>
          <w:szCs w:val="24"/>
          <w:u w:val="single"/>
        </w:rPr>
      </w:pPr>
      <w:r w:rsidRPr="0036474B">
        <w:rPr>
          <w:rFonts w:ascii="Times New Roman" w:eastAsia="Calibri" w:hAnsi="Times New Roman" w:cs="Times New Roman"/>
          <w:noProof/>
          <w:sz w:val="24"/>
          <w:szCs w:val="24"/>
          <w:u w:val="single"/>
        </w:rPr>
        <w:t xml:space="preserve">Issues identified: </w:t>
      </w:r>
    </w:p>
    <w:p w14:paraId="1BA19BD8" w14:textId="5104C464" w:rsidR="0057181C" w:rsidRPr="0036474B" w:rsidRDefault="0057181C" w:rsidP="000A4CC3">
      <w:pPr>
        <w:pStyle w:val="ListParagraph"/>
        <w:numPr>
          <w:ilvl w:val="0"/>
          <w:numId w:val="14"/>
        </w:numPr>
        <w:spacing w:after="120"/>
        <w:ind w:left="714" w:hanging="357"/>
        <w:contextualSpacing w:val="0"/>
        <w:jc w:val="both"/>
        <w:rPr>
          <w:rFonts w:ascii="Times New Roman" w:eastAsia="Calibri" w:hAnsi="Times New Roman" w:cs="Times New Roman"/>
          <w:noProof/>
          <w:kern w:val="2"/>
          <w:sz w:val="24"/>
          <w:szCs w:val="24"/>
          <w14:ligatures w14:val="standardContextual"/>
        </w:rPr>
      </w:pPr>
      <w:r w:rsidRPr="0036474B">
        <w:rPr>
          <w:rFonts w:ascii="Times New Roman" w:eastAsia="Calibri" w:hAnsi="Times New Roman" w:cs="Times New Roman"/>
          <w:noProof/>
          <w:sz w:val="24"/>
          <w:szCs w:val="24"/>
        </w:rPr>
        <w:t xml:space="preserve">While the various regulatory steps taken since 2008 have led to a healthier banking system overall, the tail risk of banks that are deemed </w:t>
      </w:r>
      <w:r w:rsidRPr="4EB84919">
        <w:rPr>
          <w:rFonts w:ascii="Times New Roman" w:eastAsia="Calibri" w:hAnsi="Times New Roman" w:cs="Times New Roman"/>
          <w:i/>
          <w:iCs/>
          <w:noProof/>
          <w:sz w:val="24"/>
          <w:szCs w:val="24"/>
        </w:rPr>
        <w:t xml:space="preserve">too-big-to-fail </w:t>
      </w:r>
      <w:r w:rsidRPr="0036474B">
        <w:rPr>
          <w:rFonts w:ascii="Times New Roman" w:eastAsia="Calibri" w:hAnsi="Times New Roman" w:cs="Times New Roman"/>
          <w:noProof/>
          <w:sz w:val="24"/>
          <w:szCs w:val="24"/>
        </w:rPr>
        <w:t>and whose disorderly failure can affect, directly or indirectly, the entire EU economy in similar ways as during the great financial crisis still remains due to the lack of an adequate framework for liquidity in resolution. This justifies dealing with such tail risks beforehand in a predictable manner. Potential liquidity needs of a global-systemically important bank or several medium-size banks can be particularly large, even though only needed for a short period of time before the resolved bank secures again full access to private funding after resolution. These temporary liquidity needs may largely exceed resources that could be available in the bank itself immediately after the ‘resolution weekend’ – e.g. due to the lack of assets to be pledged as collateral – or in safety nets such as the SRF and, if implemented, the ESM common backstop to the SRF. These temporary liquidity needs may only partly be mitigated by stricter measures aimed at increasing banks’ resolvability or early failing-or-likely-to-fail declarations. To protect financial stability in the EU, the introduction of effective public sector backstop mechanisms for the provision of liquidity in resolution is necessary, as recognised by the FSB</w:t>
      </w:r>
      <w:r w:rsidRPr="0036474B">
        <w:rPr>
          <w:rStyle w:val="FootnoteReference"/>
          <w:rFonts w:ascii="Times New Roman" w:eastAsia="Calibri" w:hAnsi="Times New Roman" w:cs="Times New Roman"/>
          <w:noProof/>
          <w:sz w:val="24"/>
          <w:szCs w:val="24"/>
        </w:rPr>
        <w:footnoteReference w:id="75"/>
      </w:r>
      <w:r w:rsidRPr="0036474B">
        <w:rPr>
          <w:rFonts w:ascii="Times New Roman" w:eastAsia="Calibri" w:hAnsi="Times New Roman" w:cs="Times New Roman"/>
          <w:noProof/>
          <w:sz w:val="24"/>
          <w:szCs w:val="24"/>
        </w:rPr>
        <w:t xml:space="preserve">. </w:t>
      </w:r>
    </w:p>
    <w:p w14:paraId="21E47EC5" w14:textId="77777777" w:rsidR="0057181C" w:rsidRPr="0036474B" w:rsidRDefault="0057181C" w:rsidP="0057181C">
      <w:pPr>
        <w:spacing w:after="120"/>
        <w:jc w:val="both"/>
        <w:rPr>
          <w:rFonts w:ascii="Times New Roman" w:eastAsia="Calibri" w:hAnsi="Times New Roman" w:cs="Times New Roman"/>
          <w:noProof/>
          <w:kern w:val="2"/>
          <w:sz w:val="24"/>
          <w:szCs w:val="24"/>
          <w14:ligatures w14:val="standardContextual"/>
        </w:rPr>
      </w:pPr>
      <w:r w:rsidRPr="0036474B">
        <w:rPr>
          <w:rFonts w:ascii="Times New Roman" w:eastAsia="Calibri" w:hAnsi="Times New Roman" w:cs="Times New Roman"/>
          <w:noProof/>
          <w:kern w:val="2"/>
          <w:sz w:val="24"/>
          <w:szCs w:val="24"/>
          <w14:ligatures w14:val="standardContextual"/>
        </w:rPr>
        <w:t xml:space="preserve">In the Banking Union, and in absence of a European mechanism, the temporary provision of emergency liquidity assistance (ELA), provided by and at the discretion of the respective euro area national central bank (NCB) to a solvent bank, has historically been used to provide liquidity. This has usually required the use of national guarantees to ensure that the ELA is provided against adequate collateral. This approach as, however, drawbacks. </w:t>
      </w:r>
    </w:p>
    <w:p w14:paraId="55E0021D" w14:textId="3EEF1345" w:rsidR="0057181C" w:rsidRPr="0036474B" w:rsidRDefault="0057181C" w:rsidP="0057181C">
      <w:pPr>
        <w:numPr>
          <w:ilvl w:val="0"/>
          <w:numId w:val="27"/>
        </w:numPr>
        <w:spacing w:after="120"/>
        <w:ind w:left="714" w:hanging="357"/>
        <w:jc w:val="both"/>
        <w:rPr>
          <w:rFonts w:ascii="Times New Roman" w:eastAsia="Calibri" w:hAnsi="Times New Roman" w:cs="Times New Roman"/>
          <w:noProof/>
          <w:kern w:val="2"/>
          <w:sz w:val="24"/>
          <w:szCs w:val="24"/>
          <w14:ligatures w14:val="standardContextual"/>
        </w:rPr>
      </w:pPr>
      <w:r w:rsidRPr="0036474B">
        <w:rPr>
          <w:rFonts w:ascii="Times New Roman" w:eastAsia="Calibri" w:hAnsi="Times New Roman" w:cs="Times New Roman"/>
          <w:noProof/>
          <w:kern w:val="2"/>
          <w:sz w:val="24"/>
          <w:szCs w:val="24"/>
          <w14:ligatures w14:val="standardContextual"/>
        </w:rPr>
        <w:t xml:space="preserve">All losses are national. Whether directly as of guarantees or indirectly as of recapitalising the respective NCB(s), any losses incurred by the provision of liquidity due to a bank’s default are attributed to the individual Member State. Under such a system, there is no possibility to ensure that public support is fully repaid by contributions from all BU banks. </w:t>
      </w:r>
    </w:p>
    <w:p w14:paraId="0DBDF55E" w14:textId="74C3259D" w:rsidR="0057181C" w:rsidRPr="0036474B" w:rsidRDefault="0057181C" w:rsidP="0057181C">
      <w:pPr>
        <w:numPr>
          <w:ilvl w:val="0"/>
          <w:numId w:val="27"/>
        </w:numPr>
        <w:spacing w:after="120"/>
        <w:ind w:left="714" w:hanging="357"/>
        <w:jc w:val="both"/>
        <w:rPr>
          <w:rFonts w:ascii="Times New Roman" w:eastAsia="Calibri" w:hAnsi="Times New Roman" w:cs="Times New Roman"/>
          <w:noProof/>
          <w:kern w:val="2"/>
          <w:sz w:val="24"/>
          <w:szCs w:val="24"/>
          <w14:ligatures w14:val="standardContextual"/>
        </w:rPr>
      </w:pPr>
      <w:r w:rsidRPr="0036474B">
        <w:rPr>
          <w:rFonts w:ascii="Times New Roman" w:eastAsia="Calibri" w:hAnsi="Times New Roman" w:cs="Times New Roman"/>
          <w:noProof/>
          <w:kern w:val="2"/>
          <w:sz w:val="24"/>
          <w:szCs w:val="24"/>
          <w14:ligatures w14:val="standardContextual"/>
        </w:rPr>
        <w:t>Such transmission of bank risks to the sovereign with no mitigation or repayments has potentially negative implications for the sovereign financing, reinforcing the bank-sovereign nexus that BU reforms had intended to help weaken.</w:t>
      </w:r>
    </w:p>
    <w:p w14:paraId="4B7AE107" w14:textId="7D86F948" w:rsidR="0057181C" w:rsidRPr="0036474B" w:rsidRDefault="0057181C" w:rsidP="0057181C">
      <w:pPr>
        <w:numPr>
          <w:ilvl w:val="0"/>
          <w:numId w:val="27"/>
        </w:numPr>
        <w:spacing w:after="120"/>
        <w:ind w:left="714" w:hanging="357"/>
        <w:jc w:val="both"/>
        <w:rPr>
          <w:rFonts w:ascii="Times New Roman" w:eastAsia="Calibri" w:hAnsi="Times New Roman" w:cs="Times New Roman"/>
          <w:noProof/>
          <w:kern w:val="2"/>
          <w:sz w:val="24"/>
          <w:szCs w:val="24"/>
          <w14:ligatures w14:val="standardContextual"/>
        </w:rPr>
      </w:pPr>
      <w:r w:rsidRPr="0036474B">
        <w:rPr>
          <w:rFonts w:ascii="Times New Roman" w:eastAsia="Calibri" w:hAnsi="Times New Roman" w:cs="Times New Roman"/>
          <w:noProof/>
          <w:sz w:val="24"/>
          <w:szCs w:val="24"/>
        </w:rPr>
        <w:t>The national specific approach goes against the design of the BU and is incompatible with the institutional architecture of the BU, where the responsibility for the supervision and the resolution of</w:t>
      </w:r>
      <w:r w:rsidRPr="0036474B">
        <w:rPr>
          <w:rFonts w:ascii="Times New Roman" w:eastAsia="Calibri" w:hAnsi="Times New Roman" w:cs="Arial"/>
          <w:noProof/>
          <w:sz w:val="24"/>
          <w:szCs w:val="24"/>
        </w:rPr>
        <w:t xml:space="preserve"> significant </w:t>
      </w:r>
      <w:r w:rsidRPr="0036474B">
        <w:rPr>
          <w:rFonts w:ascii="Times New Roman" w:eastAsia="Calibri" w:hAnsi="Times New Roman" w:cs="Times New Roman"/>
          <w:noProof/>
          <w:sz w:val="24"/>
          <w:szCs w:val="24"/>
        </w:rPr>
        <w:t>institutions has been allocated to the European level.</w:t>
      </w:r>
    </w:p>
    <w:p w14:paraId="4417A721" w14:textId="77777777" w:rsidR="0057181C" w:rsidRPr="0036474B" w:rsidRDefault="0057181C" w:rsidP="0057181C">
      <w:pPr>
        <w:spacing w:after="120"/>
        <w:jc w:val="both"/>
        <w:rPr>
          <w:rFonts w:ascii="Times New Roman" w:eastAsia="Calibri" w:hAnsi="Times New Roman" w:cs="Times New Roman"/>
          <w:noProof/>
          <w:sz w:val="24"/>
          <w:szCs w:val="24"/>
        </w:rPr>
      </w:pPr>
      <w:r w:rsidRPr="0036474B">
        <w:rPr>
          <w:rFonts w:ascii="Times New Roman" w:eastAsia="Calibri" w:hAnsi="Times New Roman" w:cs="Times New Roman"/>
          <w:noProof/>
          <w:sz w:val="24"/>
          <w:szCs w:val="24"/>
        </w:rPr>
        <w:t>Responses to the targeted consultation also show that various market participants consider that the discretionary nature of ELA creates uncertainty on the success of the resolution, requiring them to guess authorities’ reactions and increasing chances of a self-fulfilling liquidity crisis.</w:t>
      </w:r>
    </w:p>
    <w:p w14:paraId="5A7371CE" w14:textId="77777777" w:rsidR="0057181C" w:rsidRPr="0036474B" w:rsidRDefault="0057181C" w:rsidP="0057181C">
      <w:pPr>
        <w:jc w:val="both"/>
        <w:rPr>
          <w:rFonts w:ascii="Times New Roman" w:eastAsia="Calibri" w:hAnsi="Times New Roman" w:cs="Times New Roman"/>
          <w:noProof/>
          <w:kern w:val="2"/>
          <w:sz w:val="24"/>
          <w:szCs w:val="24"/>
          <w14:ligatures w14:val="standardContextual"/>
        </w:rPr>
      </w:pPr>
      <w:r w:rsidRPr="0036474B">
        <w:rPr>
          <w:rFonts w:ascii="Times New Roman" w:eastAsia="Calibri" w:hAnsi="Times New Roman" w:cs="Times New Roman"/>
          <w:noProof/>
          <w:kern w:val="2"/>
          <w:sz w:val="24"/>
          <w:szCs w:val="24"/>
          <w14:ligatures w14:val="standardContextual"/>
        </w:rPr>
        <w:t xml:space="preserve">The lack of an adequate European mechanism results in persistent gaps in the crisis management framework that undermine credibility and trust in the ability of the Banking Union to deal with the failure of large banks in an orderly way. This uncertainty also creates risks for national budgets, the EU economy and the financing of the EU priorities. </w:t>
      </w:r>
    </w:p>
    <w:p w14:paraId="19E1DD5B" w14:textId="1ED8D543" w:rsidR="0057181C" w:rsidRPr="0036474B" w:rsidRDefault="00E82382" w:rsidP="0057181C">
      <w:pPr>
        <w:jc w:val="both"/>
        <w:rPr>
          <w:rFonts w:ascii="Times New Roman" w:hAnsi="Times New Roman" w:cs="Times New Roman"/>
          <w:noProof/>
          <w:sz w:val="24"/>
          <w:szCs w:val="24"/>
        </w:rPr>
      </w:pPr>
      <w:r>
        <w:rPr>
          <w:rFonts w:ascii="Times New Roman" w:hAnsi="Times New Roman" w:cs="Times New Roman"/>
          <w:noProof/>
          <w:sz w:val="24"/>
          <w:szCs w:val="24"/>
        </w:rPr>
        <w:t>The vast majority</w:t>
      </w:r>
      <w:r w:rsidR="0057181C" w:rsidRPr="0036474B">
        <w:rPr>
          <w:rFonts w:ascii="Times New Roman" w:hAnsi="Times New Roman" w:cs="Times New Roman"/>
          <w:noProof/>
          <w:sz w:val="24"/>
          <w:szCs w:val="24"/>
        </w:rPr>
        <w:t xml:space="preserve"> of respondents to the consultation would support a more transparent and predictable European mechanism ensuring the provision of liquidity in resolution as a key tool </w:t>
      </w:r>
      <w:r>
        <w:rPr>
          <w:rFonts w:ascii="Times New Roman" w:hAnsi="Times New Roman" w:cs="Times New Roman"/>
          <w:noProof/>
          <w:sz w:val="24"/>
          <w:szCs w:val="24"/>
        </w:rPr>
        <w:t xml:space="preserve">to </w:t>
      </w:r>
      <w:r w:rsidR="0057181C" w:rsidRPr="0036474B">
        <w:rPr>
          <w:rFonts w:ascii="Times New Roman" w:hAnsi="Times New Roman" w:cs="Times New Roman"/>
          <w:noProof/>
          <w:sz w:val="24"/>
          <w:szCs w:val="24"/>
        </w:rPr>
        <w:t>strengthen the effectiveness and credibility of the European crisis management framework.</w:t>
      </w:r>
    </w:p>
    <w:p w14:paraId="08F5A6A8" w14:textId="77777777" w:rsidR="0057181C" w:rsidRDefault="0057181C" w:rsidP="0057181C">
      <w:pPr>
        <w:jc w:val="both"/>
        <w:rPr>
          <w:rFonts w:ascii="Times New Roman" w:hAnsi="Times New Roman" w:cs="Times New Roman"/>
          <w:noProof/>
          <w:sz w:val="24"/>
          <w:szCs w:val="24"/>
        </w:rPr>
      </w:pPr>
      <w:r w:rsidRPr="0036474B">
        <w:rPr>
          <w:rFonts w:ascii="Times New Roman" w:hAnsi="Times New Roman" w:cs="Times New Roman"/>
          <w:noProof/>
          <w:sz w:val="24"/>
          <w:szCs w:val="24"/>
        </w:rPr>
        <w:t>Addressing this issue would greatly contribute to strengthening financial stability in the Banking Union, and more largely in the EU. In addition, by providing adequate means to stabilise the financial situation of a parent entity within a group, a robust mechanism for liquidity in resolution can also help mitigate concerns about the impact of measures supporting a more efficient cross-border allocation of funds within banking groups as the probability that a parent could not support its own subsidiary due to lack of available liquidity would be greatly minimised. Progress on the issue of liquidity in resolution is therefore closely linked to the ability to improve market integration and simplify the regulatory framework.</w:t>
      </w:r>
    </w:p>
    <w:p w14:paraId="07CF83D0" w14:textId="77777777" w:rsidR="00920CC4" w:rsidRPr="0036474B" w:rsidRDefault="00920CC4" w:rsidP="0057181C">
      <w:pPr>
        <w:jc w:val="both"/>
        <w:rPr>
          <w:rFonts w:ascii="Times New Roman" w:hAnsi="Times New Roman" w:cs="Times New Roman"/>
          <w:noProof/>
          <w:sz w:val="24"/>
          <w:szCs w:val="24"/>
        </w:rPr>
      </w:pPr>
    </w:p>
    <w:p w14:paraId="6DA92DC8" w14:textId="7CB3D4F4" w:rsidR="00203C71" w:rsidRPr="009C5961" w:rsidRDefault="00FE292D" w:rsidP="00DF4737">
      <w:pPr>
        <w:pStyle w:val="ListParagraph"/>
        <w:numPr>
          <w:ilvl w:val="1"/>
          <w:numId w:val="11"/>
        </w:numPr>
        <w:spacing w:after="120"/>
        <w:ind w:left="1077"/>
        <w:contextualSpacing w:val="0"/>
        <w:outlineLvl w:val="1"/>
        <w:rPr>
          <w:rFonts w:ascii="Times New Roman" w:hAnsi="Times New Roman" w:cs="Times New Roman"/>
          <w:b/>
          <w:noProof/>
          <w:sz w:val="24"/>
          <w:szCs w:val="24"/>
          <w:lang w:val="en-GB"/>
        </w:rPr>
      </w:pPr>
      <w:bookmarkStart w:id="33" w:name="_Toc234341739"/>
      <w:r w:rsidRPr="009C5961">
        <w:rPr>
          <w:rFonts w:ascii="Times New Roman" w:hAnsi="Times New Roman" w:cs="Times New Roman"/>
          <w:b/>
          <w:noProof/>
          <w:sz w:val="24"/>
          <w:szCs w:val="24"/>
          <w:lang w:val="en-GB"/>
        </w:rPr>
        <w:t>I</w:t>
      </w:r>
      <w:r w:rsidR="0057648E" w:rsidRPr="009C5961">
        <w:rPr>
          <w:rFonts w:ascii="Times New Roman" w:hAnsi="Times New Roman" w:cs="Times New Roman"/>
          <w:b/>
          <w:noProof/>
          <w:sz w:val="24"/>
          <w:szCs w:val="24"/>
          <w:lang w:val="en-GB"/>
        </w:rPr>
        <w:t>mplementation of international standards in the EU</w:t>
      </w:r>
      <w:r w:rsidRPr="009C5961">
        <w:rPr>
          <w:rFonts w:ascii="Times New Roman" w:hAnsi="Times New Roman" w:cs="Times New Roman"/>
          <w:b/>
          <w:noProof/>
          <w:sz w:val="24"/>
          <w:szCs w:val="24"/>
          <w:lang w:val="en-GB"/>
        </w:rPr>
        <w:t xml:space="preserve"> – </w:t>
      </w:r>
      <w:r w:rsidR="005D6C1A">
        <w:rPr>
          <w:rFonts w:ascii="Times New Roman" w:hAnsi="Times New Roman" w:cs="Times New Roman"/>
          <w:b/>
          <w:noProof/>
          <w:sz w:val="24"/>
          <w:szCs w:val="24"/>
          <w:lang w:val="en-GB"/>
        </w:rPr>
        <w:t>Main</w:t>
      </w:r>
      <w:r w:rsidR="005D6C1A" w:rsidRPr="009C5961">
        <w:rPr>
          <w:rFonts w:ascii="Times New Roman" w:hAnsi="Times New Roman" w:cs="Times New Roman"/>
          <w:b/>
          <w:noProof/>
          <w:sz w:val="24"/>
          <w:szCs w:val="24"/>
          <w:lang w:val="en-GB"/>
        </w:rPr>
        <w:t xml:space="preserve"> </w:t>
      </w:r>
      <w:r w:rsidRPr="009C5961">
        <w:rPr>
          <w:rFonts w:ascii="Times New Roman" w:hAnsi="Times New Roman" w:cs="Times New Roman"/>
          <w:b/>
          <w:noProof/>
          <w:sz w:val="24"/>
          <w:szCs w:val="24"/>
          <w:lang w:val="en-GB"/>
        </w:rPr>
        <w:t>issues</w:t>
      </w:r>
      <w:bookmarkEnd w:id="33"/>
    </w:p>
    <w:p w14:paraId="55443705" w14:textId="3C367511" w:rsidR="00001ABA" w:rsidRPr="0036474B" w:rsidRDefault="00001ABA" w:rsidP="00B00C18">
      <w:pPr>
        <w:pStyle w:val="ListParagraph"/>
        <w:numPr>
          <w:ilvl w:val="2"/>
          <w:numId w:val="11"/>
        </w:numPr>
        <w:ind w:left="1077"/>
        <w:outlineLvl w:val="2"/>
        <w:rPr>
          <w:rFonts w:ascii="Times New Roman" w:hAnsi="Times New Roman" w:cs="Times New Roman"/>
          <w:b/>
          <w:bCs/>
          <w:noProof/>
          <w:sz w:val="24"/>
          <w:szCs w:val="24"/>
          <w:lang w:val="en-GB"/>
        </w:rPr>
      </w:pPr>
      <w:bookmarkStart w:id="34" w:name="_Toc234341740"/>
      <w:r w:rsidRPr="0036474B">
        <w:rPr>
          <w:rFonts w:ascii="Times New Roman" w:hAnsi="Times New Roman" w:cs="Times New Roman"/>
          <w:b/>
          <w:noProof/>
          <w:sz w:val="24"/>
          <w:szCs w:val="24"/>
          <w:lang w:val="en-GB"/>
        </w:rPr>
        <w:t>Output floor</w:t>
      </w:r>
      <w:bookmarkEnd w:id="34"/>
    </w:p>
    <w:p w14:paraId="34FF946F" w14:textId="00ED65BF" w:rsidR="00001ABA" w:rsidRPr="0036474B" w:rsidRDefault="00001ABA" w:rsidP="00C17A12">
      <w:pPr>
        <w:spacing w:line="276" w:lineRule="auto"/>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The output floor is one of the elements of Basel III, agreed in Decemb</w:t>
      </w:r>
      <w:r w:rsidR="11DD0571" w:rsidRPr="5B8FDCA7">
        <w:rPr>
          <w:rFonts w:ascii="Times New Roman" w:eastAsia="Times New Roman" w:hAnsi="Times New Roman" w:cs="Times New Roman"/>
          <w:noProof/>
          <w:sz w:val="24"/>
          <w:szCs w:val="24"/>
          <w:lang w:val="en-GB"/>
        </w:rPr>
        <w:t>er</w:t>
      </w:r>
      <w:r w:rsidRPr="0036474B">
        <w:rPr>
          <w:rFonts w:ascii="Times New Roman" w:eastAsia="Times New Roman" w:hAnsi="Times New Roman" w:cs="Times New Roman"/>
          <w:noProof/>
          <w:sz w:val="24"/>
          <w:szCs w:val="24"/>
          <w:lang w:val="en-GB"/>
        </w:rPr>
        <w:t xml:space="preserve"> 2017. It is a measure that sets a lower limit (</w:t>
      </w:r>
      <w:r w:rsidR="002B5BC9" w:rsidRPr="0036474B">
        <w:rPr>
          <w:rFonts w:ascii="Times New Roman" w:eastAsia="Times New Roman" w:hAnsi="Times New Roman" w:cs="Times New Roman"/>
          <w:noProof/>
          <w:sz w:val="24"/>
          <w:szCs w:val="24"/>
          <w:lang w:val="en-GB"/>
        </w:rPr>
        <w:t>‘</w:t>
      </w:r>
      <w:r w:rsidRPr="0036474B">
        <w:rPr>
          <w:rFonts w:ascii="Times New Roman" w:eastAsia="Times New Roman" w:hAnsi="Times New Roman" w:cs="Times New Roman"/>
          <w:noProof/>
          <w:sz w:val="24"/>
          <w:szCs w:val="24"/>
          <w:lang w:val="en-GB"/>
        </w:rPr>
        <w:t>floor</w:t>
      </w:r>
      <w:r w:rsidR="002B5BC9" w:rsidRPr="0036474B">
        <w:rPr>
          <w:rFonts w:ascii="Times New Roman" w:eastAsia="Times New Roman" w:hAnsi="Times New Roman" w:cs="Times New Roman"/>
          <w:noProof/>
          <w:sz w:val="24"/>
          <w:szCs w:val="24"/>
          <w:lang w:val="en-GB"/>
        </w:rPr>
        <w:t>’</w:t>
      </w:r>
      <w:r w:rsidRPr="0036474B">
        <w:rPr>
          <w:rFonts w:ascii="Times New Roman" w:eastAsia="Times New Roman" w:hAnsi="Times New Roman" w:cs="Times New Roman"/>
          <w:noProof/>
          <w:sz w:val="24"/>
          <w:szCs w:val="24"/>
          <w:lang w:val="en-GB"/>
        </w:rPr>
        <w:t>) on the capital requirements that banks calculate when using their internal models (</w:t>
      </w:r>
      <w:r w:rsidR="002B5BC9" w:rsidRPr="0036474B">
        <w:rPr>
          <w:rFonts w:ascii="Times New Roman" w:eastAsia="Times New Roman" w:hAnsi="Times New Roman" w:cs="Times New Roman"/>
          <w:noProof/>
          <w:sz w:val="24"/>
          <w:szCs w:val="24"/>
          <w:lang w:val="en-GB"/>
        </w:rPr>
        <w:t>‘</w:t>
      </w:r>
      <w:r w:rsidRPr="0036474B">
        <w:rPr>
          <w:rFonts w:ascii="Times New Roman" w:eastAsia="Times New Roman" w:hAnsi="Times New Roman" w:cs="Times New Roman"/>
          <w:noProof/>
          <w:sz w:val="24"/>
          <w:szCs w:val="24"/>
          <w:lang w:val="en-GB"/>
        </w:rPr>
        <w:t>output). In practice, the output floor acts as a backstop for the internal model approaches on the basis of the standardised approaches of the Basel standards.</w:t>
      </w:r>
    </w:p>
    <w:p w14:paraId="4BEE2317" w14:textId="0087FBC0" w:rsidR="00001ABA" w:rsidRPr="0036474B" w:rsidRDefault="00001ABA" w:rsidP="00C17A12">
      <w:pPr>
        <w:spacing w:line="276" w:lineRule="auto"/>
        <w:jc w:val="both"/>
        <w:rPr>
          <w:rFonts w:ascii="Times New Roman" w:eastAsia="Times New Roman" w:hAnsi="Times New Roman" w:cs="Times New Roman"/>
          <w:noProof/>
          <w:sz w:val="24"/>
          <w:szCs w:val="24"/>
        </w:rPr>
      </w:pPr>
      <w:r w:rsidRPr="0036474B">
        <w:rPr>
          <w:rFonts w:ascii="Times New Roman" w:eastAsia="Times New Roman" w:hAnsi="Times New Roman" w:cs="Times New Roman"/>
          <w:noProof/>
          <w:sz w:val="24"/>
          <w:szCs w:val="24"/>
        </w:rPr>
        <w:t>The output floor impacts specifically the computation of the own funds</w:t>
      </w:r>
      <w:r w:rsidR="005E0CA7">
        <w:rPr>
          <w:rFonts w:ascii="Times New Roman" w:eastAsia="Times New Roman" w:hAnsi="Times New Roman" w:cs="Times New Roman"/>
          <w:noProof/>
          <w:sz w:val="24"/>
          <w:szCs w:val="24"/>
        </w:rPr>
        <w:t>’</w:t>
      </w:r>
      <w:r w:rsidRPr="0036474B">
        <w:rPr>
          <w:rFonts w:ascii="Times New Roman" w:eastAsia="Times New Roman" w:hAnsi="Times New Roman" w:cs="Times New Roman"/>
          <w:noProof/>
          <w:sz w:val="24"/>
          <w:szCs w:val="24"/>
        </w:rPr>
        <w:t xml:space="preserve"> requirements for credit risk and for market risk, where institutions are still allowed to use internal model approaches. One of the criticisms against the output floor is that it compares the risk weights determined</w:t>
      </w:r>
      <w:r w:rsidRPr="0036474B" w:rsidDel="00525ECA">
        <w:rPr>
          <w:rFonts w:ascii="Times New Roman" w:eastAsia="Times New Roman" w:hAnsi="Times New Roman" w:cs="Times New Roman"/>
          <w:noProof/>
          <w:sz w:val="24"/>
          <w:szCs w:val="24"/>
        </w:rPr>
        <w:t xml:space="preserve"> </w:t>
      </w:r>
      <w:r w:rsidRPr="0036474B">
        <w:rPr>
          <w:rFonts w:ascii="Times New Roman" w:eastAsia="Times New Roman" w:hAnsi="Times New Roman" w:cs="Times New Roman"/>
          <w:noProof/>
          <w:sz w:val="24"/>
          <w:szCs w:val="24"/>
        </w:rPr>
        <w:t>by internal models,</w:t>
      </w:r>
      <w:r w:rsidRPr="0036474B" w:rsidDel="00D82636">
        <w:rPr>
          <w:rFonts w:ascii="Times New Roman" w:eastAsia="Times New Roman" w:hAnsi="Times New Roman" w:cs="Times New Roman"/>
          <w:noProof/>
          <w:sz w:val="24"/>
          <w:szCs w:val="24"/>
        </w:rPr>
        <w:t xml:space="preserve"> </w:t>
      </w:r>
      <w:r w:rsidRPr="0036474B">
        <w:rPr>
          <w:rFonts w:ascii="Times New Roman" w:eastAsia="Times New Roman" w:hAnsi="Times New Roman" w:cs="Times New Roman"/>
          <w:noProof/>
          <w:sz w:val="24"/>
          <w:szCs w:val="24"/>
        </w:rPr>
        <w:t>developed by banks on the basis of their real-life observations (e.g. on</w:t>
      </w:r>
      <w:r w:rsidRPr="0036474B" w:rsidDel="007976E8">
        <w:rPr>
          <w:rFonts w:ascii="Times New Roman" w:eastAsia="Times New Roman" w:hAnsi="Times New Roman" w:cs="Times New Roman"/>
          <w:noProof/>
          <w:sz w:val="24"/>
          <w:szCs w:val="24"/>
        </w:rPr>
        <w:t xml:space="preserve"> </w:t>
      </w:r>
      <w:r w:rsidRPr="0036474B">
        <w:rPr>
          <w:rFonts w:ascii="Times New Roman" w:eastAsia="Times New Roman" w:hAnsi="Times New Roman" w:cs="Times New Roman"/>
          <w:noProof/>
          <w:sz w:val="24"/>
          <w:szCs w:val="24"/>
        </w:rPr>
        <w:t xml:space="preserve">default data), using modelling techniques that are authorised and supervised by competent authorities, to the risk weights of the standardised approaches calibrated by the BCBS using US data only, whereas EU and US banking intermediation activities have structural differences in products, markets and clients. </w:t>
      </w:r>
      <w:r w:rsidR="00FE4E8E">
        <w:rPr>
          <w:rFonts w:ascii="Times New Roman" w:eastAsia="Times New Roman" w:hAnsi="Times New Roman" w:cs="Times New Roman"/>
          <w:noProof/>
          <w:sz w:val="24"/>
          <w:szCs w:val="24"/>
        </w:rPr>
        <w:t xml:space="preserve">Another key criticism is </w:t>
      </w:r>
      <w:r w:rsidR="00343CD9">
        <w:rPr>
          <w:rFonts w:ascii="Times New Roman" w:eastAsia="Times New Roman" w:hAnsi="Times New Roman" w:cs="Times New Roman"/>
          <w:noProof/>
          <w:sz w:val="24"/>
          <w:szCs w:val="24"/>
        </w:rPr>
        <w:t xml:space="preserve">related to </w:t>
      </w:r>
      <w:r w:rsidR="00EF483F">
        <w:rPr>
          <w:rFonts w:ascii="Times New Roman" w:eastAsia="Times New Roman" w:hAnsi="Times New Roman" w:cs="Times New Roman"/>
          <w:noProof/>
          <w:sz w:val="24"/>
          <w:szCs w:val="24"/>
        </w:rPr>
        <w:t>the fact that its</w:t>
      </w:r>
      <w:r w:rsidR="00343CD9">
        <w:rPr>
          <w:rFonts w:ascii="Times New Roman" w:eastAsia="Times New Roman" w:hAnsi="Times New Roman" w:cs="Times New Roman"/>
          <w:noProof/>
          <w:sz w:val="24"/>
          <w:szCs w:val="24"/>
        </w:rPr>
        <w:t xml:space="preserve"> </w:t>
      </w:r>
      <w:r w:rsidR="0059301D">
        <w:rPr>
          <w:rFonts w:ascii="Times New Roman" w:eastAsia="Times New Roman" w:hAnsi="Times New Roman" w:cs="Times New Roman"/>
          <w:noProof/>
          <w:sz w:val="24"/>
          <w:szCs w:val="24"/>
        </w:rPr>
        <w:t xml:space="preserve">calibration at 72.5% </w:t>
      </w:r>
      <w:r w:rsidR="008F7B1F">
        <w:rPr>
          <w:rFonts w:ascii="Times New Roman" w:eastAsia="Times New Roman" w:hAnsi="Times New Roman" w:cs="Times New Roman"/>
          <w:noProof/>
          <w:sz w:val="24"/>
          <w:szCs w:val="24"/>
        </w:rPr>
        <w:t xml:space="preserve">may </w:t>
      </w:r>
      <w:r w:rsidR="0000350C">
        <w:rPr>
          <w:rFonts w:ascii="Times New Roman" w:eastAsia="Times New Roman" w:hAnsi="Times New Roman" w:cs="Times New Roman"/>
          <w:noProof/>
          <w:sz w:val="24"/>
          <w:szCs w:val="24"/>
        </w:rPr>
        <w:t xml:space="preserve">make the output floor </w:t>
      </w:r>
      <w:r w:rsidR="008F5377">
        <w:rPr>
          <w:rFonts w:ascii="Times New Roman" w:eastAsia="Times New Roman" w:hAnsi="Times New Roman" w:cs="Times New Roman"/>
          <w:noProof/>
          <w:sz w:val="24"/>
          <w:szCs w:val="24"/>
        </w:rPr>
        <w:t>binding</w:t>
      </w:r>
      <w:r w:rsidR="00DF0D38">
        <w:rPr>
          <w:rFonts w:ascii="Times New Roman" w:eastAsia="Times New Roman" w:hAnsi="Times New Roman" w:cs="Times New Roman"/>
          <w:noProof/>
          <w:sz w:val="24"/>
          <w:szCs w:val="24"/>
        </w:rPr>
        <w:t xml:space="preserve"> in a too high number of cases</w:t>
      </w:r>
      <w:r w:rsidR="008F5377">
        <w:rPr>
          <w:rFonts w:ascii="Times New Roman" w:eastAsia="Times New Roman" w:hAnsi="Times New Roman" w:cs="Times New Roman"/>
          <w:noProof/>
          <w:sz w:val="24"/>
          <w:szCs w:val="24"/>
        </w:rPr>
        <w:t>, with detrimental effects on risk sensitivity</w:t>
      </w:r>
      <w:r w:rsidR="00964DEC">
        <w:rPr>
          <w:rFonts w:ascii="Times New Roman" w:eastAsia="Times New Roman" w:hAnsi="Times New Roman" w:cs="Times New Roman"/>
          <w:noProof/>
          <w:sz w:val="24"/>
          <w:szCs w:val="24"/>
        </w:rPr>
        <w:t xml:space="preserve">. </w:t>
      </w:r>
      <w:r w:rsidR="00583992">
        <w:rPr>
          <w:rFonts w:ascii="Times New Roman" w:eastAsia="Times New Roman" w:hAnsi="Times New Roman" w:cs="Times New Roman"/>
          <w:noProof/>
          <w:sz w:val="24"/>
          <w:szCs w:val="24"/>
        </w:rPr>
        <w:t xml:space="preserve">In the EU, internal models of banks have undergone a decade of supervisory </w:t>
      </w:r>
      <w:r w:rsidR="6316E26A" w:rsidRPr="0EDCBF3E">
        <w:rPr>
          <w:rFonts w:ascii="Times New Roman" w:eastAsia="Times New Roman" w:hAnsi="Times New Roman" w:cs="Times New Roman"/>
          <w:noProof/>
          <w:sz w:val="24"/>
          <w:szCs w:val="24"/>
        </w:rPr>
        <w:t>scrutiny</w:t>
      </w:r>
      <w:r w:rsidR="00583992">
        <w:rPr>
          <w:rFonts w:ascii="Times New Roman" w:eastAsia="Times New Roman" w:hAnsi="Times New Roman" w:cs="Times New Roman"/>
          <w:noProof/>
          <w:sz w:val="24"/>
          <w:szCs w:val="24"/>
        </w:rPr>
        <w:t xml:space="preserve"> and are </w:t>
      </w:r>
      <w:r w:rsidR="00BE3250">
        <w:rPr>
          <w:rFonts w:ascii="Times New Roman" w:eastAsia="Times New Roman" w:hAnsi="Times New Roman" w:cs="Times New Roman"/>
          <w:noProof/>
          <w:sz w:val="24"/>
          <w:szCs w:val="24"/>
        </w:rPr>
        <w:t xml:space="preserve">supervised on an ongoing basis. </w:t>
      </w:r>
      <w:r w:rsidR="002603DE">
        <w:rPr>
          <w:rFonts w:ascii="Times New Roman" w:eastAsia="Times New Roman" w:hAnsi="Times New Roman" w:cs="Times New Roman"/>
          <w:noProof/>
          <w:sz w:val="24"/>
          <w:szCs w:val="24"/>
        </w:rPr>
        <w:t xml:space="preserve">Examples of such supervisory </w:t>
      </w:r>
      <w:r w:rsidR="00DD77F5">
        <w:rPr>
          <w:rFonts w:ascii="Times New Roman" w:eastAsia="Times New Roman" w:hAnsi="Times New Roman" w:cs="Times New Roman"/>
          <w:noProof/>
          <w:sz w:val="24"/>
          <w:szCs w:val="24"/>
        </w:rPr>
        <w:t>activity over the years are the</w:t>
      </w:r>
      <w:r w:rsidR="00BE3250">
        <w:rPr>
          <w:rFonts w:ascii="Times New Roman" w:eastAsia="Times New Roman" w:hAnsi="Times New Roman" w:cs="Times New Roman"/>
          <w:noProof/>
          <w:sz w:val="24"/>
          <w:szCs w:val="24"/>
        </w:rPr>
        <w:t xml:space="preserve"> TRIM project</w:t>
      </w:r>
      <w:r w:rsidR="00FB1DCF">
        <w:rPr>
          <w:rStyle w:val="FootnoteReference"/>
          <w:rFonts w:ascii="Times New Roman" w:eastAsia="Times New Roman" w:hAnsi="Times New Roman" w:cs="Times New Roman"/>
          <w:noProof/>
          <w:sz w:val="24"/>
          <w:szCs w:val="24"/>
        </w:rPr>
        <w:footnoteReference w:id="76"/>
      </w:r>
      <w:r w:rsidR="00BA31EF">
        <w:rPr>
          <w:rFonts w:ascii="Times New Roman" w:eastAsia="Times New Roman" w:hAnsi="Times New Roman" w:cs="Times New Roman"/>
          <w:noProof/>
          <w:sz w:val="24"/>
          <w:szCs w:val="24"/>
        </w:rPr>
        <w:t>, supervisory benchmarking, ongoing model monitoring activities</w:t>
      </w:r>
      <w:r w:rsidR="00252624">
        <w:rPr>
          <w:rStyle w:val="FootnoteReference"/>
          <w:rFonts w:ascii="Times New Roman" w:eastAsia="Times New Roman" w:hAnsi="Times New Roman" w:cs="Times New Roman"/>
          <w:noProof/>
          <w:sz w:val="24"/>
          <w:szCs w:val="24"/>
        </w:rPr>
        <w:footnoteReference w:id="77"/>
      </w:r>
      <w:r w:rsidR="00BA31EF">
        <w:rPr>
          <w:rFonts w:ascii="Times New Roman" w:eastAsia="Times New Roman" w:hAnsi="Times New Roman" w:cs="Times New Roman"/>
          <w:noProof/>
          <w:sz w:val="24"/>
          <w:szCs w:val="24"/>
        </w:rPr>
        <w:t xml:space="preserve"> and a</w:t>
      </w:r>
      <w:r w:rsidR="00674AB5">
        <w:rPr>
          <w:rFonts w:ascii="Times New Roman" w:eastAsia="Times New Roman" w:hAnsi="Times New Roman" w:cs="Times New Roman"/>
          <w:noProof/>
          <w:sz w:val="24"/>
          <w:szCs w:val="24"/>
        </w:rPr>
        <w:t>n established framework governing model changes</w:t>
      </w:r>
      <w:r w:rsidR="00252624">
        <w:rPr>
          <w:rFonts w:ascii="Times New Roman" w:eastAsia="Times New Roman" w:hAnsi="Times New Roman" w:cs="Times New Roman"/>
          <w:noProof/>
          <w:sz w:val="24"/>
          <w:szCs w:val="24"/>
        </w:rPr>
        <w:t>.</w:t>
      </w:r>
      <w:r w:rsidR="00F03752">
        <w:rPr>
          <w:rFonts w:ascii="Times New Roman" w:eastAsia="Times New Roman" w:hAnsi="Times New Roman" w:cs="Times New Roman"/>
          <w:noProof/>
          <w:sz w:val="24"/>
          <w:szCs w:val="24"/>
        </w:rPr>
        <w:t xml:space="preserve"> </w:t>
      </w:r>
    </w:p>
    <w:p w14:paraId="09C50F1D" w14:textId="4D6ADF00" w:rsidR="00001ABA" w:rsidRPr="0036474B" w:rsidRDefault="00001ABA" w:rsidP="00C17A12">
      <w:pPr>
        <w:spacing w:line="276" w:lineRule="auto"/>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The output floor requirement was introduced into European legislation through the CRR3 in January 2025. The transitional arrangements for the output floor are set in Article 465(1) CRR. The output floor is expected to be fully phased in by 1 January 2030 and it is currently at the level of 55%.</w:t>
      </w:r>
    </w:p>
    <w:tbl>
      <w:tblPr>
        <w:tblStyle w:val="TableGrid"/>
        <w:tblW w:w="0" w:type="auto"/>
        <w:jc w:val="center"/>
        <w:tblLook w:val="04A0" w:firstRow="1" w:lastRow="0" w:firstColumn="1" w:lastColumn="0" w:noHBand="0" w:noVBand="1"/>
      </w:tblPr>
      <w:tblGrid>
        <w:gridCol w:w="3975"/>
        <w:gridCol w:w="1155"/>
      </w:tblGrid>
      <w:tr w:rsidR="00001ABA" w:rsidRPr="00064CC0" w14:paraId="78212BD0" w14:textId="77777777" w:rsidTr="00627F4D">
        <w:trPr>
          <w:trHeight w:val="300"/>
          <w:jc w:val="center"/>
        </w:trPr>
        <w:tc>
          <w:tcPr>
            <w:tcW w:w="39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E17245" w14:textId="77777777" w:rsidR="00001ABA" w:rsidRPr="0036474B" w:rsidRDefault="00001ABA" w:rsidP="00627F4D">
            <w:pPr>
              <w:spacing w:after="160" w:line="257" w:lineRule="auto"/>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1 January 2025 to 31 December 2025</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E9BDBF" w14:textId="77777777" w:rsidR="00001ABA" w:rsidRPr="0036474B" w:rsidRDefault="00001ABA" w:rsidP="00627F4D">
            <w:pPr>
              <w:spacing w:after="160" w:line="257" w:lineRule="auto"/>
              <w:jc w:val="center"/>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50%</w:t>
            </w:r>
          </w:p>
        </w:tc>
      </w:tr>
      <w:tr w:rsidR="00001ABA" w:rsidRPr="00064CC0" w14:paraId="258C106E" w14:textId="77777777" w:rsidTr="00627F4D">
        <w:trPr>
          <w:trHeight w:val="300"/>
          <w:jc w:val="center"/>
        </w:trPr>
        <w:tc>
          <w:tcPr>
            <w:tcW w:w="39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9ACC31" w14:textId="77777777" w:rsidR="00001ABA" w:rsidRPr="0036474B" w:rsidRDefault="00001ABA" w:rsidP="00627F4D">
            <w:pPr>
              <w:spacing w:after="160" w:line="257" w:lineRule="auto"/>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1 January 2026 to 31 December 2026</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983091" w14:textId="77777777" w:rsidR="00001ABA" w:rsidRPr="0036474B" w:rsidRDefault="00001ABA" w:rsidP="00627F4D">
            <w:pPr>
              <w:spacing w:after="160" w:line="257" w:lineRule="auto"/>
              <w:jc w:val="center"/>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55%</w:t>
            </w:r>
          </w:p>
        </w:tc>
      </w:tr>
      <w:tr w:rsidR="00001ABA" w:rsidRPr="00064CC0" w14:paraId="472F1633" w14:textId="77777777" w:rsidTr="00627F4D">
        <w:trPr>
          <w:trHeight w:val="300"/>
          <w:jc w:val="center"/>
        </w:trPr>
        <w:tc>
          <w:tcPr>
            <w:tcW w:w="39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5F1937" w14:textId="77777777" w:rsidR="00001ABA" w:rsidRPr="0036474B" w:rsidRDefault="00001ABA" w:rsidP="00627F4D">
            <w:pPr>
              <w:spacing w:after="160" w:line="257" w:lineRule="auto"/>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1 January 2027 to 31 December 2027</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5710E0" w14:textId="77777777" w:rsidR="00001ABA" w:rsidRPr="0036474B" w:rsidRDefault="00001ABA" w:rsidP="00627F4D">
            <w:pPr>
              <w:spacing w:after="160" w:line="257" w:lineRule="auto"/>
              <w:jc w:val="center"/>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60%</w:t>
            </w:r>
          </w:p>
        </w:tc>
      </w:tr>
      <w:tr w:rsidR="00001ABA" w:rsidRPr="00064CC0" w14:paraId="256E9796" w14:textId="77777777" w:rsidTr="00627F4D">
        <w:trPr>
          <w:trHeight w:val="300"/>
          <w:jc w:val="center"/>
        </w:trPr>
        <w:tc>
          <w:tcPr>
            <w:tcW w:w="39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737E89" w14:textId="77777777" w:rsidR="00001ABA" w:rsidRPr="0036474B" w:rsidRDefault="00001ABA" w:rsidP="00627F4D">
            <w:pPr>
              <w:spacing w:after="160" w:line="257" w:lineRule="auto"/>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1 January 2028 to 31 December 2028</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CA5013" w14:textId="77777777" w:rsidR="00001ABA" w:rsidRPr="0036474B" w:rsidRDefault="00001ABA" w:rsidP="00627F4D">
            <w:pPr>
              <w:spacing w:after="160" w:line="257" w:lineRule="auto"/>
              <w:jc w:val="center"/>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65%</w:t>
            </w:r>
          </w:p>
        </w:tc>
      </w:tr>
      <w:tr w:rsidR="00001ABA" w:rsidRPr="00064CC0" w14:paraId="18610485" w14:textId="77777777" w:rsidTr="00627F4D">
        <w:trPr>
          <w:trHeight w:val="300"/>
          <w:jc w:val="center"/>
        </w:trPr>
        <w:tc>
          <w:tcPr>
            <w:tcW w:w="39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BA0F30" w14:textId="77777777" w:rsidR="00001ABA" w:rsidRPr="0036474B" w:rsidRDefault="00001ABA" w:rsidP="00627F4D">
            <w:pPr>
              <w:spacing w:after="160" w:line="257" w:lineRule="auto"/>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1 January 2029 to 31 December 2029</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E57908" w14:textId="77777777" w:rsidR="00001ABA" w:rsidRPr="0036474B" w:rsidRDefault="00001ABA" w:rsidP="00627F4D">
            <w:pPr>
              <w:spacing w:after="160" w:line="257" w:lineRule="auto"/>
              <w:jc w:val="center"/>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70%</w:t>
            </w:r>
          </w:p>
        </w:tc>
      </w:tr>
      <w:tr w:rsidR="00001ABA" w:rsidRPr="00064CC0" w14:paraId="77E413D4" w14:textId="77777777" w:rsidTr="00627F4D">
        <w:trPr>
          <w:trHeight w:val="300"/>
          <w:jc w:val="center"/>
        </w:trPr>
        <w:tc>
          <w:tcPr>
            <w:tcW w:w="39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F72946" w14:textId="77777777" w:rsidR="00001ABA" w:rsidRPr="0036474B" w:rsidRDefault="00001ABA" w:rsidP="00627F4D">
            <w:pPr>
              <w:spacing w:after="160" w:line="257" w:lineRule="auto"/>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1 January 2030</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F73CCC" w14:textId="77777777" w:rsidR="00001ABA" w:rsidRPr="0036474B" w:rsidRDefault="00001ABA" w:rsidP="00627F4D">
            <w:pPr>
              <w:spacing w:after="160" w:line="257" w:lineRule="auto"/>
              <w:jc w:val="center"/>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72.5%</w:t>
            </w:r>
          </w:p>
        </w:tc>
      </w:tr>
    </w:tbl>
    <w:p w14:paraId="520C825E" w14:textId="47657EF2" w:rsidR="00001ABA" w:rsidRPr="0036474B" w:rsidRDefault="00001ABA" w:rsidP="00C17A12">
      <w:pPr>
        <w:spacing w:before="240" w:line="257" w:lineRule="auto"/>
        <w:jc w:val="both"/>
        <w:rPr>
          <w:rFonts w:ascii="Times New Roman" w:eastAsia="Times New Roman" w:hAnsi="Times New Roman" w:cs="Times New Roman"/>
          <w:noProof/>
          <w:sz w:val="24"/>
          <w:szCs w:val="24"/>
          <w:u w:val="single"/>
          <w:lang w:val="en-GB"/>
        </w:rPr>
      </w:pPr>
      <w:r w:rsidRPr="0036474B">
        <w:rPr>
          <w:rFonts w:ascii="Times New Roman" w:eastAsia="Times New Roman" w:hAnsi="Times New Roman" w:cs="Times New Roman"/>
          <w:noProof/>
          <w:sz w:val="24"/>
          <w:szCs w:val="24"/>
          <w:u w:val="single"/>
          <w:lang w:val="en-GB"/>
        </w:rPr>
        <w:t>Issues identified:</w:t>
      </w:r>
    </w:p>
    <w:p w14:paraId="44F2299D" w14:textId="77777777" w:rsidR="00001ABA" w:rsidRPr="0036474B" w:rsidRDefault="00001ABA" w:rsidP="00627F4D">
      <w:pPr>
        <w:rPr>
          <w:rFonts w:ascii="Times New Roman" w:hAnsi="Times New Roman" w:cs="Times New Roman"/>
          <w:noProof/>
          <w:sz w:val="24"/>
          <w:szCs w:val="24"/>
          <w:lang w:val="en-GB"/>
        </w:rPr>
      </w:pPr>
      <w:r w:rsidRPr="0036474B">
        <w:rPr>
          <w:rFonts w:ascii="Times New Roman" w:eastAsia="Times New Roman" w:hAnsi="Times New Roman" w:cs="Times New Roman"/>
          <w:i/>
          <w:noProof/>
          <w:sz w:val="24"/>
          <w:szCs w:val="24"/>
          <w:lang w:val="en-GB"/>
        </w:rPr>
        <w:t>Calibration of the output floor</w:t>
      </w:r>
    </w:p>
    <w:p w14:paraId="1933413B" w14:textId="71606031" w:rsidR="00001ABA" w:rsidRPr="0036474B" w:rsidRDefault="00001ABA" w:rsidP="00CC3A97">
      <w:pPr>
        <w:pStyle w:val="ListParagraph"/>
        <w:numPr>
          <w:ilvl w:val="0"/>
          <w:numId w:val="13"/>
        </w:numPr>
        <w:spacing w:line="276" w:lineRule="auto"/>
        <w:jc w:val="both"/>
        <w:rPr>
          <w:rFonts w:ascii="Times New Roman" w:eastAsia="Aptos" w:hAnsi="Times New Roman" w:cs="Times New Roman"/>
          <w:noProof/>
          <w:sz w:val="24"/>
          <w:szCs w:val="24"/>
          <w:lang w:val="en-GB"/>
        </w:rPr>
      </w:pPr>
      <w:r w:rsidRPr="0036474B">
        <w:rPr>
          <w:rFonts w:ascii="Times New Roman" w:eastAsia="Aptos" w:hAnsi="Times New Roman" w:cs="Times New Roman"/>
          <w:b/>
          <w:bCs/>
          <w:noProof/>
          <w:sz w:val="24"/>
          <w:szCs w:val="24"/>
          <w:lang w:val="en-GB"/>
        </w:rPr>
        <w:t>Heterogeneous application across major jurisdictions.</w:t>
      </w:r>
      <w:r w:rsidRPr="0036474B">
        <w:rPr>
          <w:rFonts w:ascii="Times New Roman" w:eastAsia="Aptos" w:hAnsi="Times New Roman" w:cs="Times New Roman"/>
          <w:noProof/>
          <w:sz w:val="24"/>
          <w:szCs w:val="24"/>
          <w:lang w:val="en-GB"/>
        </w:rPr>
        <w:t xml:space="preserve"> The BCBS framework is designed to be implemented uniformly. However, the international practice differs widely among major jurisdictions. The newest US proposal (March 2026) includes more than 20 downward deviations and </w:t>
      </w:r>
      <w:r w:rsidR="78CB6F5F" w:rsidRPr="0B7E2A41">
        <w:rPr>
          <w:rFonts w:ascii="Times New Roman" w:eastAsia="Aptos" w:hAnsi="Times New Roman" w:cs="Times New Roman"/>
          <w:noProof/>
          <w:sz w:val="24"/>
          <w:szCs w:val="24"/>
          <w:lang w:val="en-GB"/>
        </w:rPr>
        <w:t xml:space="preserve">reduces </w:t>
      </w:r>
      <w:r w:rsidRPr="0036474B">
        <w:rPr>
          <w:rFonts w:ascii="Times New Roman" w:eastAsia="Aptos" w:hAnsi="Times New Roman" w:cs="Times New Roman"/>
          <w:noProof/>
          <w:sz w:val="24"/>
          <w:szCs w:val="24"/>
          <w:lang w:val="en-GB"/>
        </w:rPr>
        <w:t xml:space="preserve">gold plating. The UK Prudential Regulation Authority published its </w:t>
      </w:r>
      <w:r w:rsidRPr="0036474B">
        <w:rPr>
          <w:rFonts w:ascii="Times New Roman" w:eastAsia="Times New Roman" w:hAnsi="Times New Roman" w:cs="Times New Roman"/>
          <w:noProof/>
          <w:sz w:val="24"/>
          <w:szCs w:val="24"/>
          <w:lang w:val="en-GB"/>
        </w:rPr>
        <w:t>final</w:t>
      </w:r>
      <w:r w:rsidRPr="0036474B">
        <w:rPr>
          <w:rFonts w:ascii="Times New Roman" w:eastAsia="Aptos" w:hAnsi="Times New Roman" w:cs="Times New Roman"/>
          <w:noProof/>
          <w:sz w:val="24"/>
          <w:szCs w:val="24"/>
          <w:lang w:val="en-GB"/>
        </w:rPr>
        <w:t xml:space="preserve"> Basel 3.1 policy statement in January 2026, delaying the implementation by one year, to 1 January 2027. Thus, like for other international agreements, the faithful transposition of Basel requirements is subject to specific features of the jurisdictions: they may have structural differences in banking markets and the role of bank lending for the economy, and they may thus be applied more progressively over time.</w:t>
      </w:r>
    </w:p>
    <w:tbl>
      <w:tblPr>
        <w:tblStyle w:val="TableGrid"/>
        <w:tblW w:w="0" w:type="auto"/>
        <w:jc w:val="center"/>
        <w:tblLook w:val="04A0" w:firstRow="1" w:lastRow="0" w:firstColumn="1" w:lastColumn="0" w:noHBand="0" w:noVBand="1"/>
      </w:tblPr>
      <w:tblGrid>
        <w:gridCol w:w="1860"/>
        <w:gridCol w:w="2430"/>
        <w:gridCol w:w="2565"/>
      </w:tblGrid>
      <w:tr w:rsidR="00001ABA" w:rsidRPr="00064CC0" w14:paraId="655951B1" w14:textId="77777777">
        <w:trPr>
          <w:trHeight w:val="300"/>
          <w:jc w:val="center"/>
        </w:trPr>
        <w:tc>
          <w:tcPr>
            <w:tcW w:w="1860"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5E5A3C10" w14:textId="17F9F1D2" w:rsidR="00001ABA" w:rsidRPr="0036474B" w:rsidRDefault="00001ABA">
            <w:pPr>
              <w:jc w:val="center"/>
              <w:rPr>
                <w:rFonts w:ascii="Times New Roman" w:eastAsia="Times New Roman" w:hAnsi="Times New Roman" w:cs="Times New Roman"/>
                <w:b/>
                <w:noProof/>
                <w:color w:val="000000" w:themeColor="text1"/>
                <w:sz w:val="24"/>
                <w:szCs w:val="24"/>
                <w:lang w:val="en-GB"/>
              </w:rPr>
            </w:pPr>
            <w:r w:rsidRPr="0036474B">
              <w:rPr>
                <w:rFonts w:ascii="Times New Roman" w:eastAsia="Times New Roman" w:hAnsi="Times New Roman" w:cs="Times New Roman"/>
                <w:b/>
                <w:noProof/>
                <w:color w:val="000000" w:themeColor="text1"/>
                <w:sz w:val="24"/>
                <w:szCs w:val="24"/>
                <w:lang w:val="en-GB"/>
              </w:rPr>
              <w:t>Jurisdiction</w:t>
            </w:r>
          </w:p>
        </w:tc>
        <w:tc>
          <w:tcPr>
            <w:tcW w:w="2430"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46BF2487" w14:textId="77777777" w:rsidR="00001ABA" w:rsidRPr="0036474B" w:rsidRDefault="00001ABA">
            <w:pPr>
              <w:jc w:val="center"/>
              <w:rPr>
                <w:rFonts w:ascii="Times New Roman" w:eastAsia="Times New Roman" w:hAnsi="Times New Roman" w:cs="Times New Roman"/>
                <w:b/>
                <w:noProof/>
                <w:color w:val="000000" w:themeColor="text1"/>
                <w:sz w:val="24"/>
                <w:szCs w:val="24"/>
                <w:lang w:val="en-GB"/>
              </w:rPr>
            </w:pPr>
            <w:r w:rsidRPr="0036474B">
              <w:rPr>
                <w:rFonts w:ascii="Times New Roman" w:eastAsia="Times New Roman" w:hAnsi="Times New Roman" w:cs="Times New Roman"/>
                <w:b/>
                <w:noProof/>
                <w:color w:val="000000" w:themeColor="text1"/>
                <w:sz w:val="24"/>
                <w:szCs w:val="24"/>
                <w:lang w:val="en-GB"/>
              </w:rPr>
              <w:t>Current floor level</w:t>
            </w:r>
          </w:p>
        </w:tc>
        <w:tc>
          <w:tcPr>
            <w:tcW w:w="256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2DE92C68" w14:textId="77777777" w:rsidR="00001ABA" w:rsidRPr="0036474B" w:rsidRDefault="00001ABA">
            <w:pPr>
              <w:jc w:val="center"/>
              <w:rPr>
                <w:rFonts w:ascii="Times New Roman" w:eastAsia="Times New Roman" w:hAnsi="Times New Roman" w:cs="Times New Roman"/>
                <w:b/>
                <w:noProof/>
                <w:color w:val="000000" w:themeColor="text1"/>
                <w:sz w:val="24"/>
                <w:szCs w:val="24"/>
                <w:lang w:val="en-GB"/>
              </w:rPr>
            </w:pPr>
            <w:r w:rsidRPr="0036474B">
              <w:rPr>
                <w:rFonts w:ascii="Times New Roman" w:eastAsia="Times New Roman" w:hAnsi="Times New Roman" w:cs="Times New Roman"/>
                <w:b/>
                <w:noProof/>
                <w:color w:val="000000" w:themeColor="text1"/>
                <w:sz w:val="24"/>
                <w:szCs w:val="24"/>
                <w:lang w:val="en-GB"/>
              </w:rPr>
              <w:t>Roadmap to 72.5%</w:t>
            </w:r>
          </w:p>
        </w:tc>
      </w:tr>
      <w:tr w:rsidR="00001ABA" w:rsidRPr="00064CC0" w14:paraId="0E9F0ED6" w14:textId="77777777">
        <w:trPr>
          <w:trHeight w:val="300"/>
          <w:jc w:val="center"/>
        </w:trPr>
        <w:tc>
          <w:tcPr>
            <w:tcW w:w="1860" w:type="dxa"/>
            <w:tcBorders>
              <w:top w:val="single" w:sz="8" w:space="0" w:color="auto"/>
              <w:left w:val="single" w:sz="8" w:space="0" w:color="auto"/>
              <w:bottom w:val="single" w:sz="8" w:space="0" w:color="auto"/>
              <w:right w:val="single" w:sz="8" w:space="0" w:color="auto"/>
            </w:tcBorders>
            <w:tcMar>
              <w:left w:w="108" w:type="dxa"/>
              <w:right w:w="108" w:type="dxa"/>
            </w:tcMar>
          </w:tcPr>
          <w:p w14:paraId="2E9FF12F" w14:textId="77777777" w:rsidR="00001ABA" w:rsidRPr="0036474B" w:rsidRDefault="00001ABA">
            <w:pPr>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EU</w:t>
            </w: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tcPr>
          <w:p w14:paraId="48F4518B" w14:textId="77777777" w:rsidR="00001ABA" w:rsidRPr="0036474B" w:rsidRDefault="00001ABA">
            <w:pPr>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55%</w:t>
            </w:r>
          </w:p>
        </w:tc>
        <w:tc>
          <w:tcPr>
            <w:tcW w:w="2565" w:type="dxa"/>
            <w:tcBorders>
              <w:top w:val="single" w:sz="8" w:space="0" w:color="auto"/>
              <w:left w:val="single" w:sz="8" w:space="0" w:color="auto"/>
              <w:bottom w:val="single" w:sz="8" w:space="0" w:color="auto"/>
              <w:right w:val="single" w:sz="8" w:space="0" w:color="auto"/>
            </w:tcBorders>
            <w:tcMar>
              <w:left w:w="108" w:type="dxa"/>
              <w:right w:w="108" w:type="dxa"/>
            </w:tcMar>
          </w:tcPr>
          <w:p w14:paraId="5FE9278C" w14:textId="77777777" w:rsidR="00001ABA" w:rsidRPr="0036474B" w:rsidRDefault="00001ABA">
            <w:pPr>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By 1 January 2030</w:t>
            </w:r>
          </w:p>
        </w:tc>
      </w:tr>
      <w:tr w:rsidR="00001ABA" w:rsidRPr="00064CC0" w14:paraId="5BCE0585" w14:textId="77777777">
        <w:trPr>
          <w:trHeight w:val="300"/>
          <w:jc w:val="center"/>
        </w:trPr>
        <w:tc>
          <w:tcPr>
            <w:tcW w:w="1860" w:type="dxa"/>
            <w:tcBorders>
              <w:top w:val="single" w:sz="8" w:space="0" w:color="auto"/>
              <w:left w:val="single" w:sz="8" w:space="0" w:color="auto"/>
              <w:bottom w:val="single" w:sz="8" w:space="0" w:color="auto"/>
              <w:right w:val="single" w:sz="8" w:space="0" w:color="auto"/>
            </w:tcBorders>
            <w:tcMar>
              <w:left w:w="108" w:type="dxa"/>
              <w:right w:w="108" w:type="dxa"/>
            </w:tcMar>
          </w:tcPr>
          <w:p w14:paraId="0708ED94" w14:textId="77777777" w:rsidR="00001ABA" w:rsidRPr="0036474B" w:rsidRDefault="00001ABA">
            <w:pPr>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Australia</w:t>
            </w: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tcPr>
          <w:p w14:paraId="7C8F0554" w14:textId="77777777" w:rsidR="00001ABA" w:rsidRPr="0036474B" w:rsidRDefault="00001ABA">
            <w:pPr>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72.5%</w:t>
            </w:r>
          </w:p>
        </w:tc>
        <w:tc>
          <w:tcPr>
            <w:tcW w:w="2565" w:type="dxa"/>
            <w:tcBorders>
              <w:top w:val="single" w:sz="8" w:space="0" w:color="auto"/>
              <w:left w:val="single" w:sz="8" w:space="0" w:color="auto"/>
              <w:bottom w:val="single" w:sz="8" w:space="0" w:color="auto"/>
              <w:right w:val="single" w:sz="8" w:space="0" w:color="auto"/>
            </w:tcBorders>
            <w:tcMar>
              <w:left w:w="108" w:type="dxa"/>
              <w:right w:w="108" w:type="dxa"/>
            </w:tcMar>
          </w:tcPr>
          <w:p w14:paraId="15CC5B0F" w14:textId="77777777" w:rsidR="00001ABA" w:rsidRPr="0036474B" w:rsidRDefault="00001ABA">
            <w:pPr>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n/a</w:t>
            </w:r>
          </w:p>
        </w:tc>
      </w:tr>
      <w:tr w:rsidR="00001ABA" w:rsidRPr="00064CC0" w14:paraId="20929DE6" w14:textId="77777777">
        <w:trPr>
          <w:trHeight w:val="300"/>
          <w:jc w:val="center"/>
        </w:trPr>
        <w:tc>
          <w:tcPr>
            <w:tcW w:w="1860" w:type="dxa"/>
            <w:tcBorders>
              <w:top w:val="single" w:sz="8" w:space="0" w:color="auto"/>
              <w:left w:val="single" w:sz="8" w:space="0" w:color="auto"/>
              <w:bottom w:val="single" w:sz="8" w:space="0" w:color="auto"/>
              <w:right w:val="single" w:sz="8" w:space="0" w:color="auto"/>
            </w:tcBorders>
            <w:tcMar>
              <w:left w:w="108" w:type="dxa"/>
              <w:right w:w="108" w:type="dxa"/>
            </w:tcMar>
          </w:tcPr>
          <w:p w14:paraId="09B6AC91" w14:textId="77777777" w:rsidR="00001ABA" w:rsidRPr="0036474B" w:rsidRDefault="00001ABA">
            <w:pPr>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Japan</w:t>
            </w: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tcPr>
          <w:p w14:paraId="4006E3B5" w14:textId="77777777" w:rsidR="00001ABA" w:rsidRPr="0036474B" w:rsidRDefault="00001ABA">
            <w:pPr>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60%</w:t>
            </w:r>
          </w:p>
        </w:tc>
        <w:tc>
          <w:tcPr>
            <w:tcW w:w="2565" w:type="dxa"/>
            <w:tcBorders>
              <w:top w:val="single" w:sz="8" w:space="0" w:color="auto"/>
              <w:left w:val="single" w:sz="8" w:space="0" w:color="auto"/>
              <w:bottom w:val="single" w:sz="8" w:space="0" w:color="auto"/>
              <w:right w:val="single" w:sz="8" w:space="0" w:color="auto"/>
            </w:tcBorders>
            <w:tcMar>
              <w:left w:w="108" w:type="dxa"/>
              <w:right w:w="108" w:type="dxa"/>
            </w:tcMar>
          </w:tcPr>
          <w:p w14:paraId="635A76F6" w14:textId="77777777" w:rsidR="00001ABA" w:rsidRPr="0036474B" w:rsidRDefault="00001ABA">
            <w:pPr>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By 31 March 2029</w:t>
            </w:r>
          </w:p>
        </w:tc>
      </w:tr>
      <w:tr w:rsidR="00001ABA" w:rsidRPr="00064CC0" w14:paraId="6C0A08C5" w14:textId="77777777">
        <w:trPr>
          <w:trHeight w:val="300"/>
          <w:jc w:val="center"/>
        </w:trPr>
        <w:tc>
          <w:tcPr>
            <w:tcW w:w="1860" w:type="dxa"/>
            <w:tcBorders>
              <w:top w:val="single" w:sz="8" w:space="0" w:color="auto"/>
              <w:left w:val="single" w:sz="8" w:space="0" w:color="auto"/>
              <w:bottom w:val="single" w:sz="8" w:space="0" w:color="auto"/>
              <w:right w:val="single" w:sz="8" w:space="0" w:color="auto"/>
            </w:tcBorders>
            <w:tcMar>
              <w:left w:w="108" w:type="dxa"/>
              <w:right w:w="108" w:type="dxa"/>
            </w:tcMar>
          </w:tcPr>
          <w:p w14:paraId="33C054ED" w14:textId="77777777" w:rsidR="00001ABA" w:rsidRPr="0036474B" w:rsidRDefault="00001ABA">
            <w:pPr>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 xml:space="preserve">Canada </w:t>
            </w: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tcPr>
          <w:p w14:paraId="7486CFCD" w14:textId="77777777" w:rsidR="00001ABA" w:rsidRPr="0036474B" w:rsidRDefault="00001ABA">
            <w:pPr>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67.5%</w:t>
            </w:r>
          </w:p>
        </w:tc>
        <w:tc>
          <w:tcPr>
            <w:tcW w:w="2565" w:type="dxa"/>
            <w:tcBorders>
              <w:top w:val="single" w:sz="8" w:space="0" w:color="auto"/>
              <w:left w:val="single" w:sz="8" w:space="0" w:color="auto"/>
              <w:bottom w:val="single" w:sz="8" w:space="0" w:color="auto"/>
              <w:right w:val="single" w:sz="8" w:space="0" w:color="auto"/>
            </w:tcBorders>
            <w:tcMar>
              <w:left w:w="108" w:type="dxa"/>
              <w:right w:w="108" w:type="dxa"/>
            </w:tcMar>
          </w:tcPr>
          <w:p w14:paraId="72DEE527" w14:textId="3F7A5702" w:rsidR="00001ABA" w:rsidRPr="0036474B" w:rsidRDefault="00F26587">
            <w:pPr>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F</w:t>
            </w:r>
            <w:r w:rsidR="00001ABA" w:rsidRPr="0036474B">
              <w:rPr>
                <w:rFonts w:ascii="Times New Roman" w:eastAsia="Times New Roman" w:hAnsi="Times New Roman" w:cs="Times New Roman"/>
                <w:noProof/>
                <w:sz w:val="24"/>
                <w:szCs w:val="24"/>
                <w:lang w:val="en-GB"/>
              </w:rPr>
              <w:t>rozen</w:t>
            </w:r>
          </w:p>
        </w:tc>
      </w:tr>
      <w:tr w:rsidR="00001ABA" w:rsidRPr="00064CC0" w14:paraId="5E372D8C" w14:textId="77777777">
        <w:trPr>
          <w:trHeight w:val="300"/>
          <w:jc w:val="center"/>
        </w:trPr>
        <w:tc>
          <w:tcPr>
            <w:tcW w:w="1860" w:type="dxa"/>
            <w:tcBorders>
              <w:top w:val="single" w:sz="8" w:space="0" w:color="auto"/>
              <w:left w:val="single" w:sz="8" w:space="0" w:color="auto"/>
              <w:bottom w:val="single" w:sz="8" w:space="0" w:color="auto"/>
              <w:right w:val="single" w:sz="8" w:space="0" w:color="auto"/>
            </w:tcBorders>
            <w:tcMar>
              <w:left w:w="108" w:type="dxa"/>
              <w:right w:w="108" w:type="dxa"/>
            </w:tcMar>
          </w:tcPr>
          <w:p w14:paraId="57FF544B" w14:textId="77777777" w:rsidR="00001ABA" w:rsidRPr="0036474B" w:rsidRDefault="00001ABA">
            <w:pPr>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UK</w:t>
            </w: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tcPr>
          <w:p w14:paraId="79519C48" w14:textId="77777777" w:rsidR="00001ABA" w:rsidRPr="0036474B" w:rsidRDefault="00001ABA">
            <w:pPr>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Not started</w:t>
            </w:r>
          </w:p>
        </w:tc>
        <w:tc>
          <w:tcPr>
            <w:tcW w:w="2565" w:type="dxa"/>
            <w:tcBorders>
              <w:top w:val="single" w:sz="8" w:space="0" w:color="auto"/>
              <w:left w:val="single" w:sz="8" w:space="0" w:color="auto"/>
              <w:bottom w:val="single" w:sz="8" w:space="0" w:color="auto"/>
              <w:right w:val="single" w:sz="8" w:space="0" w:color="auto"/>
            </w:tcBorders>
            <w:tcMar>
              <w:left w:w="108" w:type="dxa"/>
              <w:right w:w="108" w:type="dxa"/>
            </w:tcMar>
          </w:tcPr>
          <w:p w14:paraId="4AE56A98" w14:textId="77777777" w:rsidR="00001ABA" w:rsidRPr="0036474B" w:rsidRDefault="00001ABA">
            <w:pPr>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To start by Jan 2027, fully-fledged by Jan 2030</w:t>
            </w:r>
          </w:p>
        </w:tc>
      </w:tr>
      <w:tr w:rsidR="00001ABA" w:rsidRPr="00064CC0" w14:paraId="2BC8BE9B" w14:textId="77777777">
        <w:trPr>
          <w:trHeight w:val="300"/>
          <w:jc w:val="center"/>
        </w:trPr>
        <w:tc>
          <w:tcPr>
            <w:tcW w:w="1860" w:type="dxa"/>
            <w:tcBorders>
              <w:top w:val="single" w:sz="8" w:space="0" w:color="auto"/>
              <w:left w:val="single" w:sz="8" w:space="0" w:color="auto"/>
              <w:bottom w:val="single" w:sz="8" w:space="0" w:color="auto"/>
              <w:right w:val="single" w:sz="8" w:space="0" w:color="auto"/>
            </w:tcBorders>
            <w:tcMar>
              <w:left w:w="108" w:type="dxa"/>
              <w:right w:w="108" w:type="dxa"/>
            </w:tcMar>
          </w:tcPr>
          <w:p w14:paraId="05DB3605" w14:textId="77777777" w:rsidR="00001ABA" w:rsidRPr="0036474B" w:rsidRDefault="00001ABA">
            <w:pPr>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US</w:t>
            </w:r>
          </w:p>
        </w:tc>
        <w:tc>
          <w:tcPr>
            <w:tcW w:w="2430" w:type="dxa"/>
            <w:tcBorders>
              <w:top w:val="single" w:sz="8" w:space="0" w:color="auto"/>
              <w:left w:val="single" w:sz="8" w:space="0" w:color="auto"/>
              <w:bottom w:val="single" w:sz="8" w:space="0" w:color="auto"/>
              <w:right w:val="single" w:sz="8" w:space="0" w:color="auto"/>
            </w:tcBorders>
            <w:tcMar>
              <w:left w:w="108" w:type="dxa"/>
              <w:right w:w="108" w:type="dxa"/>
            </w:tcMar>
          </w:tcPr>
          <w:p w14:paraId="45B40F58" w14:textId="10857002" w:rsidR="00001ABA" w:rsidRPr="0036474B" w:rsidRDefault="00001ABA">
            <w:pPr>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 xml:space="preserve">Not </w:t>
            </w:r>
            <w:r w:rsidR="00DD2286">
              <w:rPr>
                <w:rFonts w:ascii="Times New Roman" w:eastAsia="Times New Roman" w:hAnsi="Times New Roman" w:cs="Times New Roman"/>
                <w:noProof/>
                <w:sz w:val="24"/>
                <w:szCs w:val="24"/>
                <w:lang w:val="en-GB"/>
              </w:rPr>
              <w:t>implemented</w:t>
            </w:r>
            <w:r w:rsidR="00D63D59">
              <w:rPr>
                <w:rStyle w:val="FootnoteReference"/>
                <w:rFonts w:ascii="Times New Roman" w:eastAsia="Times New Roman" w:hAnsi="Times New Roman" w:cs="Times New Roman"/>
                <w:noProof/>
                <w:sz w:val="24"/>
                <w:szCs w:val="24"/>
                <w:lang w:val="en-GB"/>
              </w:rPr>
              <w:footnoteReference w:id="78"/>
            </w:r>
          </w:p>
        </w:tc>
        <w:tc>
          <w:tcPr>
            <w:tcW w:w="2565" w:type="dxa"/>
            <w:tcBorders>
              <w:top w:val="single" w:sz="8" w:space="0" w:color="auto"/>
              <w:left w:val="single" w:sz="8" w:space="0" w:color="auto"/>
              <w:bottom w:val="single" w:sz="8" w:space="0" w:color="auto"/>
              <w:right w:val="single" w:sz="8" w:space="0" w:color="auto"/>
            </w:tcBorders>
            <w:tcMar>
              <w:left w:w="108" w:type="dxa"/>
              <w:right w:w="108" w:type="dxa"/>
            </w:tcMar>
          </w:tcPr>
          <w:p w14:paraId="27BD7F48" w14:textId="77777777" w:rsidR="00001ABA" w:rsidRPr="0036474B" w:rsidRDefault="00001ABA">
            <w:pPr>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 xml:space="preserve"> </w:t>
            </w:r>
          </w:p>
        </w:tc>
      </w:tr>
    </w:tbl>
    <w:p w14:paraId="4F4504CB" w14:textId="77777777" w:rsidR="00001ABA" w:rsidRPr="0036474B" w:rsidRDefault="00001ABA" w:rsidP="00001ABA">
      <w:pPr>
        <w:spacing w:line="257" w:lineRule="auto"/>
        <w:jc w:val="both"/>
        <w:rPr>
          <w:rFonts w:ascii="Times New Roman" w:eastAsia="Aptos" w:hAnsi="Times New Roman" w:cs="Times New Roman"/>
          <w:b/>
          <w:noProof/>
          <w:sz w:val="24"/>
          <w:szCs w:val="24"/>
          <w:lang w:val="en-GB"/>
        </w:rPr>
      </w:pPr>
    </w:p>
    <w:p w14:paraId="25D5BA56" w14:textId="1CA98448" w:rsidR="00001ABA" w:rsidRPr="0036474B" w:rsidRDefault="00011D1A" w:rsidP="00312495">
      <w:pPr>
        <w:pStyle w:val="ListParagraph"/>
        <w:numPr>
          <w:ilvl w:val="0"/>
          <w:numId w:val="13"/>
        </w:numPr>
        <w:spacing w:after="120" w:line="257" w:lineRule="auto"/>
        <w:ind w:left="714" w:hanging="357"/>
        <w:contextualSpacing w:val="0"/>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b/>
          <w:noProof/>
          <w:sz w:val="24"/>
          <w:szCs w:val="24"/>
          <w:lang w:val="en-GB"/>
        </w:rPr>
        <w:t xml:space="preserve">Relevance of </w:t>
      </w:r>
      <w:r w:rsidR="00312495" w:rsidRPr="0036474B">
        <w:rPr>
          <w:rFonts w:ascii="Times New Roman" w:eastAsia="Times New Roman" w:hAnsi="Times New Roman" w:cs="Times New Roman"/>
          <w:b/>
          <w:noProof/>
          <w:sz w:val="24"/>
          <w:szCs w:val="24"/>
          <w:lang w:val="en-GB"/>
        </w:rPr>
        <w:t>risk-based requirements</w:t>
      </w:r>
      <w:r w:rsidR="00001ABA" w:rsidRPr="0036474B">
        <w:rPr>
          <w:rFonts w:ascii="Times New Roman" w:eastAsia="Times New Roman" w:hAnsi="Times New Roman" w:cs="Times New Roman"/>
          <w:b/>
          <w:noProof/>
          <w:sz w:val="24"/>
          <w:szCs w:val="24"/>
          <w:lang w:val="en-GB"/>
        </w:rPr>
        <w:t xml:space="preserve">. </w:t>
      </w:r>
      <w:r w:rsidR="00312495" w:rsidRPr="0036474B">
        <w:rPr>
          <w:rFonts w:ascii="Times New Roman" w:eastAsia="Times New Roman" w:hAnsi="Times New Roman" w:cs="Times New Roman"/>
          <w:noProof/>
          <w:sz w:val="24"/>
          <w:szCs w:val="24"/>
          <w:lang w:val="en-GB"/>
        </w:rPr>
        <w:t>T</w:t>
      </w:r>
      <w:r w:rsidR="00001ABA" w:rsidRPr="0036474B">
        <w:rPr>
          <w:rFonts w:ascii="Times New Roman" w:eastAsia="Times New Roman" w:hAnsi="Times New Roman" w:cs="Times New Roman"/>
          <w:noProof/>
          <w:sz w:val="24"/>
          <w:szCs w:val="24"/>
          <w:lang w:val="en-GB"/>
        </w:rPr>
        <w:t xml:space="preserve">he last EBA’s Basel III monitoring report (2024) shows that when fully implemented, nearly 80% of EU banks will be constrained by the output floor or leverage ratio, meaning </w:t>
      </w:r>
      <w:r w:rsidR="00312495" w:rsidRPr="0036474B">
        <w:rPr>
          <w:rFonts w:ascii="Times New Roman" w:eastAsia="Times New Roman" w:hAnsi="Times New Roman" w:cs="Times New Roman"/>
          <w:noProof/>
          <w:sz w:val="24"/>
          <w:szCs w:val="24"/>
          <w:lang w:val="en-GB"/>
        </w:rPr>
        <w:t xml:space="preserve">that </w:t>
      </w:r>
      <w:r w:rsidR="00001ABA" w:rsidRPr="0036474B">
        <w:rPr>
          <w:rFonts w:ascii="Times New Roman" w:eastAsia="Times New Roman" w:hAnsi="Times New Roman" w:cs="Times New Roman"/>
          <w:noProof/>
          <w:sz w:val="24"/>
          <w:szCs w:val="24"/>
          <w:lang w:val="en-GB"/>
        </w:rPr>
        <w:t>risk-based requirements will become secondary for the majority of EU banks.</w:t>
      </w:r>
      <w:r w:rsidR="005118B1">
        <w:rPr>
          <w:rFonts w:ascii="Times New Roman" w:eastAsia="Times New Roman" w:hAnsi="Times New Roman" w:cs="Times New Roman"/>
          <w:noProof/>
          <w:sz w:val="24"/>
          <w:szCs w:val="24"/>
          <w:lang w:val="en-GB"/>
        </w:rPr>
        <w:t xml:space="preserve"> More recent research by the SSM suggest</w:t>
      </w:r>
      <w:r w:rsidR="009A7B6B">
        <w:rPr>
          <w:rFonts w:ascii="Times New Roman" w:eastAsia="Times New Roman" w:hAnsi="Times New Roman" w:cs="Times New Roman"/>
          <w:noProof/>
          <w:sz w:val="24"/>
          <w:szCs w:val="24"/>
          <w:lang w:val="en-GB"/>
        </w:rPr>
        <w:t>s</w:t>
      </w:r>
      <w:r w:rsidR="005118B1">
        <w:rPr>
          <w:rFonts w:ascii="Times New Roman" w:eastAsia="Times New Roman" w:hAnsi="Times New Roman" w:cs="Times New Roman"/>
          <w:noProof/>
          <w:sz w:val="24"/>
          <w:szCs w:val="24"/>
          <w:lang w:val="en-GB"/>
        </w:rPr>
        <w:t xml:space="preserve"> that </w:t>
      </w:r>
      <w:r w:rsidR="005A3267">
        <w:rPr>
          <w:rFonts w:ascii="Times New Roman" w:eastAsia="Times New Roman" w:hAnsi="Times New Roman" w:cs="Times New Roman"/>
          <w:noProof/>
          <w:sz w:val="24"/>
          <w:szCs w:val="24"/>
          <w:lang w:val="en-GB"/>
        </w:rPr>
        <w:t>approximately</w:t>
      </w:r>
      <w:r w:rsidR="00F811E9">
        <w:rPr>
          <w:rFonts w:ascii="Times New Roman" w:eastAsia="Times New Roman" w:hAnsi="Times New Roman" w:cs="Times New Roman"/>
          <w:noProof/>
          <w:sz w:val="24"/>
          <w:szCs w:val="24"/>
          <w:lang w:val="en-GB"/>
        </w:rPr>
        <w:t xml:space="preserve"> 20 significant institutions under their supervision may be bound by the output floor in the steady state.</w:t>
      </w:r>
    </w:p>
    <w:p w14:paraId="135A3FE0" w14:textId="27A86DDC" w:rsidR="00001ABA" w:rsidRPr="0036474B" w:rsidRDefault="00001ABA" w:rsidP="00312495">
      <w:pPr>
        <w:pStyle w:val="ListParagraph"/>
        <w:numPr>
          <w:ilvl w:val="0"/>
          <w:numId w:val="13"/>
        </w:numPr>
        <w:spacing w:after="120" w:line="257" w:lineRule="auto"/>
        <w:ind w:left="714" w:hanging="357"/>
        <w:contextualSpacing w:val="0"/>
        <w:jc w:val="both"/>
        <w:rPr>
          <w:rFonts w:ascii="Times New Roman" w:eastAsia="Times New Roman" w:hAnsi="Times New Roman" w:cs="Times New Roman"/>
          <w:noProof/>
          <w:color w:val="242424"/>
          <w:sz w:val="24"/>
          <w:szCs w:val="24"/>
          <w:lang w:val="en-GB"/>
        </w:rPr>
      </w:pPr>
      <w:r w:rsidRPr="0036474B">
        <w:rPr>
          <w:rFonts w:ascii="Times New Roman" w:eastAsia="Times New Roman" w:hAnsi="Times New Roman" w:cs="Times New Roman"/>
          <w:b/>
          <w:noProof/>
          <w:sz w:val="24"/>
          <w:szCs w:val="24"/>
          <w:lang w:val="en-GB"/>
        </w:rPr>
        <w:t>EU structural business model</w:t>
      </w:r>
      <w:r w:rsidR="00312495" w:rsidRPr="0036474B">
        <w:rPr>
          <w:rFonts w:ascii="Times New Roman" w:eastAsia="Times New Roman" w:hAnsi="Times New Roman" w:cs="Times New Roman"/>
          <w:b/>
          <w:noProof/>
          <w:sz w:val="24"/>
          <w:szCs w:val="24"/>
          <w:lang w:val="en-GB"/>
        </w:rPr>
        <w:t>s</w:t>
      </w:r>
      <w:r w:rsidRPr="0036474B">
        <w:rPr>
          <w:rFonts w:ascii="Times New Roman" w:eastAsia="Times New Roman" w:hAnsi="Times New Roman" w:cs="Times New Roman"/>
          <w:b/>
          <w:noProof/>
          <w:sz w:val="24"/>
          <w:szCs w:val="24"/>
          <w:lang w:val="en-GB"/>
        </w:rPr>
        <w:t>.</w:t>
      </w:r>
      <w:r w:rsidRPr="0036474B" w:rsidDel="002E2A9B">
        <w:rPr>
          <w:rFonts w:ascii="Times New Roman" w:eastAsia="Times New Roman" w:hAnsi="Times New Roman" w:cs="Times New Roman"/>
          <w:b/>
          <w:noProof/>
          <w:sz w:val="24"/>
          <w:szCs w:val="24"/>
          <w:lang w:val="en-GB"/>
        </w:rPr>
        <w:t xml:space="preserve"> </w:t>
      </w:r>
      <w:r w:rsidRPr="0036474B">
        <w:rPr>
          <w:rFonts w:ascii="Times New Roman" w:eastAsia="Times New Roman" w:hAnsi="Times New Roman" w:cs="Times New Roman"/>
          <w:noProof/>
          <w:sz w:val="24"/>
          <w:szCs w:val="24"/>
          <w:lang w:val="en-GB"/>
        </w:rPr>
        <w:t>EU banks rely predominantly on on-balance sheet lending (mortgages, corporate loans held to maturity), whereas US banks make extensive use of fee-based models and transfer mortgages to government-sponsored enterprises, moving the exposures that most heavily impact the floor off-balance sheet</w:t>
      </w:r>
      <w:r w:rsidR="00FE67D4">
        <w:rPr>
          <w:rStyle w:val="FootnoteReference"/>
          <w:rFonts w:ascii="Times New Roman" w:eastAsia="Times New Roman" w:hAnsi="Times New Roman" w:cs="Times New Roman"/>
          <w:noProof/>
          <w:sz w:val="24"/>
          <w:szCs w:val="24"/>
          <w:lang w:val="en-GB"/>
        </w:rPr>
        <w:footnoteReference w:id="79"/>
      </w:r>
      <w:r w:rsidRPr="0036474B">
        <w:rPr>
          <w:rFonts w:ascii="Times New Roman" w:eastAsia="Times New Roman" w:hAnsi="Times New Roman" w:cs="Times New Roman"/>
          <w:noProof/>
          <w:sz w:val="24"/>
          <w:szCs w:val="24"/>
          <w:lang w:val="en-GB"/>
        </w:rPr>
        <w:t>. This is not a calibration issue</w:t>
      </w:r>
      <w:r w:rsidR="00312495" w:rsidRPr="0036474B">
        <w:rPr>
          <w:rFonts w:ascii="Times New Roman" w:eastAsia="Times New Roman" w:hAnsi="Times New Roman" w:cs="Times New Roman"/>
          <w:noProof/>
          <w:sz w:val="24"/>
          <w:szCs w:val="24"/>
          <w:lang w:val="en-GB"/>
        </w:rPr>
        <w:t xml:space="preserve"> but</w:t>
      </w:r>
      <w:r w:rsidRPr="0036474B">
        <w:rPr>
          <w:rFonts w:ascii="Times New Roman" w:eastAsia="Times New Roman" w:hAnsi="Times New Roman" w:cs="Times New Roman"/>
          <w:noProof/>
          <w:sz w:val="24"/>
          <w:szCs w:val="24"/>
          <w:lang w:val="en-GB"/>
        </w:rPr>
        <w:t xml:space="preserve"> a structural feature of European financial intermediation that makes the same floor more binding in the EU than in the US. </w:t>
      </w:r>
      <w:r w:rsidRPr="0036474B">
        <w:rPr>
          <w:rFonts w:ascii="Times New Roman" w:eastAsia="Times New Roman" w:hAnsi="Times New Roman" w:cs="Times New Roman"/>
          <w:noProof/>
          <w:color w:val="242424"/>
          <w:sz w:val="24"/>
          <w:szCs w:val="24"/>
          <w:lang w:val="en-GB"/>
        </w:rPr>
        <w:t xml:space="preserve">At the same time, the output floor has a much stronger impact on the European economy because </w:t>
      </w:r>
      <w:r w:rsidR="00312495" w:rsidRPr="0036474B">
        <w:rPr>
          <w:rFonts w:ascii="Times New Roman" w:eastAsia="Times New Roman" w:hAnsi="Times New Roman" w:cs="Times New Roman"/>
          <w:noProof/>
          <w:color w:val="242424"/>
          <w:sz w:val="24"/>
          <w:szCs w:val="24"/>
          <w:lang w:val="en-GB"/>
        </w:rPr>
        <w:t xml:space="preserve">it </w:t>
      </w:r>
      <w:r w:rsidRPr="0036474B">
        <w:rPr>
          <w:rFonts w:ascii="Times New Roman" w:eastAsia="Times New Roman" w:hAnsi="Times New Roman" w:cs="Times New Roman"/>
          <w:noProof/>
          <w:color w:val="242424"/>
          <w:sz w:val="24"/>
          <w:szCs w:val="24"/>
          <w:lang w:val="en-GB"/>
        </w:rPr>
        <w:t>is much more dependent on bank</w:t>
      </w:r>
      <w:r w:rsidR="00333654" w:rsidRPr="0036474B">
        <w:rPr>
          <w:rFonts w:ascii="Times New Roman" w:eastAsia="Times New Roman" w:hAnsi="Times New Roman" w:cs="Times New Roman"/>
          <w:noProof/>
          <w:color w:val="242424"/>
          <w:sz w:val="24"/>
          <w:szCs w:val="24"/>
          <w:lang w:val="en-GB"/>
        </w:rPr>
        <w:t>-</w:t>
      </w:r>
      <w:r w:rsidRPr="0036474B">
        <w:rPr>
          <w:rFonts w:ascii="Times New Roman" w:eastAsia="Times New Roman" w:hAnsi="Times New Roman" w:cs="Times New Roman"/>
          <w:noProof/>
          <w:color w:val="242424"/>
          <w:sz w:val="24"/>
          <w:szCs w:val="24"/>
          <w:lang w:val="en-GB"/>
        </w:rPr>
        <w:t>based financing than the US economy that relies more heavily on well</w:t>
      </w:r>
      <w:r w:rsidR="00333654" w:rsidRPr="0036474B">
        <w:rPr>
          <w:rFonts w:ascii="Times New Roman" w:eastAsia="Times New Roman" w:hAnsi="Times New Roman" w:cs="Times New Roman"/>
          <w:noProof/>
          <w:color w:val="242424"/>
          <w:sz w:val="24"/>
          <w:szCs w:val="24"/>
          <w:lang w:val="en-GB"/>
        </w:rPr>
        <w:t>-</w:t>
      </w:r>
      <w:r w:rsidRPr="0036474B">
        <w:rPr>
          <w:rFonts w:ascii="Times New Roman" w:eastAsia="Times New Roman" w:hAnsi="Times New Roman" w:cs="Times New Roman"/>
          <w:noProof/>
          <w:color w:val="242424"/>
          <w:sz w:val="24"/>
          <w:szCs w:val="24"/>
          <w:lang w:val="en-GB"/>
        </w:rPr>
        <w:t>developed and large capital markets.</w:t>
      </w:r>
    </w:p>
    <w:p w14:paraId="0851248F" w14:textId="13A6BDDB" w:rsidR="00001ABA" w:rsidRPr="0036474B" w:rsidRDefault="00001ABA" w:rsidP="00C17A12">
      <w:pPr>
        <w:rPr>
          <w:rFonts w:ascii="Times New Roman" w:hAnsi="Times New Roman" w:cs="Times New Roman"/>
          <w:noProof/>
          <w:sz w:val="24"/>
          <w:szCs w:val="24"/>
          <w:lang w:val="en-GB"/>
        </w:rPr>
      </w:pPr>
      <w:r w:rsidRPr="0036474B">
        <w:rPr>
          <w:rFonts w:ascii="Times New Roman" w:eastAsia="Times New Roman" w:hAnsi="Times New Roman" w:cs="Times New Roman"/>
          <w:i/>
          <w:iCs/>
          <w:noProof/>
          <w:sz w:val="24"/>
          <w:szCs w:val="24"/>
          <w:lang w:val="en-GB"/>
        </w:rPr>
        <w:t>Level of application</w:t>
      </w:r>
    </w:p>
    <w:p w14:paraId="2C162084" w14:textId="73F99F97" w:rsidR="00F26587" w:rsidRPr="0036474B" w:rsidRDefault="00001ABA" w:rsidP="009F6F0C">
      <w:pPr>
        <w:pStyle w:val="ListParagraph"/>
        <w:numPr>
          <w:ilvl w:val="0"/>
          <w:numId w:val="13"/>
        </w:numPr>
        <w:spacing w:after="120" w:line="257" w:lineRule="auto"/>
        <w:ind w:left="714" w:hanging="357"/>
        <w:contextualSpacing w:val="0"/>
        <w:jc w:val="both"/>
        <w:rPr>
          <w:rFonts w:ascii="Times New Roman" w:hAnsi="Times New Roman" w:cs="Times New Roman"/>
          <w:noProof/>
          <w:sz w:val="24"/>
          <w:szCs w:val="24"/>
          <w:lang w:val="en-GB"/>
        </w:rPr>
      </w:pPr>
      <w:r w:rsidRPr="0036474B">
        <w:rPr>
          <w:rFonts w:ascii="Times New Roman" w:eastAsia="Times New Roman" w:hAnsi="Times New Roman" w:cs="Times New Roman"/>
          <w:b/>
          <w:bCs/>
          <w:noProof/>
          <w:sz w:val="24"/>
          <w:szCs w:val="24"/>
          <w:lang w:val="en-GB"/>
        </w:rPr>
        <w:t>Divergent application in the EU</w:t>
      </w:r>
      <w:r w:rsidRPr="0036474B">
        <w:rPr>
          <w:rFonts w:ascii="Times New Roman" w:eastAsia="Times New Roman" w:hAnsi="Times New Roman" w:cs="Times New Roman"/>
          <w:noProof/>
          <w:sz w:val="24"/>
          <w:szCs w:val="24"/>
          <w:lang w:val="en-GB"/>
        </w:rPr>
        <w:t xml:space="preserve">. The BCBS framework calibrated the output floor at the consolidated group level. The rationale was clear: the floor is a portfolio-level backstop. A group with a diversified portfolio across subsidiaries in multiple countries may have low aggregate internal model risk while individual subsidiaries show higher or lower IRB-to-SA ratios, depending on their specific portfolio mix. Applying the floor entity-by-entity produces a mechanically different and more punitive outcome than the Basel Committee intended or modelled in its impact assessments. </w:t>
      </w:r>
    </w:p>
    <w:p w14:paraId="667589EF" w14:textId="77777777" w:rsidR="00001ABA" w:rsidRPr="0036474B" w:rsidRDefault="00001ABA" w:rsidP="009F6F0C">
      <w:pPr>
        <w:pStyle w:val="ListParagraph"/>
        <w:spacing w:after="120" w:line="257" w:lineRule="auto"/>
        <w:contextualSpacing w:val="0"/>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Following a proposal by the Commission in 2021 to apply the output floor only at consolidated level, the interinstitutional negotiations led to a different approach, whereby the output floor would apply at both the consolidated level and at the individual/sub-consolidated level, for each legal entity within the group (Article 94(4) CRR3). The logic was:</w:t>
      </w:r>
    </w:p>
    <w:p w14:paraId="46398970" w14:textId="057F5E39" w:rsidR="00001ABA" w:rsidRPr="0036474B" w:rsidRDefault="00001ABA" w:rsidP="009F6F0C">
      <w:pPr>
        <w:pStyle w:val="ListParagraph"/>
        <w:numPr>
          <w:ilvl w:val="0"/>
          <w:numId w:val="40"/>
        </w:numPr>
        <w:spacing w:after="120" w:line="257" w:lineRule="auto"/>
        <w:contextualSpacing w:val="0"/>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 xml:space="preserve">Host country supervisory control: </w:t>
      </w:r>
      <w:r w:rsidR="00185272" w:rsidRPr="0036474B">
        <w:rPr>
          <w:rFonts w:ascii="Times New Roman" w:eastAsia="Times New Roman" w:hAnsi="Times New Roman" w:cs="Times New Roman"/>
          <w:noProof/>
          <w:sz w:val="24"/>
          <w:szCs w:val="24"/>
          <w:lang w:val="en-GB"/>
        </w:rPr>
        <w:t>retaining</w:t>
      </w:r>
      <w:r w:rsidRPr="0036474B">
        <w:rPr>
          <w:rFonts w:ascii="Times New Roman" w:eastAsia="Times New Roman" w:hAnsi="Times New Roman" w:cs="Times New Roman"/>
          <w:noProof/>
          <w:sz w:val="24"/>
          <w:szCs w:val="24"/>
          <w:lang w:val="en-GB"/>
        </w:rPr>
        <w:t xml:space="preserve"> the ability to ensure local entities held sufficient capital, particularly given the absence of a completed Banking Union (</w:t>
      </w:r>
      <w:r w:rsidR="00D878C8" w:rsidRPr="0036474B">
        <w:rPr>
          <w:rFonts w:ascii="Times New Roman" w:eastAsia="Times New Roman" w:hAnsi="Times New Roman" w:cs="Times New Roman"/>
          <w:noProof/>
          <w:sz w:val="24"/>
          <w:szCs w:val="24"/>
          <w:lang w:val="en-GB"/>
        </w:rPr>
        <w:t>in particular the absence of common deposit insurance and</w:t>
      </w:r>
      <w:r w:rsidRPr="0036474B">
        <w:rPr>
          <w:rFonts w:ascii="Times New Roman" w:eastAsia="Times New Roman" w:hAnsi="Times New Roman" w:cs="Times New Roman"/>
          <w:noProof/>
          <w:sz w:val="24"/>
          <w:szCs w:val="24"/>
          <w:lang w:val="en-GB"/>
        </w:rPr>
        <w:t xml:space="preserve"> unresolved </w:t>
      </w:r>
      <w:r w:rsidR="00D878C8" w:rsidRPr="0036474B">
        <w:rPr>
          <w:rFonts w:ascii="Times New Roman" w:eastAsia="Times New Roman" w:hAnsi="Times New Roman" w:cs="Times New Roman"/>
          <w:noProof/>
          <w:sz w:val="24"/>
          <w:szCs w:val="24"/>
          <w:lang w:val="en-GB"/>
        </w:rPr>
        <w:t xml:space="preserve">issues to enhance </w:t>
      </w:r>
      <w:r w:rsidRPr="0036474B">
        <w:rPr>
          <w:rFonts w:ascii="Times New Roman" w:eastAsia="Times New Roman" w:hAnsi="Times New Roman" w:cs="Times New Roman"/>
          <w:noProof/>
          <w:sz w:val="24"/>
          <w:szCs w:val="24"/>
          <w:lang w:val="en-GB"/>
        </w:rPr>
        <w:t>cross-border crisis management).</w:t>
      </w:r>
    </w:p>
    <w:p w14:paraId="285A71F1" w14:textId="77777777" w:rsidR="00001ABA" w:rsidRPr="0036474B" w:rsidRDefault="00001ABA" w:rsidP="009F6F0C">
      <w:pPr>
        <w:pStyle w:val="ListParagraph"/>
        <w:numPr>
          <w:ilvl w:val="0"/>
          <w:numId w:val="40"/>
        </w:numPr>
        <w:spacing w:after="120" w:line="257" w:lineRule="auto"/>
        <w:contextualSpacing w:val="0"/>
        <w:jc w:val="both"/>
        <w:rPr>
          <w:rFonts w:ascii="Times New Roman" w:eastAsia="Times New Roman" w:hAnsi="Times New Roman" w:cs="Times New Roman"/>
          <w:noProof/>
          <w:sz w:val="24"/>
          <w:szCs w:val="24"/>
          <w:lang w:val="en-GB"/>
        </w:rPr>
      </w:pPr>
      <w:r w:rsidRPr="0036474B">
        <w:rPr>
          <w:rFonts w:ascii="Times New Roman" w:eastAsia="Times New Roman" w:hAnsi="Times New Roman" w:cs="Times New Roman"/>
          <w:noProof/>
          <w:sz w:val="24"/>
          <w:szCs w:val="24"/>
          <w:lang w:val="en-GB"/>
        </w:rPr>
        <w:t xml:space="preserve">Capital drain risk: without solo-level requirements, parent groups could upstream capital from subsidiaries in stressed periods, leaving local depositors and taxpayers exposed. </w:t>
      </w:r>
    </w:p>
    <w:p w14:paraId="3387456C" w14:textId="77777777" w:rsidR="00001ABA" w:rsidRPr="0036474B" w:rsidRDefault="00001ABA" w:rsidP="009F6F0C">
      <w:pPr>
        <w:pStyle w:val="ListParagraph"/>
        <w:spacing w:after="120" w:line="257" w:lineRule="auto"/>
        <w:contextualSpacing w:val="0"/>
        <w:jc w:val="both"/>
        <w:rPr>
          <w:rFonts w:ascii="Times New Roman" w:hAnsi="Times New Roman" w:cs="Times New Roman"/>
          <w:noProof/>
          <w:sz w:val="24"/>
          <w:szCs w:val="24"/>
        </w:rPr>
      </w:pPr>
      <w:r w:rsidRPr="0036474B">
        <w:rPr>
          <w:rFonts w:ascii="Times New Roman" w:eastAsia="Times New Roman" w:hAnsi="Times New Roman" w:cs="Times New Roman"/>
          <w:noProof/>
          <w:sz w:val="24"/>
          <w:szCs w:val="24"/>
          <w:lang w:val="en-GB"/>
        </w:rPr>
        <w:t xml:space="preserve">The application of the output floor at individual level is a deliberate EU gold-plating over the Basel III standard. </w:t>
      </w:r>
    </w:p>
    <w:p w14:paraId="677F1533" w14:textId="77777777" w:rsidR="00001ABA" w:rsidRPr="0036474B" w:rsidRDefault="00001ABA" w:rsidP="00E61D74">
      <w:pPr>
        <w:rPr>
          <w:rFonts w:ascii="Times New Roman" w:hAnsi="Times New Roman" w:cs="Times New Roman"/>
          <w:noProof/>
          <w:sz w:val="24"/>
          <w:szCs w:val="24"/>
          <w:lang w:val="en-GB"/>
        </w:rPr>
      </w:pPr>
      <w:r w:rsidRPr="0036474B">
        <w:rPr>
          <w:rFonts w:ascii="Times New Roman" w:eastAsia="Times New Roman" w:hAnsi="Times New Roman" w:cs="Times New Roman"/>
          <w:i/>
          <w:noProof/>
          <w:sz w:val="24"/>
          <w:szCs w:val="24"/>
          <w:lang w:val="en-GB"/>
        </w:rPr>
        <w:t>Risk areas of application</w:t>
      </w:r>
    </w:p>
    <w:p w14:paraId="483797A8" w14:textId="32E2EC99" w:rsidR="7EE2C288" w:rsidRDefault="7EE2C288" w:rsidP="588E7979">
      <w:pPr>
        <w:pStyle w:val="ListParagraph"/>
        <w:numPr>
          <w:ilvl w:val="0"/>
          <w:numId w:val="13"/>
        </w:numPr>
        <w:spacing w:after="120" w:line="257" w:lineRule="auto"/>
        <w:ind w:left="714" w:hanging="357"/>
        <w:contextualSpacing w:val="0"/>
        <w:jc w:val="both"/>
        <w:rPr>
          <w:rFonts w:ascii="Times New Roman" w:hAnsi="Times New Roman" w:cs="Times New Roman"/>
          <w:b/>
          <w:bCs/>
          <w:noProof/>
          <w:sz w:val="24"/>
          <w:szCs w:val="24"/>
          <w:lang w:val="en-GB"/>
        </w:rPr>
      </w:pPr>
      <w:r w:rsidRPr="588E7979">
        <w:rPr>
          <w:rFonts w:ascii="Times New Roman" w:hAnsi="Times New Roman" w:cs="Times New Roman"/>
          <w:b/>
          <w:bCs/>
          <w:noProof/>
          <w:sz w:val="24"/>
          <w:szCs w:val="24"/>
          <w:lang w:val="en-GB"/>
        </w:rPr>
        <w:t xml:space="preserve">Scope of the output floor (credit risk </w:t>
      </w:r>
      <w:r w:rsidR="1F764827" w:rsidRPr="588E7979">
        <w:rPr>
          <w:rFonts w:ascii="Times New Roman" w:hAnsi="Times New Roman" w:cs="Times New Roman"/>
          <w:b/>
          <w:bCs/>
          <w:noProof/>
          <w:sz w:val="24"/>
          <w:szCs w:val="24"/>
          <w:lang w:val="en-GB"/>
        </w:rPr>
        <w:t>only</w:t>
      </w:r>
      <w:r w:rsidRPr="588E7979">
        <w:rPr>
          <w:rFonts w:ascii="Times New Roman" w:hAnsi="Times New Roman" w:cs="Times New Roman"/>
          <w:b/>
          <w:bCs/>
          <w:noProof/>
          <w:sz w:val="24"/>
          <w:szCs w:val="24"/>
          <w:lang w:val="en-GB"/>
        </w:rPr>
        <w:t xml:space="preserve"> </w:t>
      </w:r>
      <w:r w:rsidR="1F764827" w:rsidRPr="588E7979">
        <w:rPr>
          <w:rFonts w:ascii="Times New Roman" w:hAnsi="Times New Roman" w:cs="Times New Roman"/>
          <w:b/>
          <w:bCs/>
          <w:noProof/>
          <w:sz w:val="24"/>
          <w:szCs w:val="24"/>
          <w:lang w:val="en-GB"/>
        </w:rPr>
        <w:t>or</w:t>
      </w:r>
      <w:r w:rsidRPr="588E7979">
        <w:rPr>
          <w:rFonts w:ascii="Times New Roman" w:hAnsi="Times New Roman" w:cs="Times New Roman"/>
          <w:b/>
          <w:bCs/>
          <w:noProof/>
          <w:sz w:val="24"/>
          <w:szCs w:val="24"/>
          <w:lang w:val="en-GB"/>
        </w:rPr>
        <w:t xml:space="preserve"> full balance sheet). </w:t>
      </w:r>
      <w:r w:rsidRPr="588E7979">
        <w:rPr>
          <w:rFonts w:ascii="Times New Roman" w:hAnsi="Times New Roman" w:cs="Times New Roman"/>
          <w:noProof/>
          <w:sz w:val="24"/>
          <w:szCs w:val="24"/>
          <w:lang w:val="en-GB"/>
        </w:rPr>
        <w:t>The application of the output floor as a single stack considering all risk areas creates disincentives for banks to develop market risk internal models, which instead have positive effects on banks’ risk management practices</w:t>
      </w:r>
      <w:r w:rsidR="27AF7A33" w:rsidRPr="588E7979">
        <w:rPr>
          <w:rFonts w:ascii="Times New Roman" w:hAnsi="Times New Roman" w:cs="Times New Roman"/>
          <w:noProof/>
          <w:sz w:val="24"/>
          <w:szCs w:val="24"/>
          <w:lang w:val="en-GB"/>
        </w:rPr>
        <w:t>.</w:t>
      </w:r>
    </w:p>
    <w:p w14:paraId="441E4E58" w14:textId="2BC1573F" w:rsidR="588E7979" w:rsidRDefault="588E7979" w:rsidP="588E7979">
      <w:pPr>
        <w:spacing w:after="120" w:line="257" w:lineRule="auto"/>
        <w:jc w:val="both"/>
        <w:rPr>
          <w:rFonts w:ascii="Times New Roman" w:hAnsi="Times New Roman" w:cs="Times New Roman"/>
          <w:b/>
          <w:bCs/>
          <w:noProof/>
          <w:sz w:val="24"/>
          <w:szCs w:val="24"/>
          <w:lang w:val="en-GB"/>
        </w:rPr>
      </w:pPr>
    </w:p>
    <w:p w14:paraId="55B9D442" w14:textId="759765BA" w:rsidR="04F0F500" w:rsidRDefault="04F0F500" w:rsidP="00B00C18">
      <w:pPr>
        <w:pStyle w:val="ListParagraph"/>
        <w:numPr>
          <w:ilvl w:val="2"/>
          <w:numId w:val="11"/>
        </w:numPr>
        <w:ind w:left="1077"/>
        <w:outlineLvl w:val="2"/>
        <w:rPr>
          <w:rFonts w:ascii="Times New Roman" w:hAnsi="Times New Roman" w:cs="Times New Roman"/>
          <w:b/>
          <w:bCs/>
          <w:noProof/>
          <w:sz w:val="24"/>
          <w:szCs w:val="24"/>
          <w:lang w:val="en-GB"/>
        </w:rPr>
      </w:pPr>
      <w:bookmarkStart w:id="35" w:name="_Toc234341741"/>
      <w:r w:rsidRPr="61F46FAE">
        <w:rPr>
          <w:rFonts w:ascii="Times New Roman" w:hAnsi="Times New Roman" w:cs="Times New Roman"/>
          <w:b/>
          <w:bCs/>
          <w:noProof/>
          <w:sz w:val="24"/>
          <w:szCs w:val="24"/>
          <w:lang w:val="en-GB"/>
        </w:rPr>
        <w:t>Credit risk</w:t>
      </w:r>
      <w:bookmarkEnd w:id="35"/>
    </w:p>
    <w:p w14:paraId="40F133F3" w14:textId="2E4474B5" w:rsidR="00F26A7F" w:rsidRDefault="001F65CC" w:rsidP="03627515">
      <w:pPr>
        <w:spacing w:after="120" w:line="257"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C</w:t>
      </w:r>
      <w:r w:rsidR="1CC4F7D4" w:rsidRPr="03627515">
        <w:rPr>
          <w:rFonts w:ascii="Times New Roman" w:hAnsi="Times New Roman" w:cs="Times New Roman"/>
          <w:noProof/>
          <w:sz w:val="24"/>
          <w:szCs w:val="24"/>
          <w:lang w:val="en-GB"/>
        </w:rPr>
        <w:t xml:space="preserve">redit risk is </w:t>
      </w:r>
      <w:r w:rsidR="00565F53" w:rsidRPr="00565F53">
        <w:rPr>
          <w:rFonts w:ascii="Times New Roman" w:hAnsi="Times New Roman" w:cs="Times New Roman"/>
          <w:noProof/>
          <w:sz w:val="24"/>
          <w:szCs w:val="24"/>
          <w:lang w:val="en-GB"/>
        </w:rPr>
        <w:t xml:space="preserve">the </w:t>
      </w:r>
      <w:r w:rsidR="51CA883F" w:rsidRPr="37DFF5C2">
        <w:rPr>
          <w:rFonts w:ascii="Times New Roman" w:hAnsi="Times New Roman" w:cs="Times New Roman"/>
          <w:noProof/>
          <w:sz w:val="24"/>
          <w:szCs w:val="24"/>
          <w:lang w:val="en-GB"/>
        </w:rPr>
        <w:t xml:space="preserve">dominant </w:t>
      </w:r>
      <w:r w:rsidR="00565F53" w:rsidRPr="37DFF5C2">
        <w:rPr>
          <w:rFonts w:ascii="Times New Roman" w:hAnsi="Times New Roman" w:cs="Times New Roman"/>
          <w:noProof/>
          <w:sz w:val="24"/>
          <w:szCs w:val="24"/>
          <w:lang w:val="en-GB"/>
        </w:rPr>
        <w:t>risk</w:t>
      </w:r>
      <w:r w:rsidR="00565F53" w:rsidRPr="00565F53">
        <w:rPr>
          <w:rFonts w:ascii="Times New Roman" w:hAnsi="Times New Roman" w:cs="Times New Roman"/>
          <w:noProof/>
          <w:sz w:val="24"/>
          <w:szCs w:val="24"/>
          <w:lang w:val="en-GB"/>
        </w:rPr>
        <w:t xml:space="preserve"> </w:t>
      </w:r>
      <w:r w:rsidR="751BD3F0" w:rsidRPr="18BF6E20">
        <w:rPr>
          <w:rFonts w:ascii="Times New Roman" w:hAnsi="Times New Roman" w:cs="Times New Roman"/>
          <w:noProof/>
          <w:sz w:val="24"/>
          <w:szCs w:val="24"/>
          <w:lang w:val="en-GB"/>
        </w:rPr>
        <w:t xml:space="preserve">category </w:t>
      </w:r>
      <w:r w:rsidR="001E5237">
        <w:rPr>
          <w:rFonts w:ascii="Times New Roman" w:hAnsi="Times New Roman" w:cs="Times New Roman"/>
          <w:noProof/>
          <w:sz w:val="24"/>
          <w:szCs w:val="24"/>
          <w:lang w:val="en-GB"/>
        </w:rPr>
        <w:t xml:space="preserve">for </w:t>
      </w:r>
      <w:r w:rsidR="009D10DD">
        <w:rPr>
          <w:rFonts w:ascii="Times New Roman" w:hAnsi="Times New Roman" w:cs="Times New Roman"/>
          <w:noProof/>
          <w:sz w:val="24"/>
          <w:szCs w:val="24"/>
          <w:lang w:val="en-GB"/>
        </w:rPr>
        <w:t xml:space="preserve">EU </w:t>
      </w:r>
      <w:r w:rsidR="009D10DD" w:rsidRPr="0B09B65C">
        <w:rPr>
          <w:rFonts w:ascii="Times New Roman" w:hAnsi="Times New Roman" w:cs="Times New Roman"/>
          <w:noProof/>
          <w:sz w:val="24"/>
          <w:szCs w:val="24"/>
          <w:lang w:val="en-GB"/>
        </w:rPr>
        <w:t>banks</w:t>
      </w:r>
      <w:r w:rsidR="002E2FAF">
        <w:rPr>
          <w:rFonts w:ascii="Times New Roman" w:hAnsi="Times New Roman" w:cs="Times New Roman"/>
          <w:noProof/>
          <w:sz w:val="24"/>
          <w:szCs w:val="24"/>
          <w:lang w:val="en-GB"/>
        </w:rPr>
        <w:t>, amounting to</w:t>
      </w:r>
      <w:r w:rsidR="001E5237">
        <w:rPr>
          <w:rFonts w:ascii="Times New Roman" w:hAnsi="Times New Roman" w:cs="Times New Roman"/>
          <w:noProof/>
          <w:sz w:val="24"/>
          <w:szCs w:val="24"/>
          <w:lang w:val="en-GB"/>
        </w:rPr>
        <w:t xml:space="preserve"> </w:t>
      </w:r>
      <w:r w:rsidR="002E2FAF" w:rsidRPr="004F111B">
        <w:rPr>
          <w:rFonts w:ascii="Times New Roman" w:hAnsi="Times New Roman" w:cs="Times New Roman"/>
          <w:noProof/>
          <w:sz w:val="24"/>
          <w:szCs w:val="24"/>
          <w:lang w:val="en-GB"/>
        </w:rPr>
        <w:t xml:space="preserve">approximately </w:t>
      </w:r>
      <w:r w:rsidR="002E2FAF" w:rsidRPr="7BF27CFD">
        <w:rPr>
          <w:rFonts w:ascii="Times New Roman" w:hAnsi="Times New Roman" w:cs="Times New Roman"/>
          <w:noProof/>
          <w:sz w:val="24"/>
          <w:szCs w:val="24"/>
          <w:lang w:val="en-GB"/>
        </w:rPr>
        <w:t>8</w:t>
      </w:r>
      <w:r w:rsidR="2C940BB8" w:rsidRPr="7BF27CFD">
        <w:rPr>
          <w:rFonts w:ascii="Times New Roman" w:hAnsi="Times New Roman" w:cs="Times New Roman"/>
          <w:noProof/>
          <w:sz w:val="24"/>
          <w:szCs w:val="24"/>
          <w:lang w:val="en-GB"/>
        </w:rPr>
        <w:t>2</w:t>
      </w:r>
      <w:r w:rsidR="002E2FAF" w:rsidRPr="004F111B">
        <w:rPr>
          <w:rFonts w:ascii="Times New Roman" w:hAnsi="Times New Roman" w:cs="Times New Roman"/>
          <w:noProof/>
          <w:sz w:val="24"/>
          <w:szCs w:val="24"/>
          <w:lang w:val="en-GB"/>
        </w:rPr>
        <w:t xml:space="preserve">% of total </w:t>
      </w:r>
      <w:r w:rsidR="4775CC49" w:rsidRPr="616FA7CF">
        <w:rPr>
          <w:rFonts w:ascii="Times New Roman" w:hAnsi="Times New Roman" w:cs="Times New Roman"/>
          <w:noProof/>
          <w:sz w:val="24"/>
          <w:szCs w:val="24"/>
          <w:lang w:val="en-GB"/>
        </w:rPr>
        <w:t>risk</w:t>
      </w:r>
      <w:r w:rsidR="4CE93741" w:rsidRPr="616FA7CF">
        <w:rPr>
          <w:rFonts w:ascii="Times New Roman" w:hAnsi="Times New Roman" w:cs="Times New Roman"/>
          <w:noProof/>
          <w:sz w:val="24"/>
          <w:szCs w:val="24"/>
          <w:lang w:val="en-GB"/>
        </w:rPr>
        <w:t>-weighted exposure amounts (</w:t>
      </w:r>
      <w:r w:rsidR="002E2FAF" w:rsidRPr="6CACC207">
        <w:rPr>
          <w:rFonts w:ascii="Times New Roman" w:hAnsi="Times New Roman" w:cs="Times New Roman"/>
          <w:noProof/>
          <w:sz w:val="24"/>
          <w:szCs w:val="24"/>
          <w:lang w:val="en-GB"/>
        </w:rPr>
        <w:t>RW</w:t>
      </w:r>
      <w:r w:rsidR="2B4B2B43" w:rsidRPr="6CACC207">
        <w:rPr>
          <w:rFonts w:ascii="Times New Roman" w:hAnsi="Times New Roman" w:cs="Times New Roman"/>
          <w:noProof/>
          <w:sz w:val="24"/>
          <w:szCs w:val="24"/>
          <w:lang w:val="en-GB"/>
        </w:rPr>
        <w:t>E</w:t>
      </w:r>
      <w:r w:rsidR="002E2FAF" w:rsidRPr="6CACC207">
        <w:rPr>
          <w:rFonts w:ascii="Times New Roman" w:hAnsi="Times New Roman" w:cs="Times New Roman"/>
          <w:noProof/>
          <w:sz w:val="24"/>
          <w:szCs w:val="24"/>
          <w:lang w:val="en-GB"/>
        </w:rPr>
        <w:t>As</w:t>
      </w:r>
      <w:r w:rsidR="4CE93741" w:rsidRPr="0B09B65C">
        <w:rPr>
          <w:rFonts w:ascii="Times New Roman" w:hAnsi="Times New Roman" w:cs="Times New Roman"/>
          <w:noProof/>
          <w:sz w:val="24"/>
          <w:szCs w:val="24"/>
          <w:lang w:val="en-GB"/>
        </w:rPr>
        <w:t>)</w:t>
      </w:r>
      <w:r w:rsidR="5D648F2E" w:rsidRPr="0B09B65C">
        <w:rPr>
          <w:rFonts w:ascii="Times New Roman" w:hAnsi="Times New Roman" w:cs="Times New Roman"/>
          <w:noProof/>
          <w:sz w:val="24"/>
          <w:szCs w:val="24"/>
          <w:lang w:val="en-GB"/>
        </w:rPr>
        <w:t>,</w:t>
      </w:r>
      <w:r w:rsidR="5D648F2E" w:rsidRPr="12158C38">
        <w:rPr>
          <w:rFonts w:ascii="Times New Roman" w:hAnsi="Times New Roman" w:cs="Times New Roman"/>
          <w:noProof/>
          <w:sz w:val="24"/>
          <w:szCs w:val="24"/>
          <w:lang w:val="en-GB"/>
        </w:rPr>
        <w:t xml:space="preserve"> t</w:t>
      </w:r>
      <w:r w:rsidR="71F6A9AD" w:rsidRPr="12158C38">
        <w:rPr>
          <w:rFonts w:ascii="Times New Roman" w:hAnsi="Times New Roman" w:cs="Times New Roman"/>
          <w:noProof/>
          <w:sz w:val="24"/>
          <w:szCs w:val="24"/>
          <w:lang w:val="en-GB"/>
        </w:rPr>
        <w:t>hat</w:t>
      </w:r>
      <w:r w:rsidR="71F6A9AD" w:rsidRPr="60553CE1">
        <w:rPr>
          <w:rFonts w:ascii="Times New Roman" w:hAnsi="Times New Roman" w:cs="Times New Roman"/>
          <w:noProof/>
          <w:sz w:val="24"/>
          <w:szCs w:val="24"/>
          <w:lang w:val="en-GB"/>
        </w:rPr>
        <w:t xml:space="preserve"> reflects the</w:t>
      </w:r>
      <w:r w:rsidR="1CC4F7D4" w:rsidRPr="03627515">
        <w:rPr>
          <w:rFonts w:ascii="Times New Roman" w:hAnsi="Times New Roman" w:cs="Times New Roman"/>
          <w:noProof/>
          <w:sz w:val="24"/>
          <w:szCs w:val="24"/>
          <w:lang w:val="en-GB"/>
        </w:rPr>
        <w:t xml:space="preserve"> central role </w:t>
      </w:r>
      <w:r w:rsidR="0D0D74AC" w:rsidRPr="69E46C98">
        <w:rPr>
          <w:rFonts w:ascii="Times New Roman" w:hAnsi="Times New Roman" w:cs="Times New Roman"/>
          <w:noProof/>
          <w:sz w:val="24"/>
          <w:szCs w:val="24"/>
          <w:lang w:val="en-GB"/>
        </w:rPr>
        <w:t xml:space="preserve">of the banking sector </w:t>
      </w:r>
      <w:r w:rsidR="1CC4F7D4" w:rsidRPr="69E46C98">
        <w:rPr>
          <w:rFonts w:ascii="Times New Roman" w:hAnsi="Times New Roman" w:cs="Times New Roman"/>
          <w:noProof/>
          <w:sz w:val="24"/>
          <w:szCs w:val="24"/>
          <w:lang w:val="en-GB"/>
        </w:rPr>
        <w:t>in</w:t>
      </w:r>
      <w:r w:rsidR="1CC4F7D4" w:rsidRPr="03627515">
        <w:rPr>
          <w:rFonts w:ascii="Times New Roman" w:hAnsi="Times New Roman" w:cs="Times New Roman"/>
          <w:noProof/>
          <w:sz w:val="24"/>
          <w:szCs w:val="24"/>
          <w:lang w:val="en-GB"/>
        </w:rPr>
        <w:t xml:space="preserve"> financing households and businesses</w:t>
      </w:r>
      <w:r w:rsidR="2FB05E81" w:rsidRPr="616FA7CF">
        <w:rPr>
          <w:rFonts w:ascii="Times New Roman" w:hAnsi="Times New Roman" w:cs="Times New Roman"/>
          <w:noProof/>
          <w:sz w:val="24"/>
          <w:szCs w:val="24"/>
          <w:lang w:val="en-GB"/>
        </w:rPr>
        <w:t>.</w:t>
      </w:r>
      <w:r w:rsidR="00FA07E1">
        <w:rPr>
          <w:rFonts w:ascii="Times New Roman" w:hAnsi="Times New Roman" w:cs="Times New Roman"/>
          <w:noProof/>
          <w:sz w:val="24"/>
          <w:szCs w:val="24"/>
          <w:lang w:val="en-GB"/>
        </w:rPr>
        <w:t xml:space="preserve"> </w:t>
      </w:r>
      <w:r w:rsidR="006149B6">
        <w:rPr>
          <w:rFonts w:ascii="Times New Roman" w:hAnsi="Times New Roman" w:cs="Times New Roman"/>
          <w:noProof/>
          <w:sz w:val="24"/>
          <w:szCs w:val="24"/>
          <w:lang w:val="en-GB"/>
        </w:rPr>
        <w:t xml:space="preserve">Notably, </w:t>
      </w:r>
      <w:r w:rsidR="006149B6" w:rsidRPr="05D5728E">
        <w:rPr>
          <w:rFonts w:ascii="Times New Roman" w:hAnsi="Times New Roman" w:cs="Times New Roman"/>
          <w:noProof/>
          <w:sz w:val="24"/>
          <w:szCs w:val="24"/>
          <w:lang w:val="en-GB"/>
        </w:rPr>
        <w:t>t</w:t>
      </w:r>
      <w:r w:rsidR="536A0060" w:rsidRPr="05D5728E">
        <w:rPr>
          <w:rFonts w:ascii="Times New Roman" w:hAnsi="Times New Roman" w:cs="Times New Roman"/>
          <w:noProof/>
          <w:sz w:val="24"/>
          <w:szCs w:val="24"/>
          <w:lang w:val="en-GB"/>
        </w:rPr>
        <w:t>he</w:t>
      </w:r>
      <w:r w:rsidR="536A0060" w:rsidRPr="5E3E8195">
        <w:rPr>
          <w:rFonts w:ascii="Times New Roman" w:hAnsi="Times New Roman" w:cs="Times New Roman"/>
          <w:noProof/>
          <w:sz w:val="24"/>
          <w:szCs w:val="24"/>
          <w:lang w:val="en-GB"/>
        </w:rPr>
        <w:t xml:space="preserve"> corporate sector</w:t>
      </w:r>
      <w:r w:rsidR="1CC4F7D4" w:rsidRPr="03627515">
        <w:rPr>
          <w:rFonts w:ascii="Times New Roman" w:hAnsi="Times New Roman" w:cs="Times New Roman"/>
          <w:noProof/>
          <w:sz w:val="24"/>
          <w:szCs w:val="24"/>
          <w:lang w:val="en-GB"/>
        </w:rPr>
        <w:t xml:space="preserve">, especially small and medium-sized enterprises (SMEs), </w:t>
      </w:r>
      <w:r w:rsidR="00C03224">
        <w:rPr>
          <w:rFonts w:ascii="Times New Roman" w:hAnsi="Times New Roman" w:cs="Times New Roman"/>
          <w:noProof/>
          <w:sz w:val="24"/>
          <w:szCs w:val="24"/>
          <w:lang w:val="en-GB"/>
        </w:rPr>
        <w:t>startups and scale ups</w:t>
      </w:r>
      <w:r w:rsidR="00AC10F3">
        <w:rPr>
          <w:rFonts w:ascii="Times New Roman" w:hAnsi="Times New Roman" w:cs="Times New Roman"/>
          <w:noProof/>
          <w:sz w:val="24"/>
          <w:szCs w:val="24"/>
          <w:lang w:val="en-GB"/>
        </w:rPr>
        <w:t>,</w:t>
      </w:r>
      <w:r w:rsidR="00981E5A">
        <w:rPr>
          <w:rFonts w:ascii="Times New Roman" w:hAnsi="Times New Roman" w:cs="Times New Roman"/>
          <w:noProof/>
          <w:sz w:val="24"/>
          <w:szCs w:val="24"/>
          <w:lang w:val="en-GB"/>
        </w:rPr>
        <w:t xml:space="preserve"> </w:t>
      </w:r>
      <w:r w:rsidR="1CC4F7D4" w:rsidRPr="03627515">
        <w:rPr>
          <w:rFonts w:ascii="Times New Roman" w:hAnsi="Times New Roman" w:cs="Times New Roman"/>
          <w:noProof/>
          <w:sz w:val="24"/>
          <w:szCs w:val="24"/>
          <w:lang w:val="en-GB"/>
        </w:rPr>
        <w:t xml:space="preserve">rely heavily on </w:t>
      </w:r>
      <w:r w:rsidR="00981E5A" w:rsidRPr="05D5728E">
        <w:rPr>
          <w:rFonts w:ascii="Times New Roman" w:hAnsi="Times New Roman" w:cs="Times New Roman"/>
          <w:noProof/>
          <w:sz w:val="24"/>
          <w:szCs w:val="24"/>
          <w:lang w:val="en-GB"/>
        </w:rPr>
        <w:t>bank</w:t>
      </w:r>
      <w:r w:rsidR="1CC4F7D4" w:rsidRPr="03627515">
        <w:rPr>
          <w:rFonts w:ascii="Times New Roman" w:hAnsi="Times New Roman" w:cs="Times New Roman"/>
          <w:noProof/>
          <w:sz w:val="24"/>
          <w:szCs w:val="24"/>
          <w:lang w:val="en-GB"/>
        </w:rPr>
        <w:t xml:space="preserve"> lending</w:t>
      </w:r>
      <w:r w:rsidR="2F8B2FDE" w:rsidRPr="5E3E8195">
        <w:rPr>
          <w:rFonts w:ascii="Times New Roman" w:hAnsi="Times New Roman" w:cs="Times New Roman"/>
          <w:noProof/>
          <w:sz w:val="24"/>
          <w:szCs w:val="24"/>
          <w:lang w:val="en-GB"/>
        </w:rPr>
        <w:t xml:space="preserve"> as main source of financing</w:t>
      </w:r>
      <w:r w:rsidR="1CC4F7D4" w:rsidRPr="03627515">
        <w:rPr>
          <w:rFonts w:ascii="Times New Roman" w:hAnsi="Times New Roman" w:cs="Times New Roman"/>
          <w:noProof/>
          <w:sz w:val="24"/>
          <w:szCs w:val="24"/>
          <w:lang w:val="en-GB"/>
        </w:rPr>
        <w:t>.</w:t>
      </w:r>
      <w:r w:rsidR="721454DA" w:rsidRPr="12158C38">
        <w:rPr>
          <w:rFonts w:ascii="Times New Roman" w:hAnsi="Times New Roman" w:cs="Times New Roman"/>
          <w:noProof/>
          <w:sz w:val="24"/>
          <w:szCs w:val="24"/>
          <w:lang w:val="en-GB"/>
        </w:rPr>
        <w:t xml:space="preserve"> </w:t>
      </w:r>
      <w:r w:rsidR="721454DA" w:rsidRPr="3535EBBA">
        <w:rPr>
          <w:rFonts w:ascii="Times New Roman" w:hAnsi="Times New Roman" w:cs="Times New Roman"/>
          <w:noProof/>
          <w:sz w:val="24"/>
          <w:szCs w:val="24"/>
          <w:lang w:val="en-GB"/>
        </w:rPr>
        <w:t>Consequently, competent authorities</w:t>
      </w:r>
      <w:r w:rsidR="4B66DE8E" w:rsidRPr="3535EBBA">
        <w:rPr>
          <w:rFonts w:ascii="Times New Roman" w:hAnsi="Times New Roman" w:cs="Times New Roman"/>
          <w:noProof/>
          <w:sz w:val="24"/>
          <w:szCs w:val="24"/>
          <w:lang w:val="en-GB"/>
        </w:rPr>
        <w:t xml:space="preserve"> focus </w:t>
      </w:r>
      <w:r w:rsidR="4B66DE8E" w:rsidRPr="093155E6">
        <w:rPr>
          <w:rFonts w:ascii="Times New Roman" w:hAnsi="Times New Roman" w:cs="Times New Roman"/>
          <w:noProof/>
          <w:sz w:val="24"/>
          <w:szCs w:val="24"/>
          <w:lang w:val="en-GB"/>
        </w:rPr>
        <w:t xml:space="preserve">strongly </w:t>
      </w:r>
      <w:r w:rsidR="4B66DE8E" w:rsidRPr="3535EBBA">
        <w:rPr>
          <w:rFonts w:ascii="Times New Roman" w:hAnsi="Times New Roman" w:cs="Times New Roman"/>
          <w:noProof/>
          <w:sz w:val="24"/>
          <w:szCs w:val="24"/>
          <w:lang w:val="en-GB"/>
        </w:rPr>
        <w:t>on prudential requirements and financial stability objectives</w:t>
      </w:r>
      <w:r w:rsidR="4B66DE8E" w:rsidRPr="33C53544">
        <w:rPr>
          <w:rFonts w:ascii="Times New Roman" w:hAnsi="Times New Roman" w:cs="Times New Roman"/>
          <w:noProof/>
          <w:sz w:val="24"/>
          <w:szCs w:val="24"/>
          <w:lang w:val="en-GB"/>
        </w:rPr>
        <w:t>.</w:t>
      </w:r>
    </w:p>
    <w:p w14:paraId="7E275039" w14:textId="1A694C84" w:rsidR="003246DF" w:rsidRDefault="003246DF" w:rsidP="007E2C53">
      <w:pPr>
        <w:jc w:val="both"/>
        <w:rPr>
          <w:rFonts w:ascii="Times New Roman" w:hAnsi="Times New Roman" w:cs="Times New Roman"/>
          <w:noProof/>
          <w:sz w:val="24"/>
          <w:szCs w:val="24"/>
          <w:lang w:val="en-GB"/>
        </w:rPr>
      </w:pPr>
      <w:r w:rsidRPr="0038562A">
        <w:rPr>
          <w:rFonts w:ascii="Times New Roman" w:hAnsi="Times New Roman" w:cs="Times New Roman"/>
          <w:noProof/>
          <w:sz w:val="24"/>
          <w:szCs w:val="24"/>
          <w:lang w:val="en-GB"/>
        </w:rPr>
        <w:t xml:space="preserve">The </w:t>
      </w:r>
      <w:r w:rsidR="7362934A">
        <w:rPr>
          <w:rFonts w:ascii="Times New Roman" w:hAnsi="Times New Roman" w:cs="Times New Roman"/>
          <w:noProof/>
          <w:sz w:val="24"/>
          <w:szCs w:val="24"/>
          <w:lang w:val="en-GB"/>
        </w:rPr>
        <w:t>B</w:t>
      </w:r>
      <w:r w:rsidR="76186976" w:rsidRPr="0038562A">
        <w:rPr>
          <w:rFonts w:ascii="Times New Roman" w:hAnsi="Times New Roman" w:cs="Times New Roman"/>
          <w:noProof/>
          <w:sz w:val="24"/>
          <w:szCs w:val="24"/>
          <w:lang w:val="en-GB"/>
        </w:rPr>
        <w:t xml:space="preserve">anking </w:t>
      </w:r>
      <w:r w:rsidR="7362934A">
        <w:rPr>
          <w:rFonts w:ascii="Times New Roman" w:hAnsi="Times New Roman" w:cs="Times New Roman"/>
          <w:noProof/>
          <w:sz w:val="24"/>
          <w:szCs w:val="24"/>
          <w:lang w:val="en-GB"/>
        </w:rPr>
        <w:t>P</w:t>
      </w:r>
      <w:r w:rsidR="76186976" w:rsidRPr="0038562A">
        <w:rPr>
          <w:rFonts w:ascii="Times New Roman" w:hAnsi="Times New Roman" w:cs="Times New Roman"/>
          <w:noProof/>
          <w:sz w:val="24"/>
          <w:szCs w:val="24"/>
          <w:lang w:val="en-GB"/>
        </w:rPr>
        <w:t>ackage</w:t>
      </w:r>
      <w:r w:rsidRPr="0038562A">
        <w:rPr>
          <w:rFonts w:ascii="Times New Roman" w:hAnsi="Times New Roman" w:cs="Times New Roman"/>
          <w:noProof/>
          <w:sz w:val="24"/>
          <w:szCs w:val="24"/>
          <w:lang w:val="en-GB"/>
        </w:rPr>
        <w:t xml:space="preserve"> </w:t>
      </w:r>
      <w:r w:rsidR="006160B3">
        <w:rPr>
          <w:rFonts w:ascii="Times New Roman" w:hAnsi="Times New Roman" w:cs="Times New Roman"/>
          <w:noProof/>
          <w:sz w:val="24"/>
          <w:szCs w:val="24"/>
          <w:lang w:val="en-GB"/>
        </w:rPr>
        <w:t xml:space="preserve">adopted entered into application </w:t>
      </w:r>
      <w:r w:rsidR="7362934A">
        <w:rPr>
          <w:rFonts w:ascii="Times New Roman" w:hAnsi="Times New Roman" w:cs="Times New Roman"/>
          <w:noProof/>
          <w:sz w:val="24"/>
          <w:szCs w:val="24"/>
          <w:lang w:val="en-GB"/>
        </w:rPr>
        <w:t>in</w:t>
      </w:r>
      <w:r w:rsidR="006160B3" w:rsidRPr="0038562A">
        <w:rPr>
          <w:rFonts w:ascii="Times New Roman" w:hAnsi="Times New Roman" w:cs="Times New Roman"/>
          <w:noProof/>
          <w:sz w:val="24"/>
          <w:szCs w:val="24"/>
          <w:lang w:val="en-GB"/>
        </w:rPr>
        <w:t xml:space="preserve"> </w:t>
      </w:r>
      <w:r w:rsidRPr="0038562A">
        <w:rPr>
          <w:rFonts w:ascii="Times New Roman" w:hAnsi="Times New Roman" w:cs="Times New Roman"/>
          <w:noProof/>
          <w:sz w:val="24"/>
          <w:szCs w:val="24"/>
          <w:lang w:val="en-GB"/>
        </w:rPr>
        <w:t xml:space="preserve">2025 (CRR3) led to amend the EU credit risk prudential framework for banks applying both the standardised approach (SA) and the internal ratings-based approach (IRB </w:t>
      </w:r>
      <w:r w:rsidR="74DC71F9" w:rsidRPr="0038562A">
        <w:rPr>
          <w:rFonts w:ascii="Times New Roman" w:hAnsi="Times New Roman" w:cs="Times New Roman"/>
          <w:noProof/>
          <w:sz w:val="24"/>
          <w:szCs w:val="24"/>
          <w:lang w:val="en-GB"/>
        </w:rPr>
        <w:t>a</w:t>
      </w:r>
      <w:r w:rsidRPr="0038562A">
        <w:rPr>
          <w:rFonts w:ascii="Times New Roman" w:hAnsi="Times New Roman" w:cs="Times New Roman"/>
          <w:noProof/>
          <w:sz w:val="24"/>
          <w:szCs w:val="24"/>
          <w:lang w:val="en-GB"/>
        </w:rPr>
        <w:t>pproach)</w:t>
      </w:r>
      <w:r w:rsidR="006160B3">
        <w:rPr>
          <w:rFonts w:ascii="Times New Roman" w:hAnsi="Times New Roman" w:cs="Times New Roman"/>
          <w:noProof/>
          <w:sz w:val="24"/>
          <w:szCs w:val="24"/>
          <w:lang w:val="en-GB"/>
        </w:rPr>
        <w:t>,</w:t>
      </w:r>
      <w:r>
        <w:rPr>
          <w:rFonts w:ascii="Times New Roman" w:hAnsi="Times New Roman" w:cs="Times New Roman"/>
          <w:noProof/>
          <w:sz w:val="24"/>
          <w:szCs w:val="24"/>
          <w:lang w:val="en-GB"/>
        </w:rPr>
        <w:t xml:space="preserve"> </w:t>
      </w:r>
      <w:r w:rsidRPr="0038562A">
        <w:rPr>
          <w:rFonts w:ascii="Times New Roman" w:hAnsi="Times New Roman" w:cs="Times New Roman"/>
          <w:noProof/>
          <w:sz w:val="24"/>
          <w:szCs w:val="24"/>
          <w:lang w:val="en-GB"/>
        </w:rPr>
        <w:t xml:space="preserve">and added </w:t>
      </w:r>
      <w:r>
        <w:rPr>
          <w:rFonts w:ascii="Times New Roman" w:hAnsi="Times New Roman" w:cs="Times New Roman"/>
          <w:noProof/>
          <w:sz w:val="24"/>
          <w:szCs w:val="24"/>
          <w:lang w:val="en-GB"/>
        </w:rPr>
        <w:t xml:space="preserve">a very relevant new element, </w:t>
      </w:r>
      <w:r w:rsidR="00800FEC">
        <w:rPr>
          <w:rFonts w:ascii="Times New Roman" w:hAnsi="Times New Roman" w:cs="Times New Roman"/>
          <w:noProof/>
          <w:sz w:val="24"/>
          <w:szCs w:val="24"/>
          <w:lang w:val="en-GB"/>
        </w:rPr>
        <w:t xml:space="preserve">markedly </w:t>
      </w:r>
      <w:r>
        <w:rPr>
          <w:rFonts w:ascii="Times New Roman" w:hAnsi="Times New Roman" w:cs="Times New Roman"/>
          <w:noProof/>
          <w:sz w:val="24"/>
          <w:szCs w:val="24"/>
          <w:lang w:val="en-GB"/>
        </w:rPr>
        <w:t xml:space="preserve">the </w:t>
      </w:r>
      <w:r w:rsidRPr="0038562A">
        <w:rPr>
          <w:rFonts w:ascii="Times New Roman" w:hAnsi="Times New Roman" w:cs="Times New Roman"/>
          <w:noProof/>
          <w:sz w:val="24"/>
          <w:szCs w:val="24"/>
          <w:lang w:val="en-GB"/>
        </w:rPr>
        <w:t xml:space="preserve">Basel III </w:t>
      </w:r>
      <w:r>
        <w:rPr>
          <w:rFonts w:ascii="Times New Roman" w:hAnsi="Times New Roman" w:cs="Times New Roman"/>
          <w:noProof/>
          <w:sz w:val="24"/>
          <w:szCs w:val="24"/>
          <w:lang w:val="en-GB"/>
        </w:rPr>
        <w:t xml:space="preserve">driven </w:t>
      </w:r>
      <w:r w:rsidRPr="0038562A">
        <w:rPr>
          <w:rFonts w:ascii="Times New Roman" w:hAnsi="Times New Roman" w:cs="Times New Roman"/>
          <w:noProof/>
          <w:sz w:val="24"/>
          <w:szCs w:val="24"/>
          <w:lang w:val="en-GB"/>
        </w:rPr>
        <w:t>output floor</w:t>
      </w:r>
      <w:r w:rsidR="00800FEC">
        <w:rPr>
          <w:rFonts w:ascii="Times New Roman" w:hAnsi="Times New Roman" w:cs="Times New Roman"/>
          <w:noProof/>
          <w:sz w:val="24"/>
          <w:szCs w:val="24"/>
          <w:lang w:val="en-GB"/>
        </w:rPr>
        <w:t>,</w:t>
      </w:r>
      <w:r w:rsidRPr="0038562A">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agreed internationally in </w:t>
      </w:r>
      <w:r w:rsidRPr="0038562A">
        <w:rPr>
          <w:rFonts w:ascii="Times New Roman" w:hAnsi="Times New Roman" w:cs="Times New Roman"/>
          <w:noProof/>
          <w:sz w:val="24"/>
          <w:szCs w:val="24"/>
          <w:lang w:val="en-GB"/>
        </w:rPr>
        <w:t>December 2017</w:t>
      </w:r>
      <w:r w:rsidRPr="00437526">
        <w:rPr>
          <w:rStyle w:val="FootnoteReference"/>
          <w:rFonts w:ascii="Times New Roman" w:hAnsi="Times New Roman" w:cs="Times New Roman"/>
          <w:noProof/>
          <w:sz w:val="24"/>
          <w:szCs w:val="24"/>
          <w:lang w:val="en-GB"/>
        </w:rPr>
        <w:footnoteReference w:id="80"/>
      </w:r>
      <w:r>
        <w:rPr>
          <w:rFonts w:ascii="Times New Roman" w:hAnsi="Times New Roman" w:cs="Times New Roman"/>
          <w:noProof/>
          <w:sz w:val="24"/>
          <w:szCs w:val="24"/>
          <w:lang w:val="en-GB"/>
        </w:rPr>
        <w:t xml:space="preserve">, </w:t>
      </w:r>
      <w:r w:rsidRPr="0038562A">
        <w:rPr>
          <w:rFonts w:ascii="Times New Roman" w:hAnsi="Times New Roman" w:cs="Times New Roman"/>
          <w:noProof/>
          <w:sz w:val="24"/>
          <w:szCs w:val="24"/>
          <w:lang w:val="en-GB"/>
        </w:rPr>
        <w:t xml:space="preserve">as </w:t>
      </w:r>
      <w:r>
        <w:rPr>
          <w:rFonts w:ascii="Times New Roman" w:hAnsi="Times New Roman" w:cs="Times New Roman"/>
          <w:noProof/>
          <w:sz w:val="24"/>
          <w:szCs w:val="24"/>
          <w:lang w:val="en-GB"/>
        </w:rPr>
        <w:t xml:space="preserve">an </w:t>
      </w:r>
      <w:r w:rsidRPr="0038562A">
        <w:rPr>
          <w:rFonts w:ascii="Times New Roman" w:hAnsi="Times New Roman" w:cs="Times New Roman"/>
          <w:noProof/>
          <w:sz w:val="24"/>
          <w:szCs w:val="24"/>
          <w:lang w:val="en-GB"/>
        </w:rPr>
        <w:t>additional prudential backstop</w:t>
      </w:r>
      <w:r w:rsidRPr="0038562A" w:rsidDel="18F43FD4">
        <w:rPr>
          <w:rFonts w:ascii="Times New Roman" w:hAnsi="Times New Roman" w:cs="Times New Roman"/>
          <w:noProof/>
          <w:sz w:val="24"/>
          <w:szCs w:val="24"/>
          <w:lang w:val="en-GB"/>
        </w:rPr>
        <w:t>.</w:t>
      </w:r>
      <w:r w:rsidRPr="0038562A">
        <w:rPr>
          <w:rFonts w:ascii="Times New Roman" w:hAnsi="Times New Roman" w:cs="Times New Roman"/>
          <w:noProof/>
          <w:sz w:val="24"/>
          <w:szCs w:val="24"/>
          <w:lang w:val="en-GB"/>
        </w:rPr>
        <w:t xml:space="preserve"> The </w:t>
      </w:r>
      <w:r w:rsidR="00094020">
        <w:rPr>
          <w:rFonts w:ascii="Times New Roman" w:hAnsi="Times New Roman" w:cs="Times New Roman"/>
          <w:noProof/>
          <w:sz w:val="24"/>
          <w:szCs w:val="24"/>
          <w:lang w:val="en-GB"/>
        </w:rPr>
        <w:t xml:space="preserve">objective of the </w:t>
      </w:r>
      <w:r w:rsidRPr="0038562A">
        <w:rPr>
          <w:rFonts w:ascii="Times New Roman" w:hAnsi="Times New Roman" w:cs="Times New Roman"/>
          <w:noProof/>
          <w:sz w:val="24"/>
          <w:szCs w:val="24"/>
          <w:lang w:val="en-GB"/>
        </w:rPr>
        <w:t xml:space="preserve">output floor </w:t>
      </w:r>
      <w:r w:rsidR="00094020">
        <w:rPr>
          <w:rFonts w:ascii="Times New Roman" w:hAnsi="Times New Roman" w:cs="Times New Roman"/>
          <w:noProof/>
          <w:sz w:val="24"/>
          <w:szCs w:val="24"/>
          <w:lang w:val="en-GB"/>
        </w:rPr>
        <w:t xml:space="preserve">is to </w:t>
      </w:r>
      <w:r w:rsidR="76186976" w:rsidRPr="0038562A">
        <w:rPr>
          <w:rFonts w:ascii="Times New Roman" w:hAnsi="Times New Roman" w:cs="Times New Roman"/>
          <w:noProof/>
          <w:sz w:val="24"/>
          <w:szCs w:val="24"/>
          <w:lang w:val="en-GB"/>
        </w:rPr>
        <w:t>limit</w:t>
      </w:r>
      <w:r w:rsidRPr="0038562A">
        <w:rPr>
          <w:rFonts w:ascii="Times New Roman" w:hAnsi="Times New Roman" w:cs="Times New Roman"/>
          <w:noProof/>
          <w:sz w:val="24"/>
          <w:szCs w:val="24"/>
          <w:lang w:val="en-GB"/>
        </w:rPr>
        <w:t xml:space="preserve"> the</w:t>
      </w:r>
      <w:r w:rsidR="006E3F6C">
        <w:rPr>
          <w:rFonts w:ascii="Times New Roman" w:hAnsi="Times New Roman" w:cs="Times New Roman"/>
          <w:noProof/>
          <w:sz w:val="24"/>
          <w:szCs w:val="24"/>
          <w:lang w:val="en-GB"/>
        </w:rPr>
        <w:t xml:space="preserve"> variability in the estimation of</w:t>
      </w:r>
      <w:r w:rsidRPr="0038562A" w:rsidDel="006E3F6C">
        <w:rPr>
          <w:rFonts w:ascii="Times New Roman" w:hAnsi="Times New Roman" w:cs="Times New Roman"/>
          <w:noProof/>
          <w:sz w:val="24"/>
          <w:szCs w:val="24"/>
          <w:lang w:val="en-GB"/>
        </w:rPr>
        <w:t xml:space="preserve"> </w:t>
      </w:r>
      <w:r w:rsidRPr="0038562A">
        <w:rPr>
          <w:rFonts w:ascii="Times New Roman" w:hAnsi="Times New Roman" w:cs="Times New Roman"/>
          <w:noProof/>
          <w:sz w:val="24"/>
          <w:szCs w:val="24"/>
          <w:lang w:val="en-GB"/>
        </w:rPr>
        <w:t>RW</w:t>
      </w:r>
      <w:r w:rsidR="0668DA07" w:rsidRPr="0038562A">
        <w:rPr>
          <w:rFonts w:ascii="Times New Roman" w:hAnsi="Times New Roman" w:cs="Times New Roman"/>
          <w:noProof/>
          <w:sz w:val="24"/>
          <w:szCs w:val="24"/>
          <w:lang w:val="en-GB"/>
        </w:rPr>
        <w:t>E</w:t>
      </w:r>
      <w:r w:rsidRPr="0038562A">
        <w:rPr>
          <w:rFonts w:ascii="Times New Roman" w:hAnsi="Times New Roman" w:cs="Times New Roman"/>
          <w:noProof/>
          <w:sz w:val="24"/>
          <w:szCs w:val="24"/>
          <w:lang w:val="en-GB"/>
        </w:rPr>
        <w:t xml:space="preserve">As under </w:t>
      </w:r>
      <w:r w:rsidR="006E3F6C">
        <w:rPr>
          <w:rFonts w:ascii="Times New Roman" w:hAnsi="Times New Roman" w:cs="Times New Roman"/>
          <w:noProof/>
          <w:sz w:val="24"/>
          <w:szCs w:val="24"/>
          <w:lang w:val="en-GB"/>
        </w:rPr>
        <w:t xml:space="preserve">the </w:t>
      </w:r>
      <w:r w:rsidRPr="0038562A">
        <w:rPr>
          <w:rFonts w:ascii="Times New Roman" w:hAnsi="Times New Roman" w:cs="Times New Roman"/>
          <w:noProof/>
          <w:sz w:val="24"/>
          <w:szCs w:val="24"/>
          <w:lang w:val="en-GB"/>
        </w:rPr>
        <w:t xml:space="preserve">IRB </w:t>
      </w:r>
      <w:r w:rsidR="4C1E4733" w:rsidRPr="0038562A">
        <w:rPr>
          <w:rFonts w:ascii="Times New Roman" w:hAnsi="Times New Roman" w:cs="Times New Roman"/>
          <w:noProof/>
          <w:sz w:val="24"/>
          <w:szCs w:val="24"/>
          <w:lang w:val="en-GB"/>
        </w:rPr>
        <w:t>a</w:t>
      </w:r>
      <w:r w:rsidRPr="0038562A">
        <w:rPr>
          <w:rFonts w:ascii="Times New Roman" w:hAnsi="Times New Roman" w:cs="Times New Roman"/>
          <w:noProof/>
          <w:sz w:val="24"/>
          <w:szCs w:val="24"/>
          <w:lang w:val="en-GB"/>
        </w:rPr>
        <w:t>pproach</w:t>
      </w:r>
      <w:r w:rsidR="600AD445" w:rsidRPr="0038562A">
        <w:rPr>
          <w:rFonts w:ascii="Times New Roman" w:hAnsi="Times New Roman" w:cs="Times New Roman"/>
          <w:noProof/>
          <w:sz w:val="24"/>
          <w:szCs w:val="24"/>
          <w:lang w:val="en-GB"/>
        </w:rPr>
        <w:t xml:space="preserve"> </w:t>
      </w:r>
      <w:r w:rsidRPr="0038562A">
        <w:rPr>
          <w:rFonts w:ascii="Times New Roman" w:hAnsi="Times New Roman" w:cs="Times New Roman"/>
          <w:noProof/>
          <w:sz w:val="24"/>
          <w:szCs w:val="24"/>
          <w:lang w:val="en-GB"/>
        </w:rPr>
        <w:t>and relates it to the RW</w:t>
      </w:r>
      <w:r w:rsidR="1DE4D39A" w:rsidRPr="0038562A">
        <w:rPr>
          <w:rFonts w:ascii="Times New Roman" w:hAnsi="Times New Roman" w:cs="Times New Roman"/>
          <w:noProof/>
          <w:sz w:val="24"/>
          <w:szCs w:val="24"/>
          <w:lang w:val="en-GB"/>
        </w:rPr>
        <w:t>E</w:t>
      </w:r>
      <w:r w:rsidRPr="0038562A">
        <w:rPr>
          <w:rFonts w:ascii="Times New Roman" w:hAnsi="Times New Roman" w:cs="Times New Roman"/>
          <w:noProof/>
          <w:sz w:val="24"/>
          <w:szCs w:val="24"/>
          <w:lang w:val="en-GB"/>
        </w:rPr>
        <w:t>A</w:t>
      </w:r>
      <w:r w:rsidR="00664258" w:rsidRPr="2C6852D9">
        <w:rPr>
          <w:rFonts w:ascii="Times New Roman" w:hAnsi="Times New Roman" w:cs="Times New Roman"/>
          <w:noProof/>
          <w:sz w:val="24"/>
          <w:szCs w:val="24"/>
          <w:lang w:val="en-GB"/>
        </w:rPr>
        <w:t>s</w:t>
      </w:r>
      <w:r w:rsidRPr="0038562A">
        <w:rPr>
          <w:rFonts w:ascii="Times New Roman" w:hAnsi="Times New Roman" w:cs="Times New Roman"/>
          <w:noProof/>
          <w:sz w:val="24"/>
          <w:szCs w:val="24"/>
          <w:lang w:val="en-GB"/>
        </w:rPr>
        <w:t xml:space="preserve"> calculated </w:t>
      </w:r>
      <w:r w:rsidR="1FA64C19" w:rsidRPr="0B7E2A41">
        <w:rPr>
          <w:rFonts w:ascii="Times New Roman" w:hAnsi="Times New Roman" w:cs="Times New Roman"/>
          <w:noProof/>
          <w:sz w:val="24"/>
          <w:szCs w:val="24"/>
          <w:lang w:val="en-GB"/>
        </w:rPr>
        <w:t>applying</w:t>
      </w:r>
      <w:r w:rsidR="0221B5A5" w:rsidRPr="0B7E2A41">
        <w:rPr>
          <w:rFonts w:ascii="Times New Roman" w:hAnsi="Times New Roman" w:cs="Times New Roman"/>
          <w:noProof/>
          <w:sz w:val="24"/>
          <w:szCs w:val="24"/>
          <w:lang w:val="en-GB"/>
        </w:rPr>
        <w:t xml:space="preserve"> the</w:t>
      </w:r>
      <w:r w:rsidRPr="0038562A">
        <w:rPr>
          <w:rFonts w:ascii="Times New Roman" w:hAnsi="Times New Roman" w:cs="Times New Roman"/>
          <w:noProof/>
          <w:sz w:val="24"/>
          <w:szCs w:val="24"/>
          <w:lang w:val="en-GB"/>
        </w:rPr>
        <w:t xml:space="preserve"> SA for credit risk. </w:t>
      </w:r>
    </w:p>
    <w:p w14:paraId="796977DA" w14:textId="1851B9BA" w:rsidR="00437526" w:rsidRPr="0045389C" w:rsidRDefault="10374067" w:rsidP="546402BF">
      <w:pPr>
        <w:jc w:val="both"/>
        <w:rPr>
          <w:rFonts w:ascii="Times New Roman" w:hAnsi="Times New Roman" w:cs="Times New Roman"/>
          <w:noProof/>
          <w:sz w:val="24"/>
          <w:szCs w:val="24"/>
        </w:rPr>
      </w:pPr>
      <w:r w:rsidRPr="616FA7CF">
        <w:rPr>
          <w:rFonts w:ascii="Times New Roman" w:hAnsi="Times New Roman" w:cs="Times New Roman"/>
          <w:noProof/>
          <w:sz w:val="24"/>
          <w:szCs w:val="24"/>
          <w:lang w:val="en-GB"/>
        </w:rPr>
        <w:t>T</w:t>
      </w:r>
      <w:r w:rsidR="3BFF4A4B" w:rsidRPr="616FA7CF">
        <w:rPr>
          <w:rFonts w:ascii="Times New Roman" w:hAnsi="Times New Roman" w:cs="Times New Roman"/>
          <w:noProof/>
          <w:sz w:val="24"/>
          <w:szCs w:val="24"/>
          <w:lang w:val="en-GB"/>
        </w:rPr>
        <w:t>he</w:t>
      </w:r>
      <w:r w:rsidR="46ABB594" w:rsidRPr="5E3E8195">
        <w:rPr>
          <w:rFonts w:ascii="Times New Roman" w:hAnsi="Times New Roman" w:cs="Times New Roman"/>
          <w:noProof/>
          <w:sz w:val="24"/>
          <w:szCs w:val="24"/>
          <w:lang w:val="en-GB"/>
        </w:rPr>
        <w:t xml:space="preserve"> </w:t>
      </w:r>
      <w:r w:rsidR="0099273F">
        <w:rPr>
          <w:rFonts w:ascii="Times New Roman" w:hAnsi="Times New Roman" w:cs="Times New Roman"/>
          <w:noProof/>
          <w:sz w:val="24"/>
          <w:szCs w:val="24"/>
          <w:lang w:val="en-GB"/>
        </w:rPr>
        <w:t xml:space="preserve">objective of the </w:t>
      </w:r>
      <w:r w:rsidR="46ABB594" w:rsidRPr="5E3E8195">
        <w:rPr>
          <w:rFonts w:ascii="Times New Roman" w:hAnsi="Times New Roman" w:cs="Times New Roman"/>
          <w:noProof/>
          <w:sz w:val="24"/>
          <w:szCs w:val="24"/>
          <w:lang w:val="en-GB"/>
        </w:rPr>
        <w:t xml:space="preserve">prudential </w:t>
      </w:r>
      <w:r w:rsidR="60106ACA" w:rsidRPr="5E3E8195">
        <w:rPr>
          <w:rFonts w:ascii="Times New Roman" w:hAnsi="Times New Roman" w:cs="Times New Roman"/>
          <w:noProof/>
          <w:sz w:val="24"/>
          <w:szCs w:val="24"/>
          <w:lang w:val="en-GB"/>
        </w:rPr>
        <w:t xml:space="preserve">framework </w:t>
      </w:r>
      <w:r w:rsidR="7355EB15" w:rsidRPr="5E3E8195">
        <w:rPr>
          <w:rFonts w:ascii="Times New Roman" w:hAnsi="Times New Roman" w:cs="Times New Roman"/>
          <w:noProof/>
          <w:sz w:val="24"/>
          <w:szCs w:val="24"/>
          <w:lang w:val="en-GB"/>
        </w:rPr>
        <w:t xml:space="preserve">is </w:t>
      </w:r>
      <w:r w:rsidR="0099273F">
        <w:rPr>
          <w:rFonts w:ascii="Times New Roman" w:hAnsi="Times New Roman" w:cs="Times New Roman"/>
          <w:noProof/>
          <w:sz w:val="24"/>
          <w:szCs w:val="24"/>
          <w:lang w:val="en-GB"/>
        </w:rPr>
        <w:t xml:space="preserve">to </w:t>
      </w:r>
      <w:r w:rsidR="5858A254" w:rsidRPr="5E3E8195">
        <w:rPr>
          <w:rFonts w:ascii="Times New Roman" w:hAnsi="Times New Roman" w:cs="Times New Roman"/>
          <w:noProof/>
          <w:sz w:val="24"/>
          <w:szCs w:val="24"/>
          <w:lang w:val="en-GB"/>
        </w:rPr>
        <w:t xml:space="preserve">make sure banks </w:t>
      </w:r>
      <w:r w:rsidR="5F164002" w:rsidRPr="5E3E8195">
        <w:rPr>
          <w:rFonts w:ascii="Times New Roman" w:hAnsi="Times New Roman" w:cs="Times New Roman"/>
          <w:noProof/>
          <w:sz w:val="24"/>
          <w:szCs w:val="24"/>
          <w:lang w:val="en-GB"/>
        </w:rPr>
        <w:t xml:space="preserve">adequately cover their </w:t>
      </w:r>
      <w:r w:rsidR="00437526">
        <w:rPr>
          <w:rFonts w:ascii="Times New Roman" w:hAnsi="Times New Roman" w:cs="Times New Roman"/>
          <w:noProof/>
          <w:sz w:val="24"/>
          <w:szCs w:val="24"/>
          <w:lang w:val="en-GB"/>
        </w:rPr>
        <w:t xml:space="preserve">credit </w:t>
      </w:r>
      <w:r w:rsidR="5F164002" w:rsidRPr="005F28FC">
        <w:rPr>
          <w:rFonts w:ascii="Times New Roman" w:hAnsi="Times New Roman" w:cs="Times New Roman"/>
          <w:noProof/>
          <w:sz w:val="24"/>
          <w:szCs w:val="24"/>
          <w:lang w:val="en-GB"/>
        </w:rPr>
        <w:t>risks</w:t>
      </w:r>
      <w:r w:rsidR="5F164002" w:rsidRPr="05D5728E" w:rsidDel="00437526">
        <w:rPr>
          <w:rFonts w:ascii="Times New Roman" w:hAnsi="Times New Roman" w:cs="Times New Roman"/>
          <w:noProof/>
          <w:sz w:val="24"/>
          <w:szCs w:val="24"/>
          <w:lang w:val="en-GB"/>
        </w:rPr>
        <w:t xml:space="preserve"> </w:t>
      </w:r>
      <w:r w:rsidR="00FD6BB7">
        <w:rPr>
          <w:rFonts w:ascii="Times New Roman" w:hAnsi="Times New Roman" w:cs="Times New Roman"/>
          <w:noProof/>
          <w:sz w:val="24"/>
          <w:szCs w:val="24"/>
          <w:lang w:val="en-GB"/>
        </w:rPr>
        <w:t>by setting aside</w:t>
      </w:r>
      <w:r w:rsidR="5F164002" w:rsidRPr="5E3E8195">
        <w:rPr>
          <w:rFonts w:ascii="Times New Roman" w:hAnsi="Times New Roman" w:cs="Times New Roman"/>
          <w:noProof/>
          <w:sz w:val="24"/>
          <w:szCs w:val="24"/>
          <w:lang w:val="en-GB"/>
        </w:rPr>
        <w:t xml:space="preserve"> </w:t>
      </w:r>
      <w:r w:rsidR="006A1EFF" w:rsidRPr="05D5728E">
        <w:rPr>
          <w:rFonts w:ascii="Times New Roman" w:hAnsi="Times New Roman" w:cs="Times New Roman"/>
          <w:noProof/>
          <w:sz w:val="24"/>
          <w:szCs w:val="24"/>
          <w:lang w:val="en-GB"/>
        </w:rPr>
        <w:t>capital</w:t>
      </w:r>
      <w:r w:rsidR="00FD6BB7">
        <w:rPr>
          <w:rFonts w:ascii="Times New Roman" w:hAnsi="Times New Roman" w:cs="Times New Roman"/>
          <w:noProof/>
          <w:sz w:val="24"/>
          <w:szCs w:val="24"/>
          <w:lang w:val="en-GB"/>
        </w:rPr>
        <w:t xml:space="preserve"> </w:t>
      </w:r>
      <w:r w:rsidR="00FD6BB7" w:rsidRPr="05D5728E">
        <w:rPr>
          <w:rFonts w:ascii="Times New Roman" w:hAnsi="Times New Roman" w:cs="Times New Roman"/>
          <w:noProof/>
          <w:sz w:val="24"/>
          <w:szCs w:val="24"/>
          <w:lang w:val="en-GB"/>
        </w:rPr>
        <w:t>for</w:t>
      </w:r>
      <w:r w:rsidR="006A1EFF" w:rsidRPr="05D5728E">
        <w:rPr>
          <w:rFonts w:ascii="Times New Roman" w:hAnsi="Times New Roman" w:cs="Times New Roman"/>
          <w:noProof/>
          <w:sz w:val="24"/>
          <w:szCs w:val="24"/>
          <w:lang w:val="en-GB"/>
        </w:rPr>
        <w:t xml:space="preserve"> </w:t>
      </w:r>
      <w:r w:rsidR="00FD6BB7">
        <w:rPr>
          <w:rFonts w:ascii="Times New Roman" w:hAnsi="Times New Roman" w:cs="Times New Roman"/>
          <w:noProof/>
          <w:sz w:val="24"/>
          <w:szCs w:val="24"/>
          <w:lang w:val="en-GB"/>
        </w:rPr>
        <w:t>unexpected</w:t>
      </w:r>
      <w:r w:rsidR="5858A254" w:rsidRPr="5E3E8195">
        <w:rPr>
          <w:rFonts w:ascii="Times New Roman" w:hAnsi="Times New Roman" w:cs="Times New Roman"/>
          <w:noProof/>
          <w:sz w:val="24"/>
          <w:szCs w:val="24"/>
          <w:lang w:val="en-GB"/>
        </w:rPr>
        <w:t xml:space="preserve"> </w:t>
      </w:r>
      <w:r w:rsidR="6870EE7D" w:rsidRPr="5E3E8195">
        <w:rPr>
          <w:rFonts w:ascii="Times New Roman" w:hAnsi="Times New Roman" w:cs="Times New Roman"/>
          <w:noProof/>
          <w:sz w:val="24"/>
          <w:szCs w:val="24"/>
          <w:lang w:val="en-GB"/>
        </w:rPr>
        <w:t>losses</w:t>
      </w:r>
      <w:r w:rsidR="00FD6BB7" w:rsidRPr="05D5728E">
        <w:rPr>
          <w:rFonts w:ascii="Times New Roman" w:hAnsi="Times New Roman" w:cs="Times New Roman"/>
          <w:noProof/>
          <w:sz w:val="24"/>
          <w:szCs w:val="24"/>
          <w:lang w:val="en-GB"/>
        </w:rPr>
        <w:t>.</w:t>
      </w:r>
      <w:r w:rsidR="003F0721" w:rsidRPr="05D5728E">
        <w:rPr>
          <w:rFonts w:ascii="Times New Roman" w:hAnsi="Times New Roman" w:cs="Times New Roman"/>
          <w:noProof/>
          <w:sz w:val="24"/>
          <w:szCs w:val="24"/>
          <w:lang w:val="en-GB"/>
        </w:rPr>
        <w:t xml:space="preserve"> </w:t>
      </w:r>
      <w:r w:rsidR="090E9436" w:rsidRPr="4AFB71DD">
        <w:rPr>
          <w:rFonts w:ascii="Times New Roman" w:hAnsi="Times New Roman" w:cs="Times New Roman"/>
          <w:noProof/>
          <w:sz w:val="24"/>
          <w:szCs w:val="24"/>
          <w:lang w:val="en-GB"/>
        </w:rPr>
        <w:t>But</w:t>
      </w:r>
      <w:r w:rsidR="00D72004">
        <w:rPr>
          <w:rFonts w:ascii="Times New Roman" w:hAnsi="Times New Roman" w:cs="Times New Roman"/>
          <w:noProof/>
          <w:sz w:val="24"/>
          <w:szCs w:val="24"/>
          <w:lang w:val="en-GB"/>
        </w:rPr>
        <w:t xml:space="preserve"> it is</w:t>
      </w:r>
      <w:r w:rsidR="003F0721" w:rsidRPr="05D5728E" w:rsidDel="00063014">
        <w:rPr>
          <w:rFonts w:ascii="Times New Roman" w:hAnsi="Times New Roman" w:cs="Times New Roman"/>
          <w:noProof/>
          <w:sz w:val="24"/>
          <w:szCs w:val="24"/>
          <w:lang w:val="en-GB"/>
        </w:rPr>
        <w:t xml:space="preserve"> </w:t>
      </w:r>
      <w:r w:rsidR="00063014">
        <w:rPr>
          <w:rFonts w:ascii="Times New Roman" w:hAnsi="Times New Roman" w:cs="Times New Roman"/>
          <w:noProof/>
          <w:sz w:val="24"/>
          <w:szCs w:val="24"/>
          <w:lang w:val="en-GB"/>
        </w:rPr>
        <w:t xml:space="preserve">equally </w:t>
      </w:r>
      <w:r w:rsidR="00D72004">
        <w:rPr>
          <w:rFonts w:ascii="Times New Roman" w:hAnsi="Times New Roman" w:cs="Times New Roman"/>
          <w:noProof/>
          <w:sz w:val="24"/>
          <w:szCs w:val="24"/>
          <w:lang w:val="en-GB"/>
        </w:rPr>
        <w:t>important</w:t>
      </w:r>
      <w:r w:rsidR="5DE7440A" w:rsidRPr="5E3E8195">
        <w:rPr>
          <w:rFonts w:ascii="Times New Roman" w:hAnsi="Times New Roman" w:cs="Times New Roman"/>
          <w:noProof/>
          <w:sz w:val="24"/>
          <w:szCs w:val="24"/>
          <w:lang w:val="en-GB"/>
        </w:rPr>
        <w:t xml:space="preserve"> </w:t>
      </w:r>
      <w:r w:rsidR="1EDCE6D8" w:rsidRPr="5E3E8195">
        <w:rPr>
          <w:rFonts w:ascii="Times New Roman" w:hAnsi="Times New Roman" w:cs="Times New Roman"/>
          <w:noProof/>
          <w:sz w:val="24"/>
          <w:szCs w:val="24"/>
          <w:lang w:val="en-GB"/>
        </w:rPr>
        <w:t xml:space="preserve">that </w:t>
      </w:r>
      <w:r w:rsidR="413B633B" w:rsidRPr="5E3E8195">
        <w:rPr>
          <w:rFonts w:ascii="Times New Roman" w:hAnsi="Times New Roman" w:cs="Times New Roman"/>
          <w:noProof/>
          <w:sz w:val="24"/>
          <w:szCs w:val="24"/>
          <w:lang w:val="en-GB"/>
        </w:rPr>
        <w:t xml:space="preserve">the framework does not </w:t>
      </w:r>
      <w:r w:rsidR="38990617" w:rsidRPr="5E3E8195">
        <w:rPr>
          <w:rFonts w:ascii="Times New Roman" w:hAnsi="Times New Roman" w:cs="Times New Roman"/>
          <w:noProof/>
          <w:sz w:val="24"/>
          <w:szCs w:val="24"/>
          <w:lang w:val="en-GB"/>
        </w:rPr>
        <w:t xml:space="preserve">unduly </w:t>
      </w:r>
      <w:r w:rsidR="575A7741" w:rsidRPr="5E3E8195">
        <w:rPr>
          <w:rFonts w:ascii="Times New Roman" w:hAnsi="Times New Roman" w:cs="Times New Roman"/>
          <w:noProof/>
          <w:sz w:val="24"/>
          <w:szCs w:val="24"/>
          <w:lang w:val="en-GB"/>
        </w:rPr>
        <w:t>restrict lending capacities</w:t>
      </w:r>
      <w:r w:rsidR="00D72004">
        <w:rPr>
          <w:rFonts w:ascii="Times New Roman" w:hAnsi="Times New Roman" w:cs="Times New Roman"/>
          <w:noProof/>
          <w:sz w:val="24"/>
          <w:szCs w:val="24"/>
          <w:lang w:val="en-GB"/>
        </w:rPr>
        <w:t xml:space="preserve"> by </w:t>
      </w:r>
      <w:r w:rsidR="00F46DA9">
        <w:rPr>
          <w:rFonts w:ascii="Times New Roman" w:hAnsi="Times New Roman" w:cs="Times New Roman"/>
          <w:noProof/>
          <w:sz w:val="24"/>
          <w:szCs w:val="24"/>
          <w:lang w:val="en-GB"/>
        </w:rPr>
        <w:t xml:space="preserve">requiring </w:t>
      </w:r>
      <w:r w:rsidR="002C0CD7">
        <w:rPr>
          <w:rFonts w:ascii="Times New Roman" w:hAnsi="Times New Roman" w:cs="Times New Roman"/>
          <w:noProof/>
          <w:sz w:val="24"/>
          <w:szCs w:val="24"/>
          <w:lang w:val="en-GB"/>
        </w:rPr>
        <w:t xml:space="preserve">levels of capital </w:t>
      </w:r>
      <w:r w:rsidR="00A57302">
        <w:rPr>
          <w:rFonts w:ascii="Times New Roman" w:hAnsi="Times New Roman" w:cs="Times New Roman"/>
          <w:noProof/>
          <w:sz w:val="24"/>
          <w:szCs w:val="24"/>
          <w:lang w:val="en-GB"/>
        </w:rPr>
        <w:t xml:space="preserve">beyond the </w:t>
      </w:r>
      <w:r w:rsidR="00090D6E" w:rsidRPr="00090D6E">
        <w:rPr>
          <w:rFonts w:ascii="Times New Roman" w:hAnsi="Times New Roman" w:cs="Times New Roman"/>
          <w:noProof/>
          <w:sz w:val="24"/>
          <w:szCs w:val="24"/>
          <w:lang w:val="en-GB"/>
        </w:rPr>
        <w:t xml:space="preserve">statistically defined level of economic </w:t>
      </w:r>
      <w:r w:rsidR="0B06923D" w:rsidRPr="616FA7CF">
        <w:rPr>
          <w:rFonts w:ascii="Times New Roman" w:hAnsi="Times New Roman" w:cs="Times New Roman"/>
          <w:noProof/>
          <w:sz w:val="24"/>
          <w:szCs w:val="24"/>
          <w:lang w:val="en-GB"/>
        </w:rPr>
        <w:t>stress</w:t>
      </w:r>
      <w:r w:rsidR="4F0BD626" w:rsidRPr="616FA7CF">
        <w:rPr>
          <w:rFonts w:ascii="Times New Roman" w:hAnsi="Times New Roman" w:cs="Times New Roman"/>
          <w:noProof/>
          <w:sz w:val="24"/>
          <w:szCs w:val="24"/>
          <w:lang w:val="en-GB"/>
        </w:rPr>
        <w:t>.</w:t>
      </w:r>
      <w:r w:rsidR="230B530D" w:rsidRPr="005F28FC">
        <w:rPr>
          <w:rFonts w:ascii="Times New Roman" w:hAnsi="Times New Roman" w:cs="Times New Roman"/>
          <w:noProof/>
          <w:sz w:val="24"/>
          <w:szCs w:val="24"/>
          <w:lang w:val="en-GB"/>
        </w:rPr>
        <w:t xml:space="preserve"> </w:t>
      </w:r>
      <w:r w:rsidR="003157C2">
        <w:rPr>
          <w:rFonts w:ascii="Times New Roman" w:hAnsi="Times New Roman" w:cs="Times New Roman"/>
          <w:noProof/>
          <w:sz w:val="24"/>
          <w:szCs w:val="24"/>
          <w:lang w:val="en-GB"/>
        </w:rPr>
        <w:t>Effective s</w:t>
      </w:r>
      <w:r w:rsidR="00B526C3">
        <w:rPr>
          <w:rFonts w:ascii="Times New Roman" w:hAnsi="Times New Roman" w:cs="Times New Roman"/>
          <w:noProof/>
          <w:sz w:val="24"/>
          <w:szCs w:val="24"/>
          <w:lang w:val="en-GB"/>
        </w:rPr>
        <w:t xml:space="preserve">upervisory </w:t>
      </w:r>
      <w:r w:rsidR="00380294">
        <w:rPr>
          <w:rFonts w:ascii="Times New Roman" w:hAnsi="Times New Roman" w:cs="Times New Roman"/>
          <w:noProof/>
          <w:sz w:val="24"/>
          <w:szCs w:val="24"/>
          <w:lang w:val="en-GB"/>
        </w:rPr>
        <w:t>review</w:t>
      </w:r>
      <w:r w:rsidR="301D5E39" w:rsidRPr="5E3E8195">
        <w:rPr>
          <w:rFonts w:ascii="Times New Roman" w:hAnsi="Times New Roman" w:cs="Times New Roman"/>
          <w:noProof/>
          <w:sz w:val="24"/>
          <w:szCs w:val="24"/>
          <w:lang w:val="en-GB"/>
        </w:rPr>
        <w:t xml:space="preserve"> </w:t>
      </w:r>
      <w:r w:rsidR="003157C2" w:rsidRPr="05D5728E">
        <w:rPr>
          <w:rFonts w:ascii="Times New Roman" w:hAnsi="Times New Roman" w:cs="Times New Roman"/>
          <w:noProof/>
          <w:sz w:val="24"/>
          <w:szCs w:val="24"/>
          <w:lang w:val="en-GB"/>
        </w:rPr>
        <w:t>of</w:t>
      </w:r>
      <w:r w:rsidR="301D5E39" w:rsidRPr="05D5728E">
        <w:rPr>
          <w:rFonts w:ascii="Times New Roman" w:hAnsi="Times New Roman" w:cs="Times New Roman"/>
          <w:noProof/>
          <w:sz w:val="24"/>
          <w:szCs w:val="24"/>
          <w:lang w:val="en-GB"/>
        </w:rPr>
        <w:t xml:space="preserve"> </w:t>
      </w:r>
      <w:r w:rsidR="301D5E39" w:rsidRPr="5E3E8195">
        <w:rPr>
          <w:rFonts w:ascii="Times New Roman" w:hAnsi="Times New Roman" w:cs="Times New Roman"/>
          <w:noProof/>
          <w:sz w:val="24"/>
          <w:szCs w:val="24"/>
        </w:rPr>
        <w:t xml:space="preserve">lending practices </w:t>
      </w:r>
      <w:r w:rsidR="00BF25D8">
        <w:rPr>
          <w:rFonts w:ascii="Times New Roman" w:hAnsi="Times New Roman" w:cs="Times New Roman"/>
          <w:noProof/>
          <w:sz w:val="24"/>
          <w:szCs w:val="24"/>
        </w:rPr>
        <w:t xml:space="preserve">and </w:t>
      </w:r>
      <w:r w:rsidR="00DD59B0">
        <w:rPr>
          <w:rFonts w:ascii="Times New Roman" w:hAnsi="Times New Roman" w:cs="Times New Roman"/>
          <w:noProof/>
          <w:sz w:val="24"/>
          <w:szCs w:val="24"/>
        </w:rPr>
        <w:t>ba</w:t>
      </w:r>
      <w:r w:rsidR="00783543">
        <w:rPr>
          <w:rFonts w:ascii="Times New Roman" w:hAnsi="Times New Roman" w:cs="Times New Roman"/>
          <w:noProof/>
          <w:sz w:val="24"/>
          <w:szCs w:val="24"/>
        </w:rPr>
        <w:t>nk</w:t>
      </w:r>
      <w:r w:rsidR="00FA01C4">
        <w:rPr>
          <w:rFonts w:ascii="Times New Roman" w:hAnsi="Times New Roman" w:cs="Times New Roman"/>
          <w:noProof/>
          <w:sz w:val="24"/>
          <w:szCs w:val="24"/>
        </w:rPr>
        <w:t xml:space="preserve">s’ </w:t>
      </w:r>
      <w:r w:rsidR="00B46DB4">
        <w:rPr>
          <w:rFonts w:ascii="Times New Roman" w:hAnsi="Times New Roman" w:cs="Times New Roman"/>
          <w:noProof/>
          <w:sz w:val="24"/>
          <w:szCs w:val="24"/>
        </w:rPr>
        <w:t xml:space="preserve">corporate </w:t>
      </w:r>
      <w:r w:rsidR="00F33CAD">
        <w:rPr>
          <w:rFonts w:ascii="Times New Roman" w:hAnsi="Times New Roman" w:cs="Times New Roman"/>
          <w:noProof/>
          <w:sz w:val="24"/>
          <w:szCs w:val="24"/>
        </w:rPr>
        <w:t>governance</w:t>
      </w:r>
      <w:r w:rsidR="003A32CE">
        <w:rPr>
          <w:rFonts w:ascii="Times New Roman" w:hAnsi="Times New Roman" w:cs="Times New Roman"/>
          <w:noProof/>
          <w:sz w:val="24"/>
          <w:szCs w:val="24"/>
        </w:rPr>
        <w:t xml:space="preserve"> </w:t>
      </w:r>
      <w:r w:rsidR="006F5E41">
        <w:rPr>
          <w:rFonts w:ascii="Times New Roman" w:hAnsi="Times New Roman" w:cs="Times New Roman"/>
          <w:noProof/>
          <w:sz w:val="24"/>
          <w:szCs w:val="24"/>
        </w:rPr>
        <w:t xml:space="preserve">should </w:t>
      </w:r>
      <w:r w:rsidR="00510CB7">
        <w:rPr>
          <w:rFonts w:ascii="Times New Roman" w:hAnsi="Times New Roman" w:cs="Times New Roman"/>
          <w:noProof/>
          <w:sz w:val="24"/>
          <w:szCs w:val="24"/>
        </w:rPr>
        <w:t>contribute to</w:t>
      </w:r>
      <w:r w:rsidR="301D5E39" w:rsidRPr="5E3E8195">
        <w:rPr>
          <w:rFonts w:ascii="Times New Roman" w:hAnsi="Times New Roman" w:cs="Times New Roman"/>
          <w:noProof/>
          <w:sz w:val="24"/>
          <w:szCs w:val="24"/>
        </w:rPr>
        <w:t xml:space="preserve"> </w:t>
      </w:r>
      <w:r w:rsidR="301D5E39" w:rsidRPr="05D5728E">
        <w:rPr>
          <w:rFonts w:ascii="Times New Roman" w:hAnsi="Times New Roman" w:cs="Times New Roman"/>
          <w:noProof/>
          <w:sz w:val="24"/>
          <w:szCs w:val="24"/>
        </w:rPr>
        <w:t>limit</w:t>
      </w:r>
      <w:r w:rsidR="301D5E39" w:rsidRPr="5E3E8195">
        <w:rPr>
          <w:rFonts w:ascii="Times New Roman" w:hAnsi="Times New Roman" w:cs="Times New Roman"/>
          <w:noProof/>
          <w:sz w:val="24"/>
          <w:szCs w:val="24"/>
        </w:rPr>
        <w:t xml:space="preserve"> </w:t>
      </w:r>
      <w:r w:rsidR="002E7E12" w:rsidRPr="0045389C">
        <w:rPr>
          <w:rFonts w:ascii="Times New Roman" w:hAnsi="Times New Roman" w:cs="Times New Roman"/>
          <w:noProof/>
          <w:sz w:val="24"/>
          <w:szCs w:val="24"/>
        </w:rPr>
        <w:t xml:space="preserve">unexpected </w:t>
      </w:r>
      <w:r w:rsidR="00907F06" w:rsidRPr="0045389C">
        <w:rPr>
          <w:rFonts w:ascii="Times New Roman" w:hAnsi="Times New Roman" w:cs="Times New Roman"/>
          <w:noProof/>
          <w:sz w:val="24"/>
          <w:szCs w:val="24"/>
        </w:rPr>
        <w:t>losses</w:t>
      </w:r>
      <w:r w:rsidR="000626BF" w:rsidRPr="0045389C">
        <w:rPr>
          <w:rFonts w:ascii="Times New Roman" w:hAnsi="Times New Roman" w:cs="Times New Roman"/>
          <w:noProof/>
          <w:sz w:val="24"/>
          <w:szCs w:val="24"/>
        </w:rPr>
        <w:t xml:space="preserve"> </w:t>
      </w:r>
      <w:r w:rsidR="301D5E39" w:rsidRPr="0045389C">
        <w:rPr>
          <w:rFonts w:ascii="Times New Roman" w:hAnsi="Times New Roman" w:cs="Times New Roman"/>
          <w:noProof/>
          <w:sz w:val="24"/>
          <w:szCs w:val="24"/>
        </w:rPr>
        <w:t xml:space="preserve">on </w:t>
      </w:r>
      <w:r w:rsidR="002A34EA">
        <w:rPr>
          <w:rFonts w:ascii="Times New Roman" w:hAnsi="Times New Roman" w:cs="Times New Roman"/>
          <w:noProof/>
          <w:sz w:val="24"/>
          <w:szCs w:val="24"/>
        </w:rPr>
        <w:t>EU banks’ credit</w:t>
      </w:r>
      <w:r w:rsidR="002A34EA" w:rsidRPr="0045389C">
        <w:rPr>
          <w:rFonts w:ascii="Times New Roman" w:hAnsi="Times New Roman" w:cs="Times New Roman"/>
          <w:noProof/>
          <w:sz w:val="24"/>
          <w:szCs w:val="24"/>
        </w:rPr>
        <w:t xml:space="preserve"> </w:t>
      </w:r>
      <w:r w:rsidR="301D5E39" w:rsidRPr="0045389C">
        <w:rPr>
          <w:rFonts w:ascii="Times New Roman" w:hAnsi="Times New Roman" w:cs="Times New Roman"/>
          <w:noProof/>
          <w:sz w:val="24"/>
          <w:szCs w:val="24"/>
        </w:rPr>
        <w:t>portfolios</w:t>
      </w:r>
      <w:r w:rsidR="0CCA444C" w:rsidRPr="0045389C">
        <w:rPr>
          <w:rFonts w:ascii="Times New Roman" w:hAnsi="Times New Roman" w:cs="Times New Roman"/>
          <w:noProof/>
          <w:sz w:val="24"/>
          <w:szCs w:val="24"/>
        </w:rPr>
        <w:t>.</w:t>
      </w:r>
    </w:p>
    <w:p w14:paraId="7EC9763E" w14:textId="003D86B3" w:rsidR="00437526" w:rsidRPr="0045389C" w:rsidRDefault="00153AAC" w:rsidP="0045389C">
      <w:pPr>
        <w:jc w:val="both"/>
        <w:rPr>
          <w:rFonts w:ascii="Times New Roman" w:hAnsi="Times New Roman" w:cs="Times New Roman"/>
          <w:noProof/>
          <w:sz w:val="24"/>
          <w:szCs w:val="24"/>
        </w:rPr>
      </w:pPr>
      <w:r w:rsidRPr="0045389C">
        <w:rPr>
          <w:rFonts w:ascii="Times New Roman" w:hAnsi="Times New Roman" w:cs="Times New Roman"/>
          <w:noProof/>
          <w:sz w:val="24"/>
          <w:szCs w:val="24"/>
        </w:rPr>
        <w:t>Getting</w:t>
      </w:r>
      <w:r w:rsidR="6F366A9E" w:rsidRPr="0045389C">
        <w:rPr>
          <w:rFonts w:ascii="Times New Roman" w:hAnsi="Times New Roman" w:cs="Times New Roman"/>
          <w:noProof/>
          <w:sz w:val="24"/>
          <w:szCs w:val="24"/>
        </w:rPr>
        <w:t xml:space="preserve"> </w:t>
      </w:r>
      <w:r w:rsidR="00C65893" w:rsidRPr="0045389C">
        <w:rPr>
          <w:rFonts w:ascii="Times New Roman" w:hAnsi="Times New Roman" w:cs="Times New Roman"/>
          <w:noProof/>
          <w:sz w:val="24"/>
          <w:szCs w:val="24"/>
        </w:rPr>
        <w:t>the</w:t>
      </w:r>
      <w:r w:rsidR="6F366A9E" w:rsidRPr="0045389C">
        <w:rPr>
          <w:rFonts w:ascii="Times New Roman" w:hAnsi="Times New Roman" w:cs="Times New Roman"/>
          <w:noProof/>
          <w:sz w:val="24"/>
          <w:szCs w:val="24"/>
        </w:rPr>
        <w:t xml:space="preserve"> regulatory and supervisory balance </w:t>
      </w:r>
      <w:r w:rsidRPr="0045389C">
        <w:rPr>
          <w:rFonts w:ascii="Times New Roman" w:hAnsi="Times New Roman" w:cs="Times New Roman"/>
          <w:noProof/>
          <w:sz w:val="24"/>
          <w:szCs w:val="24"/>
        </w:rPr>
        <w:t>right</w:t>
      </w:r>
      <w:r w:rsidR="0CCA444C" w:rsidRPr="0045389C">
        <w:rPr>
          <w:rFonts w:ascii="Times New Roman" w:hAnsi="Times New Roman" w:cs="Times New Roman"/>
          <w:noProof/>
          <w:sz w:val="24"/>
          <w:szCs w:val="24"/>
        </w:rPr>
        <w:t xml:space="preserve"> </w:t>
      </w:r>
      <w:r w:rsidR="00B526C3" w:rsidRPr="0045389C">
        <w:rPr>
          <w:rFonts w:ascii="Times New Roman" w:hAnsi="Times New Roman" w:cs="Times New Roman"/>
          <w:noProof/>
          <w:sz w:val="24"/>
          <w:szCs w:val="24"/>
        </w:rPr>
        <w:t xml:space="preserve">in the EU </w:t>
      </w:r>
      <w:r w:rsidR="00B1463C" w:rsidRPr="0045389C">
        <w:rPr>
          <w:rFonts w:ascii="Times New Roman" w:hAnsi="Times New Roman" w:cs="Times New Roman"/>
          <w:noProof/>
          <w:sz w:val="24"/>
          <w:szCs w:val="24"/>
        </w:rPr>
        <w:t xml:space="preserve">is instrumental </w:t>
      </w:r>
      <w:r w:rsidR="00546022" w:rsidRPr="0045389C">
        <w:rPr>
          <w:rFonts w:ascii="Times New Roman" w:hAnsi="Times New Roman" w:cs="Times New Roman"/>
          <w:noProof/>
          <w:sz w:val="24"/>
          <w:szCs w:val="24"/>
        </w:rPr>
        <w:t xml:space="preserve">for the safety and soundness of the banking sector </w:t>
      </w:r>
      <w:r w:rsidRPr="0045389C">
        <w:rPr>
          <w:rFonts w:ascii="Times New Roman" w:hAnsi="Times New Roman" w:cs="Times New Roman"/>
          <w:noProof/>
          <w:sz w:val="24"/>
          <w:szCs w:val="24"/>
        </w:rPr>
        <w:t>and for</w:t>
      </w:r>
      <w:r w:rsidR="0012519F" w:rsidRPr="0045389C">
        <w:rPr>
          <w:rFonts w:ascii="Times New Roman" w:hAnsi="Times New Roman" w:cs="Times New Roman"/>
          <w:noProof/>
          <w:sz w:val="24"/>
          <w:szCs w:val="24"/>
        </w:rPr>
        <w:t xml:space="preserve"> </w:t>
      </w:r>
      <w:r w:rsidR="00161C91" w:rsidRPr="0045389C">
        <w:rPr>
          <w:rFonts w:ascii="Times New Roman" w:hAnsi="Times New Roman" w:cs="Times New Roman"/>
          <w:noProof/>
          <w:sz w:val="24"/>
          <w:szCs w:val="24"/>
        </w:rPr>
        <w:t xml:space="preserve">maintaining </w:t>
      </w:r>
      <w:r w:rsidR="00EB1217">
        <w:rPr>
          <w:rFonts w:ascii="Times New Roman" w:hAnsi="Times New Roman" w:cs="Times New Roman"/>
          <w:noProof/>
          <w:sz w:val="24"/>
          <w:szCs w:val="24"/>
        </w:rPr>
        <w:t xml:space="preserve">sufficient </w:t>
      </w:r>
      <w:r w:rsidR="005A2E6C" w:rsidRPr="0045389C">
        <w:rPr>
          <w:rFonts w:ascii="Times New Roman" w:hAnsi="Times New Roman" w:cs="Times New Roman"/>
          <w:noProof/>
          <w:sz w:val="24"/>
          <w:szCs w:val="24"/>
        </w:rPr>
        <w:t xml:space="preserve">funding </w:t>
      </w:r>
      <w:r w:rsidR="695661CC" w:rsidRPr="616FA7CF">
        <w:rPr>
          <w:rFonts w:ascii="Times New Roman" w:hAnsi="Times New Roman" w:cs="Times New Roman"/>
          <w:noProof/>
          <w:sz w:val="24"/>
          <w:szCs w:val="24"/>
        </w:rPr>
        <w:t>for</w:t>
      </w:r>
      <w:r w:rsidR="3C3EC06E" w:rsidRPr="616FA7CF">
        <w:rPr>
          <w:rFonts w:ascii="Times New Roman" w:hAnsi="Times New Roman" w:cs="Times New Roman"/>
          <w:noProof/>
          <w:sz w:val="24"/>
          <w:szCs w:val="24"/>
        </w:rPr>
        <w:t xml:space="preserve"> </w:t>
      </w:r>
      <w:r w:rsidR="44D1B60B" w:rsidRPr="616FA7CF">
        <w:rPr>
          <w:rFonts w:ascii="Times New Roman" w:hAnsi="Times New Roman" w:cs="Times New Roman"/>
          <w:noProof/>
          <w:sz w:val="24"/>
          <w:szCs w:val="24"/>
        </w:rPr>
        <w:t xml:space="preserve">strategic </w:t>
      </w:r>
      <w:r w:rsidR="58E18620" w:rsidRPr="616FA7CF">
        <w:rPr>
          <w:rFonts w:ascii="Times New Roman" w:hAnsi="Times New Roman" w:cs="Times New Roman"/>
          <w:noProof/>
          <w:sz w:val="24"/>
          <w:szCs w:val="24"/>
        </w:rPr>
        <w:t>economic</w:t>
      </w:r>
      <w:r w:rsidR="44D1B60B" w:rsidRPr="616FA7CF">
        <w:rPr>
          <w:rFonts w:ascii="Times New Roman" w:hAnsi="Times New Roman" w:cs="Times New Roman"/>
          <w:noProof/>
          <w:sz w:val="24"/>
          <w:szCs w:val="24"/>
        </w:rPr>
        <w:t xml:space="preserve"> </w:t>
      </w:r>
      <w:r w:rsidR="6451BC9C" w:rsidRPr="616FA7CF">
        <w:rPr>
          <w:rFonts w:ascii="Times New Roman" w:hAnsi="Times New Roman" w:cs="Times New Roman"/>
          <w:noProof/>
          <w:sz w:val="24"/>
          <w:szCs w:val="24"/>
        </w:rPr>
        <w:t>se</w:t>
      </w:r>
      <w:r w:rsidR="6C7F66C8" w:rsidRPr="616FA7CF">
        <w:rPr>
          <w:rFonts w:ascii="Times New Roman" w:hAnsi="Times New Roman" w:cs="Times New Roman"/>
          <w:noProof/>
          <w:sz w:val="24"/>
          <w:szCs w:val="24"/>
        </w:rPr>
        <w:t>ctors</w:t>
      </w:r>
      <w:r w:rsidR="6451BC9C" w:rsidRPr="616FA7CF">
        <w:rPr>
          <w:rFonts w:ascii="Times New Roman" w:hAnsi="Times New Roman" w:cs="Times New Roman"/>
          <w:noProof/>
          <w:sz w:val="24"/>
          <w:szCs w:val="24"/>
        </w:rPr>
        <w:t xml:space="preserve"> </w:t>
      </w:r>
      <w:r w:rsidR="143E6253" w:rsidRPr="616FA7CF">
        <w:rPr>
          <w:rFonts w:ascii="Times New Roman" w:hAnsi="Times New Roman" w:cs="Times New Roman"/>
          <w:noProof/>
          <w:sz w:val="24"/>
          <w:szCs w:val="24"/>
        </w:rPr>
        <w:t xml:space="preserve">and </w:t>
      </w:r>
      <w:r w:rsidR="004D49FA">
        <w:rPr>
          <w:rFonts w:ascii="Times New Roman" w:hAnsi="Times New Roman" w:cs="Times New Roman"/>
          <w:noProof/>
          <w:sz w:val="24"/>
          <w:szCs w:val="24"/>
        </w:rPr>
        <w:t>the EU’s strategic priorities</w:t>
      </w:r>
      <w:r w:rsidR="00161C91" w:rsidRPr="0045389C">
        <w:rPr>
          <w:rFonts w:ascii="Times New Roman" w:hAnsi="Times New Roman" w:cs="Times New Roman"/>
          <w:noProof/>
          <w:sz w:val="24"/>
          <w:szCs w:val="24"/>
        </w:rPr>
        <w:t xml:space="preserve">. </w:t>
      </w:r>
      <w:r w:rsidR="00ED4EFC" w:rsidRPr="0045389C">
        <w:rPr>
          <w:rFonts w:ascii="Times New Roman" w:hAnsi="Times New Roman" w:cs="Times New Roman"/>
          <w:noProof/>
          <w:sz w:val="24"/>
          <w:szCs w:val="24"/>
        </w:rPr>
        <w:t xml:space="preserve">It would also reduce the </w:t>
      </w:r>
      <w:r w:rsidR="00C913F3" w:rsidRPr="0045389C">
        <w:rPr>
          <w:rFonts w:ascii="Times New Roman" w:hAnsi="Times New Roman" w:cs="Times New Roman"/>
          <w:noProof/>
          <w:sz w:val="24"/>
          <w:szCs w:val="24"/>
        </w:rPr>
        <w:t xml:space="preserve">potential for </w:t>
      </w:r>
      <w:r w:rsidR="005A2E6C" w:rsidRPr="0045389C">
        <w:rPr>
          <w:rFonts w:ascii="Times New Roman" w:hAnsi="Times New Roman" w:cs="Times New Roman"/>
          <w:noProof/>
          <w:sz w:val="24"/>
          <w:szCs w:val="24"/>
        </w:rPr>
        <w:t>mov</w:t>
      </w:r>
      <w:r w:rsidR="00C913F3" w:rsidRPr="0045389C">
        <w:rPr>
          <w:rFonts w:ascii="Times New Roman" w:hAnsi="Times New Roman" w:cs="Times New Roman"/>
          <w:noProof/>
          <w:sz w:val="24"/>
          <w:szCs w:val="24"/>
        </w:rPr>
        <w:t>ing</w:t>
      </w:r>
      <w:r w:rsidR="005A2E6C" w:rsidRPr="0045389C">
        <w:rPr>
          <w:rFonts w:ascii="Times New Roman" w:hAnsi="Times New Roman" w:cs="Times New Roman"/>
          <w:noProof/>
          <w:sz w:val="24"/>
          <w:szCs w:val="24"/>
        </w:rPr>
        <w:t xml:space="preserve"> </w:t>
      </w:r>
      <w:r w:rsidR="00C913F3" w:rsidRPr="0045389C">
        <w:rPr>
          <w:rFonts w:ascii="Times New Roman" w:hAnsi="Times New Roman" w:cs="Times New Roman"/>
          <w:noProof/>
          <w:sz w:val="24"/>
          <w:szCs w:val="24"/>
        </w:rPr>
        <w:t>funding sources</w:t>
      </w:r>
      <w:r w:rsidR="005A2E6C" w:rsidRPr="0045389C">
        <w:rPr>
          <w:rFonts w:ascii="Times New Roman" w:hAnsi="Times New Roman" w:cs="Times New Roman"/>
          <w:noProof/>
          <w:sz w:val="24"/>
          <w:szCs w:val="24"/>
        </w:rPr>
        <w:t xml:space="preserve"> </w:t>
      </w:r>
      <w:r w:rsidR="301D5E39" w:rsidRPr="0045389C">
        <w:rPr>
          <w:rFonts w:ascii="Times New Roman" w:hAnsi="Times New Roman" w:cs="Times New Roman"/>
          <w:noProof/>
          <w:sz w:val="24"/>
          <w:szCs w:val="24"/>
        </w:rPr>
        <w:t xml:space="preserve">to less-regulated non-bank lenders </w:t>
      </w:r>
      <w:r w:rsidR="00E73293" w:rsidRPr="0045389C">
        <w:rPr>
          <w:rFonts w:ascii="Times New Roman" w:hAnsi="Times New Roman" w:cs="Times New Roman"/>
          <w:noProof/>
          <w:sz w:val="24"/>
          <w:szCs w:val="24"/>
        </w:rPr>
        <w:t xml:space="preserve">(e.g., </w:t>
      </w:r>
      <w:r w:rsidR="2157593B" w:rsidRPr="0045389C">
        <w:rPr>
          <w:rFonts w:ascii="Times New Roman" w:hAnsi="Times New Roman" w:cs="Times New Roman"/>
          <w:noProof/>
          <w:sz w:val="24"/>
          <w:szCs w:val="24"/>
        </w:rPr>
        <w:t xml:space="preserve">private credit </w:t>
      </w:r>
      <w:r w:rsidR="00E73293" w:rsidRPr="0045389C">
        <w:rPr>
          <w:rFonts w:ascii="Times New Roman" w:hAnsi="Times New Roman" w:cs="Times New Roman"/>
          <w:noProof/>
          <w:sz w:val="24"/>
          <w:szCs w:val="24"/>
        </w:rPr>
        <w:t>markets)</w:t>
      </w:r>
      <w:r w:rsidR="00C913F3" w:rsidRPr="0045389C">
        <w:rPr>
          <w:rFonts w:ascii="Times New Roman" w:hAnsi="Times New Roman" w:cs="Times New Roman"/>
          <w:noProof/>
          <w:sz w:val="24"/>
          <w:szCs w:val="24"/>
        </w:rPr>
        <w:t xml:space="preserve">, </w:t>
      </w:r>
      <w:r w:rsidR="615EC752" w:rsidRPr="0045389C">
        <w:rPr>
          <w:rFonts w:ascii="Times New Roman" w:hAnsi="Times New Roman" w:cs="Times New Roman"/>
          <w:noProof/>
          <w:sz w:val="24"/>
          <w:szCs w:val="24"/>
        </w:rPr>
        <w:t xml:space="preserve">a move </w:t>
      </w:r>
      <w:r w:rsidR="00C913F3" w:rsidRPr="0045389C">
        <w:rPr>
          <w:rFonts w:ascii="Times New Roman" w:hAnsi="Times New Roman" w:cs="Times New Roman"/>
          <w:noProof/>
          <w:sz w:val="24"/>
          <w:szCs w:val="24"/>
        </w:rPr>
        <w:t xml:space="preserve">which could even worsen </w:t>
      </w:r>
      <w:r w:rsidR="6A81C4E4" w:rsidRPr="1CF48923">
        <w:rPr>
          <w:rFonts w:ascii="Times New Roman" w:hAnsi="Times New Roman" w:cs="Times New Roman"/>
          <w:noProof/>
          <w:sz w:val="24"/>
          <w:szCs w:val="24"/>
        </w:rPr>
        <w:t xml:space="preserve">the </w:t>
      </w:r>
      <w:r w:rsidR="301D5E39" w:rsidRPr="0045389C">
        <w:rPr>
          <w:rFonts w:ascii="Times New Roman" w:hAnsi="Times New Roman" w:cs="Times New Roman"/>
          <w:noProof/>
          <w:sz w:val="24"/>
          <w:szCs w:val="24"/>
        </w:rPr>
        <w:t>safety and soundness within the financial sector</w:t>
      </w:r>
      <w:r w:rsidR="00C913F3" w:rsidRPr="0045389C">
        <w:rPr>
          <w:rFonts w:ascii="Times New Roman" w:hAnsi="Times New Roman" w:cs="Times New Roman"/>
          <w:noProof/>
          <w:sz w:val="24"/>
          <w:szCs w:val="24"/>
        </w:rPr>
        <w:t>.</w:t>
      </w:r>
    </w:p>
    <w:p w14:paraId="445EA744" w14:textId="28FDB87A" w:rsidR="00344E31" w:rsidRPr="0045389C" w:rsidRDefault="00344E31" w:rsidP="7DF15E64">
      <w:pPr>
        <w:spacing w:line="276" w:lineRule="auto"/>
        <w:jc w:val="both"/>
        <w:rPr>
          <w:rFonts w:ascii="Times New Roman" w:hAnsi="Times New Roman" w:cs="Times New Roman"/>
          <w:noProof/>
          <w:sz w:val="24"/>
          <w:szCs w:val="24"/>
          <w:u w:val="single"/>
          <w:lang w:val="en-GB"/>
        </w:rPr>
      </w:pPr>
      <w:r w:rsidRPr="006F43E5">
        <w:rPr>
          <w:rFonts w:ascii="Times New Roman" w:hAnsi="Times New Roman" w:cs="Times New Roman"/>
          <w:noProof/>
          <w:sz w:val="24"/>
          <w:szCs w:val="24"/>
          <w:u w:val="single"/>
          <w:lang w:val="en-GB"/>
        </w:rPr>
        <w:t>Issues identified:</w:t>
      </w:r>
    </w:p>
    <w:p w14:paraId="7EB55F45" w14:textId="54159E07" w:rsidR="7557DBA6" w:rsidRPr="00D6783C" w:rsidRDefault="0084420C" w:rsidP="616FA7CF">
      <w:pPr>
        <w:pStyle w:val="ListParagraph"/>
        <w:numPr>
          <w:ilvl w:val="0"/>
          <w:numId w:val="13"/>
        </w:numPr>
        <w:jc w:val="both"/>
        <w:rPr>
          <w:rFonts w:ascii="Times New Roman" w:eastAsiaTheme="minorEastAsia" w:hAnsi="Times New Roman" w:cs="Times New Roman"/>
          <w:noProof/>
          <w:sz w:val="24"/>
          <w:szCs w:val="24"/>
          <w:lang w:val="en-GB"/>
        </w:rPr>
      </w:pPr>
      <w:r>
        <w:rPr>
          <w:rFonts w:ascii="Times New Roman" w:eastAsiaTheme="minorEastAsia" w:hAnsi="Times New Roman" w:cs="Times New Roman"/>
          <w:noProof/>
          <w:sz w:val="24"/>
          <w:szCs w:val="24"/>
          <w:lang w:val="en-GB"/>
        </w:rPr>
        <w:t xml:space="preserve">Market transparency is an asset that can help </w:t>
      </w:r>
      <w:r w:rsidR="00A37A30">
        <w:rPr>
          <w:rFonts w:ascii="Times New Roman" w:eastAsiaTheme="minorEastAsia" w:hAnsi="Times New Roman" w:cs="Times New Roman"/>
          <w:noProof/>
          <w:sz w:val="24"/>
          <w:szCs w:val="24"/>
          <w:lang w:val="en-GB"/>
        </w:rPr>
        <w:t>corporates to tap capital markets. At the same time, t</w:t>
      </w:r>
      <w:r w:rsidR="00A06585" w:rsidRPr="00A06585">
        <w:rPr>
          <w:rFonts w:ascii="Times New Roman" w:eastAsiaTheme="minorEastAsia" w:hAnsi="Times New Roman" w:cs="Times New Roman"/>
          <w:noProof/>
          <w:sz w:val="24"/>
          <w:szCs w:val="24"/>
          <w:lang w:val="en-GB"/>
        </w:rPr>
        <w:t>h</w:t>
      </w:r>
      <w:r w:rsidR="00A37A30">
        <w:rPr>
          <w:rFonts w:ascii="Times New Roman" w:eastAsiaTheme="minorEastAsia" w:hAnsi="Times New Roman" w:cs="Times New Roman"/>
          <w:noProof/>
          <w:sz w:val="24"/>
          <w:szCs w:val="24"/>
          <w:lang w:val="en-GB"/>
        </w:rPr>
        <w:t>ere is a need to make sure that the</w:t>
      </w:r>
      <w:r w:rsidR="00A06585" w:rsidRPr="00A06585">
        <w:rPr>
          <w:rFonts w:ascii="Times New Roman" w:eastAsiaTheme="minorEastAsia" w:hAnsi="Times New Roman" w:cs="Times New Roman"/>
          <w:noProof/>
          <w:sz w:val="24"/>
          <w:szCs w:val="24"/>
          <w:lang w:val="en-GB"/>
        </w:rPr>
        <w:t xml:space="preserve"> prudential </w:t>
      </w:r>
      <w:r w:rsidR="00EE2243">
        <w:rPr>
          <w:rFonts w:ascii="Times New Roman" w:eastAsiaTheme="minorEastAsia" w:hAnsi="Times New Roman" w:cs="Times New Roman"/>
          <w:noProof/>
          <w:sz w:val="24"/>
          <w:szCs w:val="24"/>
          <w:lang w:val="en-GB"/>
        </w:rPr>
        <w:t>treatment of banking exposures toward</w:t>
      </w:r>
      <w:r w:rsidR="00A06585" w:rsidRPr="00A06585">
        <w:rPr>
          <w:rFonts w:ascii="Times New Roman" w:eastAsiaTheme="minorEastAsia" w:hAnsi="Times New Roman" w:cs="Times New Roman"/>
          <w:noProof/>
          <w:sz w:val="24"/>
          <w:szCs w:val="24"/>
          <w:lang w:val="en-GB"/>
        </w:rPr>
        <w:t xml:space="preserve"> unrated corporates with good credit histories remain</w:t>
      </w:r>
      <w:r w:rsidR="00A37A30">
        <w:rPr>
          <w:rFonts w:ascii="Times New Roman" w:eastAsiaTheme="minorEastAsia" w:hAnsi="Times New Roman" w:cs="Times New Roman"/>
          <w:noProof/>
          <w:sz w:val="24"/>
          <w:szCs w:val="24"/>
          <w:lang w:val="en-GB"/>
        </w:rPr>
        <w:t>s</w:t>
      </w:r>
      <w:r w:rsidR="00A06585" w:rsidRPr="00A06585">
        <w:rPr>
          <w:rFonts w:ascii="Times New Roman" w:eastAsiaTheme="minorEastAsia" w:hAnsi="Times New Roman" w:cs="Times New Roman"/>
          <w:noProof/>
          <w:sz w:val="24"/>
          <w:szCs w:val="24"/>
          <w:lang w:val="en-GB"/>
        </w:rPr>
        <w:t xml:space="preserve"> balanced, proportionate, and consistent over time</w:t>
      </w:r>
      <w:r w:rsidR="00A37A30">
        <w:rPr>
          <w:rFonts w:ascii="Times New Roman" w:eastAsiaTheme="minorEastAsia" w:hAnsi="Times New Roman" w:cs="Times New Roman"/>
          <w:noProof/>
          <w:sz w:val="24"/>
          <w:szCs w:val="24"/>
          <w:lang w:val="en-GB"/>
        </w:rPr>
        <w:t xml:space="preserve">. </w:t>
      </w:r>
      <w:r w:rsidR="7557DBA6" w:rsidRPr="616FA7CF">
        <w:rPr>
          <w:rFonts w:ascii="Times New Roman" w:eastAsiaTheme="minorEastAsia" w:hAnsi="Times New Roman" w:cs="Times New Roman"/>
          <w:noProof/>
          <w:sz w:val="24"/>
          <w:szCs w:val="24"/>
          <w:lang w:val="en-GB"/>
        </w:rPr>
        <w:t>The EU framework presents a high structural insulation against borrowers’ default, which is reflected only to a limited extent in the standards agreed at international level at Basel. This is the case also considering segments of low-risk residential mortgages based on a wide-array of structural safeguards with a long and proven track record.</w:t>
      </w:r>
      <w:r w:rsidR="00AC2B0B">
        <w:rPr>
          <w:rFonts w:ascii="Times New Roman" w:eastAsiaTheme="minorEastAsia" w:hAnsi="Times New Roman" w:cs="Times New Roman"/>
          <w:noProof/>
          <w:sz w:val="24"/>
          <w:szCs w:val="24"/>
          <w:lang w:val="en-GB"/>
        </w:rPr>
        <w:t xml:space="preserve"> </w:t>
      </w:r>
    </w:p>
    <w:p w14:paraId="6FD668AA" w14:textId="02B416C8" w:rsidR="269C3337" w:rsidRDefault="004C08AD" w:rsidP="616FA7CF">
      <w:pPr>
        <w:pStyle w:val="ListParagraph"/>
        <w:numPr>
          <w:ilvl w:val="0"/>
          <w:numId w:val="13"/>
        </w:numPr>
        <w:jc w:val="both"/>
        <w:rPr>
          <w:rFonts w:ascii="Times New Roman" w:eastAsiaTheme="minorEastAsia" w:hAnsi="Times New Roman" w:cs="Times New Roman"/>
          <w:noProof/>
          <w:sz w:val="24"/>
          <w:szCs w:val="24"/>
          <w:lang w:val="en-GB"/>
        </w:rPr>
      </w:pPr>
      <w:r>
        <w:rPr>
          <w:rFonts w:ascii="Times New Roman" w:eastAsiaTheme="minorEastAsia" w:hAnsi="Times New Roman" w:cs="Times New Roman"/>
          <w:noProof/>
          <w:sz w:val="24"/>
          <w:szCs w:val="24"/>
          <w:lang w:val="en-GB"/>
        </w:rPr>
        <w:t>M</w:t>
      </w:r>
      <w:r w:rsidR="62B316BF" w:rsidRPr="5C068DA3">
        <w:rPr>
          <w:rFonts w:ascii="Times New Roman" w:eastAsiaTheme="minorEastAsia" w:hAnsi="Times New Roman" w:cs="Times New Roman"/>
          <w:noProof/>
          <w:sz w:val="24"/>
          <w:szCs w:val="24"/>
          <w:lang w:val="en-GB"/>
        </w:rPr>
        <w:t xml:space="preserve">odelling </w:t>
      </w:r>
      <w:r w:rsidR="00B77C9F">
        <w:rPr>
          <w:rFonts w:ascii="Times New Roman" w:eastAsiaTheme="minorEastAsia" w:hAnsi="Times New Roman" w:cs="Times New Roman"/>
          <w:noProof/>
          <w:sz w:val="24"/>
          <w:szCs w:val="24"/>
          <w:lang w:val="en-GB"/>
        </w:rPr>
        <w:t xml:space="preserve">outcomes </w:t>
      </w:r>
      <w:r w:rsidR="62B316BF" w:rsidRPr="5C068DA3">
        <w:rPr>
          <w:rFonts w:ascii="Times New Roman" w:eastAsiaTheme="minorEastAsia" w:hAnsi="Times New Roman" w:cs="Times New Roman"/>
          <w:noProof/>
          <w:sz w:val="24"/>
          <w:szCs w:val="24"/>
          <w:lang w:val="en-GB"/>
        </w:rPr>
        <w:t>under</w:t>
      </w:r>
      <w:r w:rsidR="269C3337" w:rsidRPr="616FA7CF">
        <w:rPr>
          <w:rFonts w:ascii="Times New Roman" w:eastAsiaTheme="minorEastAsia" w:hAnsi="Times New Roman" w:cs="Times New Roman"/>
          <w:noProof/>
          <w:sz w:val="24"/>
          <w:szCs w:val="24"/>
          <w:lang w:val="en-GB"/>
        </w:rPr>
        <w:t xml:space="preserve"> the IRB </w:t>
      </w:r>
      <w:r w:rsidR="00F826C3">
        <w:rPr>
          <w:rFonts w:ascii="Times New Roman" w:eastAsiaTheme="minorEastAsia" w:hAnsi="Times New Roman" w:cs="Times New Roman"/>
          <w:noProof/>
          <w:sz w:val="24"/>
          <w:szCs w:val="24"/>
          <w:lang w:val="en-GB"/>
        </w:rPr>
        <w:t>a</w:t>
      </w:r>
      <w:r w:rsidR="269C3337" w:rsidRPr="616FA7CF">
        <w:rPr>
          <w:rFonts w:ascii="Times New Roman" w:eastAsiaTheme="minorEastAsia" w:hAnsi="Times New Roman" w:cs="Times New Roman"/>
          <w:noProof/>
          <w:sz w:val="24"/>
          <w:szCs w:val="24"/>
          <w:lang w:val="en-GB"/>
        </w:rPr>
        <w:t xml:space="preserve">pproach and the relative distance between the IRB </w:t>
      </w:r>
      <w:r w:rsidR="0035163B" w:rsidRPr="616FA7CF">
        <w:rPr>
          <w:rFonts w:ascii="Times New Roman" w:eastAsiaTheme="minorEastAsia" w:hAnsi="Times New Roman" w:cs="Times New Roman"/>
          <w:noProof/>
          <w:sz w:val="24"/>
          <w:szCs w:val="24"/>
          <w:lang w:val="en-GB"/>
        </w:rPr>
        <w:t>approach</w:t>
      </w:r>
      <w:r w:rsidR="269C3337" w:rsidRPr="616FA7CF">
        <w:rPr>
          <w:rFonts w:ascii="Times New Roman" w:eastAsiaTheme="minorEastAsia" w:hAnsi="Times New Roman" w:cs="Times New Roman"/>
          <w:noProof/>
          <w:sz w:val="24"/>
          <w:szCs w:val="24"/>
          <w:lang w:val="en-GB"/>
        </w:rPr>
        <w:t xml:space="preserve"> and the SA </w:t>
      </w:r>
      <w:r w:rsidR="004E1917">
        <w:rPr>
          <w:rFonts w:ascii="Times New Roman" w:eastAsiaTheme="minorEastAsia" w:hAnsi="Times New Roman" w:cs="Times New Roman"/>
          <w:noProof/>
          <w:sz w:val="24"/>
          <w:szCs w:val="24"/>
          <w:lang w:val="en-GB"/>
        </w:rPr>
        <w:t xml:space="preserve">resulting in </w:t>
      </w:r>
      <w:r w:rsidR="00A3712C">
        <w:rPr>
          <w:rFonts w:ascii="Times New Roman" w:eastAsiaTheme="minorEastAsia" w:hAnsi="Times New Roman" w:cs="Times New Roman"/>
          <w:noProof/>
          <w:sz w:val="24"/>
          <w:szCs w:val="24"/>
          <w:lang w:val="en-GB"/>
        </w:rPr>
        <w:t xml:space="preserve">major adjustments </w:t>
      </w:r>
      <w:r w:rsidR="59DB60C6" w:rsidRPr="1A121457">
        <w:rPr>
          <w:rFonts w:ascii="Times New Roman" w:eastAsiaTheme="minorEastAsia" w:hAnsi="Times New Roman" w:cs="Times New Roman"/>
          <w:noProof/>
          <w:sz w:val="24"/>
          <w:szCs w:val="24"/>
          <w:lang w:val="en-GB"/>
        </w:rPr>
        <w:t>when applying</w:t>
      </w:r>
      <w:r w:rsidR="269C3337" w:rsidRPr="616FA7CF">
        <w:rPr>
          <w:rFonts w:ascii="Times New Roman" w:eastAsiaTheme="minorEastAsia" w:hAnsi="Times New Roman" w:cs="Times New Roman"/>
          <w:noProof/>
          <w:sz w:val="24"/>
          <w:szCs w:val="24"/>
          <w:lang w:val="en-GB"/>
        </w:rPr>
        <w:t xml:space="preserve"> the output floor</w:t>
      </w:r>
      <w:r w:rsidR="0467AECB" w:rsidRPr="4E2FB9C4">
        <w:rPr>
          <w:rFonts w:ascii="Times New Roman" w:eastAsiaTheme="minorEastAsia" w:hAnsi="Times New Roman" w:cs="Times New Roman"/>
          <w:noProof/>
          <w:sz w:val="24"/>
          <w:szCs w:val="24"/>
          <w:lang w:val="en-GB"/>
        </w:rPr>
        <w:t>,</w:t>
      </w:r>
      <w:r w:rsidR="269C3337" w:rsidRPr="616FA7CF">
        <w:rPr>
          <w:rFonts w:ascii="Times New Roman" w:eastAsiaTheme="minorEastAsia" w:hAnsi="Times New Roman" w:cs="Times New Roman"/>
          <w:noProof/>
          <w:sz w:val="24"/>
          <w:szCs w:val="24"/>
          <w:lang w:val="en-GB"/>
        </w:rPr>
        <w:t xml:space="preserve"> should be </w:t>
      </w:r>
      <w:r w:rsidR="00A32A92">
        <w:rPr>
          <w:rFonts w:ascii="Times New Roman" w:eastAsiaTheme="minorEastAsia" w:hAnsi="Times New Roman" w:cs="Times New Roman"/>
          <w:noProof/>
          <w:sz w:val="24"/>
          <w:szCs w:val="24"/>
          <w:lang w:val="en-GB"/>
        </w:rPr>
        <w:t>further analysed</w:t>
      </w:r>
      <w:r w:rsidR="000B1B4C">
        <w:rPr>
          <w:rFonts w:ascii="Times New Roman" w:eastAsiaTheme="minorEastAsia" w:hAnsi="Times New Roman" w:cs="Times New Roman"/>
          <w:noProof/>
          <w:sz w:val="24"/>
          <w:szCs w:val="24"/>
          <w:lang w:val="en-GB"/>
        </w:rPr>
        <w:t>. This</w:t>
      </w:r>
      <w:r w:rsidR="269C3337" w:rsidRPr="616FA7CF">
        <w:rPr>
          <w:rFonts w:ascii="Times New Roman" w:eastAsiaTheme="minorEastAsia" w:hAnsi="Times New Roman" w:cs="Times New Roman"/>
          <w:noProof/>
          <w:sz w:val="24"/>
          <w:szCs w:val="24"/>
          <w:lang w:val="en-GB"/>
        </w:rPr>
        <w:t xml:space="preserve"> </w:t>
      </w:r>
      <w:r w:rsidR="000B1B4C">
        <w:rPr>
          <w:rFonts w:ascii="Times New Roman" w:eastAsiaTheme="minorEastAsia" w:hAnsi="Times New Roman" w:cs="Times New Roman"/>
          <w:noProof/>
          <w:sz w:val="24"/>
          <w:szCs w:val="24"/>
          <w:lang w:val="en-GB"/>
        </w:rPr>
        <w:t xml:space="preserve">is </w:t>
      </w:r>
      <w:r w:rsidR="00367FB4">
        <w:rPr>
          <w:rFonts w:ascii="Times New Roman" w:eastAsiaTheme="minorEastAsia" w:hAnsi="Times New Roman" w:cs="Times New Roman"/>
          <w:noProof/>
          <w:sz w:val="24"/>
          <w:szCs w:val="24"/>
          <w:lang w:val="en-GB"/>
        </w:rPr>
        <w:t>especially</w:t>
      </w:r>
      <w:r w:rsidR="000B1B4C">
        <w:rPr>
          <w:rFonts w:ascii="Times New Roman" w:eastAsiaTheme="minorEastAsia" w:hAnsi="Times New Roman" w:cs="Times New Roman"/>
          <w:noProof/>
          <w:sz w:val="24"/>
          <w:szCs w:val="24"/>
          <w:lang w:val="en-GB"/>
        </w:rPr>
        <w:t xml:space="preserve"> </w:t>
      </w:r>
      <w:r w:rsidR="00B248A1">
        <w:rPr>
          <w:rFonts w:ascii="Times New Roman" w:eastAsiaTheme="minorEastAsia" w:hAnsi="Times New Roman" w:cs="Times New Roman"/>
          <w:noProof/>
          <w:sz w:val="24"/>
          <w:szCs w:val="24"/>
          <w:lang w:val="en-GB"/>
        </w:rPr>
        <w:t>relevant</w:t>
      </w:r>
      <w:r w:rsidR="269C3337" w:rsidRPr="616FA7CF">
        <w:rPr>
          <w:rFonts w:ascii="Times New Roman" w:eastAsiaTheme="minorEastAsia" w:hAnsi="Times New Roman" w:cs="Times New Roman"/>
          <w:noProof/>
          <w:sz w:val="24"/>
          <w:szCs w:val="24"/>
          <w:lang w:val="en-GB"/>
        </w:rPr>
        <w:t xml:space="preserve"> for exposures </w:t>
      </w:r>
      <w:r w:rsidR="5A2483E1" w:rsidRPr="6AC7CD12">
        <w:rPr>
          <w:rFonts w:ascii="Times New Roman" w:eastAsiaTheme="minorEastAsia" w:hAnsi="Times New Roman" w:cs="Times New Roman"/>
          <w:noProof/>
          <w:sz w:val="24"/>
          <w:szCs w:val="24"/>
          <w:lang w:val="en-GB"/>
        </w:rPr>
        <w:t>showing</w:t>
      </w:r>
      <w:r w:rsidR="269C3337" w:rsidRPr="616FA7CF">
        <w:rPr>
          <w:rFonts w:ascii="Times New Roman" w:eastAsiaTheme="minorEastAsia" w:hAnsi="Times New Roman" w:cs="Times New Roman"/>
          <w:noProof/>
          <w:sz w:val="24"/>
          <w:szCs w:val="24"/>
          <w:lang w:val="en-GB"/>
        </w:rPr>
        <w:t xml:space="preserve"> low default</w:t>
      </w:r>
      <w:r w:rsidR="269C3337" w:rsidRPr="6AC7CD12">
        <w:rPr>
          <w:rFonts w:ascii="Times New Roman" w:eastAsiaTheme="minorEastAsia" w:hAnsi="Times New Roman" w:cs="Times New Roman"/>
          <w:noProof/>
          <w:sz w:val="24"/>
          <w:szCs w:val="24"/>
          <w:lang w:val="en-GB"/>
        </w:rPr>
        <w:t xml:space="preserve"> </w:t>
      </w:r>
      <w:r w:rsidR="32BD981B" w:rsidRPr="6AC7CD12">
        <w:rPr>
          <w:rFonts w:ascii="Times New Roman" w:eastAsiaTheme="minorEastAsia" w:hAnsi="Times New Roman" w:cs="Times New Roman"/>
          <w:noProof/>
          <w:sz w:val="24"/>
          <w:szCs w:val="24"/>
          <w:lang w:val="en-GB"/>
        </w:rPr>
        <w:t>rates</w:t>
      </w:r>
      <w:r w:rsidR="269C3337" w:rsidRPr="616FA7CF">
        <w:rPr>
          <w:rFonts w:ascii="Times New Roman" w:eastAsiaTheme="minorEastAsia" w:hAnsi="Times New Roman" w:cs="Times New Roman"/>
          <w:noProof/>
          <w:sz w:val="24"/>
          <w:szCs w:val="24"/>
          <w:lang w:val="en-GB"/>
        </w:rPr>
        <w:t xml:space="preserve"> and for which </w:t>
      </w:r>
      <w:r w:rsidR="00912F0C" w:rsidRPr="00912F0C">
        <w:rPr>
          <w:rFonts w:ascii="Times New Roman" w:eastAsiaTheme="minorEastAsia" w:hAnsi="Times New Roman" w:cs="Times New Roman"/>
          <w:noProof/>
          <w:sz w:val="24"/>
          <w:szCs w:val="24"/>
          <w:lang w:val="en-GB"/>
        </w:rPr>
        <w:t xml:space="preserve">strong legal and structural setups </w:t>
      </w:r>
      <w:r w:rsidR="009F120F">
        <w:rPr>
          <w:rFonts w:ascii="Times New Roman" w:eastAsiaTheme="minorEastAsia" w:hAnsi="Times New Roman" w:cs="Times New Roman"/>
          <w:noProof/>
          <w:sz w:val="24"/>
          <w:szCs w:val="24"/>
          <w:lang w:val="en-GB"/>
        </w:rPr>
        <w:t xml:space="preserve">protect </w:t>
      </w:r>
      <w:r w:rsidR="008D1043">
        <w:rPr>
          <w:rFonts w:ascii="Times New Roman" w:eastAsiaTheme="minorEastAsia" w:hAnsi="Times New Roman" w:cs="Times New Roman"/>
          <w:noProof/>
          <w:sz w:val="24"/>
          <w:szCs w:val="24"/>
          <w:lang w:val="en-GB"/>
        </w:rPr>
        <w:t xml:space="preserve">financial </w:t>
      </w:r>
      <w:r w:rsidR="008D1043" w:rsidRPr="2937AEBC">
        <w:rPr>
          <w:rFonts w:ascii="Times New Roman" w:eastAsiaTheme="minorEastAsia" w:hAnsi="Times New Roman" w:cs="Times New Roman"/>
          <w:noProof/>
          <w:sz w:val="24"/>
          <w:szCs w:val="24"/>
          <w:lang w:val="en-GB"/>
        </w:rPr>
        <w:t>institu</w:t>
      </w:r>
      <w:r w:rsidR="069A0FE1" w:rsidRPr="2937AEBC">
        <w:rPr>
          <w:rFonts w:ascii="Times New Roman" w:eastAsiaTheme="minorEastAsia" w:hAnsi="Times New Roman" w:cs="Times New Roman"/>
          <w:noProof/>
          <w:sz w:val="24"/>
          <w:szCs w:val="24"/>
          <w:lang w:val="en-GB"/>
        </w:rPr>
        <w:t>t</w:t>
      </w:r>
      <w:r w:rsidR="008D1043" w:rsidRPr="2937AEBC">
        <w:rPr>
          <w:rFonts w:ascii="Times New Roman" w:eastAsiaTheme="minorEastAsia" w:hAnsi="Times New Roman" w:cs="Times New Roman"/>
          <w:noProof/>
          <w:sz w:val="24"/>
          <w:szCs w:val="24"/>
          <w:lang w:val="en-GB"/>
        </w:rPr>
        <w:t>ions</w:t>
      </w:r>
      <w:r w:rsidR="00CD6132">
        <w:rPr>
          <w:rFonts w:ascii="Times New Roman" w:eastAsiaTheme="minorEastAsia" w:hAnsi="Times New Roman" w:cs="Times New Roman"/>
          <w:noProof/>
          <w:sz w:val="24"/>
          <w:szCs w:val="24"/>
          <w:lang w:val="en-GB"/>
        </w:rPr>
        <w:t>.</w:t>
      </w:r>
      <w:r w:rsidR="00755F3F">
        <w:rPr>
          <w:rFonts w:ascii="Times New Roman" w:eastAsiaTheme="minorEastAsia" w:hAnsi="Times New Roman" w:cs="Times New Roman"/>
          <w:noProof/>
          <w:sz w:val="24"/>
          <w:szCs w:val="24"/>
          <w:lang w:val="en-GB"/>
        </w:rPr>
        <w:t xml:space="preserve"> </w:t>
      </w:r>
      <w:r w:rsidR="003F4B68">
        <w:rPr>
          <w:rFonts w:ascii="Times New Roman" w:eastAsiaTheme="minorEastAsia" w:hAnsi="Times New Roman" w:cs="Times New Roman"/>
          <w:noProof/>
          <w:sz w:val="24"/>
          <w:szCs w:val="24"/>
          <w:lang w:val="en-GB"/>
        </w:rPr>
        <w:t xml:space="preserve">In these lines </w:t>
      </w:r>
      <w:r w:rsidR="00C720B5">
        <w:rPr>
          <w:rFonts w:ascii="Times New Roman" w:eastAsiaTheme="minorEastAsia" w:hAnsi="Times New Roman" w:cs="Times New Roman"/>
          <w:noProof/>
          <w:sz w:val="24"/>
          <w:szCs w:val="24"/>
          <w:lang w:val="en-GB"/>
        </w:rPr>
        <w:t xml:space="preserve">of business EU banks </w:t>
      </w:r>
      <w:r w:rsidR="269C3337" w:rsidRPr="616FA7CF">
        <w:rPr>
          <w:rFonts w:ascii="Times New Roman" w:eastAsiaTheme="minorEastAsia" w:hAnsi="Times New Roman" w:cs="Times New Roman"/>
          <w:noProof/>
          <w:sz w:val="24"/>
          <w:szCs w:val="24"/>
          <w:lang w:val="en-GB"/>
        </w:rPr>
        <w:t xml:space="preserve">developed </w:t>
      </w:r>
      <w:r w:rsidR="269C3337" w:rsidRPr="0F877E1F">
        <w:rPr>
          <w:rFonts w:ascii="Times New Roman" w:eastAsiaTheme="minorEastAsia" w:hAnsi="Times New Roman" w:cs="Times New Roman"/>
          <w:noProof/>
          <w:sz w:val="24"/>
          <w:szCs w:val="24"/>
          <w:lang w:val="en-GB"/>
        </w:rPr>
        <w:t>good expertise</w:t>
      </w:r>
      <w:r w:rsidR="68ECF67A" w:rsidRPr="0F877E1F">
        <w:rPr>
          <w:rFonts w:ascii="Times New Roman" w:eastAsiaTheme="minorEastAsia" w:hAnsi="Times New Roman" w:cs="Times New Roman"/>
          <w:noProof/>
          <w:sz w:val="24"/>
          <w:szCs w:val="24"/>
          <w:lang w:val="en-GB"/>
        </w:rPr>
        <w:t xml:space="preserve"> and experience</w:t>
      </w:r>
      <w:r w:rsidR="0097385B">
        <w:rPr>
          <w:rFonts w:ascii="Times New Roman" w:eastAsiaTheme="minorEastAsia" w:hAnsi="Times New Roman" w:cs="Times New Roman"/>
          <w:noProof/>
          <w:sz w:val="24"/>
          <w:szCs w:val="24"/>
          <w:lang w:val="en-GB"/>
        </w:rPr>
        <w:t xml:space="preserve"> in controlling </w:t>
      </w:r>
      <w:r w:rsidR="00B52AB7">
        <w:rPr>
          <w:rFonts w:ascii="Times New Roman" w:eastAsiaTheme="minorEastAsia" w:hAnsi="Times New Roman" w:cs="Times New Roman"/>
          <w:noProof/>
          <w:sz w:val="24"/>
          <w:szCs w:val="24"/>
          <w:lang w:val="en-GB"/>
        </w:rPr>
        <w:t xml:space="preserve">the inherent riskiness of </w:t>
      </w:r>
      <w:r w:rsidR="00F826C3">
        <w:rPr>
          <w:rFonts w:ascii="Times New Roman" w:eastAsiaTheme="minorEastAsia" w:hAnsi="Times New Roman" w:cs="Times New Roman"/>
          <w:noProof/>
          <w:sz w:val="24"/>
          <w:szCs w:val="24"/>
          <w:lang w:val="en-GB"/>
        </w:rPr>
        <w:t xml:space="preserve">their </w:t>
      </w:r>
      <w:r w:rsidR="00B52AB7">
        <w:rPr>
          <w:rFonts w:ascii="Times New Roman" w:eastAsiaTheme="minorEastAsia" w:hAnsi="Times New Roman" w:cs="Times New Roman"/>
          <w:noProof/>
          <w:sz w:val="24"/>
          <w:szCs w:val="24"/>
          <w:lang w:val="en-GB"/>
        </w:rPr>
        <w:t>exposures</w:t>
      </w:r>
      <w:r w:rsidR="00F826C3">
        <w:rPr>
          <w:rFonts w:ascii="Times New Roman" w:eastAsiaTheme="minorEastAsia" w:hAnsi="Times New Roman" w:cs="Times New Roman"/>
          <w:noProof/>
          <w:sz w:val="24"/>
          <w:szCs w:val="24"/>
          <w:lang w:val="en-GB"/>
        </w:rPr>
        <w:t>, without a</w:t>
      </w:r>
      <w:r w:rsidR="00A138BF">
        <w:rPr>
          <w:rFonts w:ascii="Times New Roman" w:eastAsiaTheme="minorEastAsia" w:hAnsi="Times New Roman" w:cs="Times New Roman"/>
          <w:noProof/>
          <w:sz w:val="24"/>
          <w:szCs w:val="24"/>
          <w:lang w:val="en-GB"/>
        </w:rPr>
        <w:t>n</w:t>
      </w:r>
      <w:r w:rsidR="00F826C3">
        <w:rPr>
          <w:rFonts w:ascii="Times New Roman" w:eastAsiaTheme="minorEastAsia" w:hAnsi="Times New Roman" w:cs="Times New Roman"/>
          <w:noProof/>
          <w:sz w:val="24"/>
          <w:szCs w:val="24"/>
          <w:lang w:val="en-GB"/>
        </w:rPr>
        <w:t xml:space="preserve"> </w:t>
      </w:r>
      <w:r w:rsidR="00A138BF">
        <w:rPr>
          <w:rFonts w:ascii="Times New Roman" w:eastAsiaTheme="minorEastAsia" w:hAnsi="Times New Roman" w:cs="Times New Roman"/>
          <w:noProof/>
          <w:sz w:val="24"/>
          <w:szCs w:val="24"/>
          <w:lang w:val="en-GB"/>
        </w:rPr>
        <w:t>adequate</w:t>
      </w:r>
      <w:r w:rsidR="00253DAA">
        <w:rPr>
          <w:rFonts w:ascii="Times New Roman" w:eastAsiaTheme="minorEastAsia" w:hAnsi="Times New Roman" w:cs="Times New Roman"/>
          <w:noProof/>
          <w:sz w:val="24"/>
          <w:szCs w:val="24"/>
          <w:lang w:val="en-GB"/>
        </w:rPr>
        <w:t xml:space="preserve"> recognition in the prudential </w:t>
      </w:r>
      <w:r w:rsidR="582C91A2" w:rsidRPr="0B09B65C">
        <w:rPr>
          <w:rFonts w:ascii="Times New Roman" w:eastAsiaTheme="minorEastAsia" w:hAnsi="Times New Roman" w:cs="Times New Roman"/>
          <w:noProof/>
          <w:sz w:val="24"/>
          <w:szCs w:val="24"/>
          <w:lang w:val="en-GB"/>
        </w:rPr>
        <w:t xml:space="preserve">framework </w:t>
      </w:r>
      <w:r w:rsidR="269C3337" w:rsidRPr="0B09B65C">
        <w:rPr>
          <w:rFonts w:ascii="Times New Roman" w:eastAsiaTheme="minorEastAsia" w:hAnsi="Times New Roman" w:cs="Times New Roman"/>
          <w:noProof/>
          <w:sz w:val="24"/>
          <w:szCs w:val="24"/>
          <w:lang w:val="en-GB"/>
        </w:rPr>
        <w:t>e.g.</w:t>
      </w:r>
      <w:r w:rsidR="269C3337" w:rsidRPr="616FA7CF">
        <w:rPr>
          <w:rFonts w:ascii="Times New Roman" w:eastAsiaTheme="minorEastAsia" w:hAnsi="Times New Roman" w:cs="Times New Roman"/>
          <w:noProof/>
          <w:sz w:val="24"/>
          <w:szCs w:val="24"/>
          <w:lang w:val="en-GB"/>
        </w:rPr>
        <w:t xml:space="preserve"> specialised lending (</w:t>
      </w:r>
      <w:r w:rsidR="715DC4B3" w:rsidRPr="6E3408FA">
        <w:rPr>
          <w:rFonts w:ascii="Times New Roman" w:eastAsiaTheme="minorEastAsia" w:hAnsi="Times New Roman" w:cs="Times New Roman"/>
          <w:noProof/>
          <w:sz w:val="24"/>
          <w:szCs w:val="24"/>
          <w:lang w:val="en-GB"/>
        </w:rPr>
        <w:t xml:space="preserve">e.g. </w:t>
      </w:r>
      <w:r w:rsidR="269C3337" w:rsidRPr="6E3408FA">
        <w:rPr>
          <w:rFonts w:ascii="Times New Roman" w:eastAsiaTheme="minorEastAsia" w:hAnsi="Times New Roman" w:cs="Times New Roman"/>
          <w:noProof/>
          <w:sz w:val="24"/>
          <w:szCs w:val="24"/>
          <w:lang w:val="en-GB"/>
        </w:rPr>
        <w:t>aircraft</w:t>
      </w:r>
      <w:r w:rsidR="269C3337" w:rsidRPr="616FA7CF">
        <w:rPr>
          <w:rFonts w:ascii="Times New Roman" w:eastAsiaTheme="minorEastAsia" w:hAnsi="Times New Roman" w:cs="Times New Roman"/>
          <w:noProof/>
          <w:sz w:val="24"/>
          <w:szCs w:val="24"/>
          <w:lang w:val="en-GB"/>
        </w:rPr>
        <w:t xml:space="preserve">, shipping, rail, </w:t>
      </w:r>
      <w:r w:rsidR="006E39F6">
        <w:rPr>
          <w:rFonts w:ascii="Times New Roman" w:eastAsiaTheme="minorEastAsia" w:hAnsi="Times New Roman" w:cs="Times New Roman"/>
          <w:noProof/>
          <w:sz w:val="24"/>
          <w:szCs w:val="24"/>
          <w:lang w:val="en-GB"/>
        </w:rPr>
        <w:t>critical</w:t>
      </w:r>
      <w:r w:rsidR="269C3337" w:rsidRPr="616FA7CF">
        <w:rPr>
          <w:rFonts w:ascii="Times New Roman" w:eastAsiaTheme="minorEastAsia" w:hAnsi="Times New Roman" w:cs="Times New Roman"/>
          <w:noProof/>
          <w:sz w:val="24"/>
          <w:szCs w:val="24"/>
          <w:lang w:val="en-GB"/>
        </w:rPr>
        <w:t xml:space="preserve"> </w:t>
      </w:r>
      <w:r w:rsidR="008E468C">
        <w:rPr>
          <w:rFonts w:ascii="Times New Roman" w:eastAsiaTheme="minorEastAsia" w:hAnsi="Times New Roman" w:cs="Times New Roman"/>
          <w:noProof/>
          <w:sz w:val="24"/>
          <w:szCs w:val="24"/>
          <w:lang w:val="en-GB"/>
        </w:rPr>
        <w:t xml:space="preserve">and </w:t>
      </w:r>
      <w:r w:rsidR="77B49C8F" w:rsidRPr="31C2AE0D">
        <w:rPr>
          <w:rFonts w:ascii="Times New Roman" w:eastAsiaTheme="minorEastAsia" w:hAnsi="Times New Roman" w:cs="Times New Roman"/>
          <w:noProof/>
          <w:sz w:val="24"/>
          <w:szCs w:val="24"/>
          <w:lang w:val="en-GB"/>
        </w:rPr>
        <w:t xml:space="preserve">green </w:t>
      </w:r>
      <w:r w:rsidR="77B49C8F" w:rsidRPr="54565A4C">
        <w:rPr>
          <w:rFonts w:ascii="Times New Roman" w:eastAsiaTheme="minorEastAsia" w:hAnsi="Times New Roman" w:cs="Times New Roman"/>
          <w:noProof/>
          <w:sz w:val="24"/>
          <w:szCs w:val="24"/>
          <w:lang w:val="en-GB"/>
        </w:rPr>
        <w:t>transition</w:t>
      </w:r>
      <w:r w:rsidR="008E468C">
        <w:rPr>
          <w:rFonts w:ascii="Times New Roman" w:eastAsiaTheme="minorEastAsia" w:hAnsi="Times New Roman" w:cs="Times New Roman"/>
          <w:noProof/>
          <w:sz w:val="24"/>
          <w:szCs w:val="24"/>
          <w:lang w:val="en-GB"/>
        </w:rPr>
        <w:t xml:space="preserve"> </w:t>
      </w:r>
      <w:r w:rsidR="5CF77A71" w:rsidRPr="7E81F878">
        <w:rPr>
          <w:rFonts w:ascii="Times New Roman" w:eastAsiaTheme="minorEastAsia" w:hAnsi="Times New Roman" w:cs="Times New Roman"/>
          <w:noProof/>
          <w:sz w:val="24"/>
          <w:szCs w:val="24"/>
          <w:lang w:val="en-GB"/>
        </w:rPr>
        <w:t>infrastructures</w:t>
      </w:r>
      <w:r w:rsidR="269C3337" w:rsidRPr="616FA7CF">
        <w:rPr>
          <w:rFonts w:ascii="Times New Roman" w:eastAsiaTheme="minorEastAsia" w:hAnsi="Times New Roman" w:cs="Times New Roman"/>
          <w:noProof/>
          <w:sz w:val="24"/>
          <w:szCs w:val="24"/>
          <w:lang w:val="en-GB"/>
        </w:rPr>
        <w:t>), leasing, trade finance, etc.</w:t>
      </w:r>
      <w:r w:rsidR="002D0ED9">
        <w:rPr>
          <w:rStyle w:val="FootnoteReference"/>
          <w:rFonts w:ascii="Times New Roman" w:eastAsiaTheme="minorEastAsia" w:hAnsi="Times New Roman" w:cs="Times New Roman"/>
          <w:noProof/>
          <w:sz w:val="24"/>
          <w:szCs w:val="24"/>
          <w:lang w:val="en-GB"/>
        </w:rPr>
        <w:footnoteReference w:id="81"/>
      </w:r>
    </w:p>
    <w:p w14:paraId="78F52435" w14:textId="3A29DB65" w:rsidR="25DD6E4E" w:rsidRPr="00920CC4" w:rsidRDefault="78F686A9" w:rsidP="7DF15E64">
      <w:pPr>
        <w:pStyle w:val="ListParagraph"/>
        <w:numPr>
          <w:ilvl w:val="0"/>
          <w:numId w:val="13"/>
        </w:numPr>
        <w:jc w:val="both"/>
        <w:rPr>
          <w:rFonts w:ascii="Times New Roman" w:hAnsi="Times New Roman" w:cs="Times New Roman"/>
          <w:noProof/>
          <w:sz w:val="24"/>
          <w:szCs w:val="24"/>
          <w:lang w:val="en-GB"/>
        </w:rPr>
      </w:pPr>
      <w:r w:rsidRPr="616FA7CF">
        <w:rPr>
          <w:rFonts w:ascii="Times New Roman" w:eastAsiaTheme="minorEastAsia" w:hAnsi="Times New Roman" w:cs="Times New Roman"/>
          <w:noProof/>
          <w:sz w:val="24"/>
          <w:szCs w:val="24"/>
          <w:lang w:val="en-GB"/>
        </w:rPr>
        <w:t>The</w:t>
      </w:r>
      <w:r w:rsidR="00162E27">
        <w:rPr>
          <w:rFonts w:ascii="Times New Roman" w:eastAsiaTheme="minorEastAsia" w:hAnsi="Times New Roman" w:cs="Times New Roman"/>
          <w:noProof/>
          <w:sz w:val="24"/>
          <w:szCs w:val="24"/>
          <w:lang w:val="en-GB"/>
        </w:rPr>
        <w:t xml:space="preserve"> </w:t>
      </w:r>
      <w:r w:rsidR="49C81FDA" w:rsidRPr="51F3F958">
        <w:rPr>
          <w:rFonts w:ascii="Times New Roman" w:eastAsiaTheme="minorEastAsia" w:hAnsi="Times New Roman" w:cs="Times New Roman"/>
          <w:noProof/>
          <w:sz w:val="24"/>
          <w:szCs w:val="24"/>
          <w:lang w:val="en-GB"/>
        </w:rPr>
        <w:t xml:space="preserve">current </w:t>
      </w:r>
      <w:r w:rsidR="00162E27">
        <w:rPr>
          <w:rFonts w:ascii="Times New Roman" w:eastAsiaTheme="minorEastAsia" w:hAnsi="Times New Roman" w:cs="Times New Roman"/>
          <w:noProof/>
          <w:sz w:val="24"/>
          <w:szCs w:val="24"/>
          <w:lang w:val="en-GB"/>
        </w:rPr>
        <w:t xml:space="preserve">treatment of </w:t>
      </w:r>
      <w:r w:rsidR="00E976D9">
        <w:rPr>
          <w:rFonts w:ascii="Times New Roman" w:eastAsiaTheme="minorEastAsia" w:hAnsi="Times New Roman" w:cs="Times New Roman"/>
          <w:noProof/>
          <w:sz w:val="24"/>
          <w:szCs w:val="24"/>
          <w:lang w:val="en-GB"/>
        </w:rPr>
        <w:t xml:space="preserve">investments in </w:t>
      </w:r>
      <w:r w:rsidR="004F17A8">
        <w:rPr>
          <w:rFonts w:ascii="Times New Roman" w:eastAsiaTheme="minorEastAsia" w:hAnsi="Times New Roman" w:cs="Times New Roman"/>
          <w:noProof/>
          <w:sz w:val="24"/>
          <w:szCs w:val="24"/>
          <w:lang w:val="en-GB"/>
        </w:rPr>
        <w:t xml:space="preserve">software </w:t>
      </w:r>
      <w:r w:rsidR="00E976D9">
        <w:rPr>
          <w:rFonts w:ascii="Times New Roman" w:eastAsiaTheme="minorEastAsia" w:hAnsi="Times New Roman" w:cs="Times New Roman"/>
          <w:noProof/>
          <w:sz w:val="24"/>
          <w:szCs w:val="24"/>
          <w:lang w:val="en-GB"/>
        </w:rPr>
        <w:t>assets</w:t>
      </w:r>
      <w:r w:rsidR="00162E27">
        <w:rPr>
          <w:rFonts w:ascii="Times New Roman" w:eastAsiaTheme="minorEastAsia" w:hAnsi="Times New Roman" w:cs="Times New Roman"/>
          <w:noProof/>
          <w:sz w:val="24"/>
          <w:szCs w:val="24"/>
          <w:lang w:val="en-GB"/>
        </w:rPr>
        <w:t xml:space="preserve"> </w:t>
      </w:r>
      <w:r w:rsidR="004F17A8">
        <w:rPr>
          <w:rFonts w:ascii="Times New Roman" w:eastAsiaTheme="minorEastAsia" w:hAnsi="Times New Roman" w:cs="Times New Roman"/>
          <w:noProof/>
          <w:sz w:val="24"/>
          <w:szCs w:val="24"/>
          <w:lang w:val="en-GB"/>
        </w:rPr>
        <w:t xml:space="preserve">may determine </w:t>
      </w:r>
      <w:r w:rsidR="4BD66DB3" w:rsidRPr="616FA7CF">
        <w:rPr>
          <w:rFonts w:ascii="Times New Roman" w:eastAsiaTheme="minorEastAsia" w:hAnsi="Times New Roman" w:cs="Times New Roman"/>
          <w:noProof/>
          <w:sz w:val="24"/>
          <w:szCs w:val="24"/>
          <w:lang w:val="en-GB"/>
        </w:rPr>
        <w:t>dis</w:t>
      </w:r>
      <w:r w:rsidR="4CFF8F03" w:rsidRPr="616FA7CF">
        <w:rPr>
          <w:rFonts w:ascii="Times New Roman" w:eastAsiaTheme="minorEastAsia" w:hAnsi="Times New Roman" w:cs="Times New Roman"/>
          <w:noProof/>
          <w:sz w:val="24"/>
          <w:szCs w:val="24"/>
          <w:lang w:val="en-GB"/>
        </w:rPr>
        <w:t>incentives</w:t>
      </w:r>
      <w:r w:rsidR="004F17A8">
        <w:rPr>
          <w:rFonts w:ascii="Times New Roman" w:eastAsiaTheme="minorEastAsia" w:hAnsi="Times New Roman" w:cs="Times New Roman"/>
          <w:noProof/>
          <w:sz w:val="24"/>
          <w:szCs w:val="24"/>
          <w:lang w:val="en-GB"/>
        </w:rPr>
        <w:t xml:space="preserve"> </w:t>
      </w:r>
      <w:r w:rsidR="005F67F9">
        <w:rPr>
          <w:rFonts w:ascii="Times New Roman" w:eastAsiaTheme="minorEastAsia" w:hAnsi="Times New Roman" w:cs="Times New Roman"/>
          <w:noProof/>
          <w:sz w:val="24"/>
          <w:szCs w:val="24"/>
          <w:lang w:val="en-GB"/>
        </w:rPr>
        <w:t xml:space="preserve">to </w:t>
      </w:r>
      <w:r w:rsidR="004F17A8">
        <w:rPr>
          <w:rFonts w:ascii="Times New Roman" w:eastAsiaTheme="minorEastAsia" w:hAnsi="Times New Roman" w:cs="Times New Roman"/>
          <w:noProof/>
          <w:sz w:val="24"/>
          <w:szCs w:val="24"/>
          <w:lang w:val="en-GB"/>
        </w:rPr>
        <w:t>robust investments in IT capabilities</w:t>
      </w:r>
      <w:r w:rsidR="00747EB9">
        <w:rPr>
          <w:rFonts w:ascii="Times New Roman" w:eastAsiaTheme="minorEastAsia" w:hAnsi="Times New Roman" w:cs="Times New Roman"/>
          <w:noProof/>
          <w:sz w:val="24"/>
          <w:szCs w:val="24"/>
          <w:lang w:val="en-GB"/>
        </w:rPr>
        <w:t>, while</w:t>
      </w:r>
      <w:r w:rsidR="77BFE1B2" w:rsidRPr="616FA7CF" w:rsidDel="007936DF">
        <w:rPr>
          <w:rFonts w:ascii="Times New Roman" w:eastAsiaTheme="minorEastAsia" w:hAnsi="Times New Roman" w:cs="Times New Roman"/>
          <w:noProof/>
          <w:sz w:val="24"/>
          <w:szCs w:val="24"/>
          <w:lang w:val="en-GB"/>
        </w:rPr>
        <w:t xml:space="preserve"> </w:t>
      </w:r>
      <w:r w:rsidR="77BFE1B2" w:rsidRPr="616FA7CF">
        <w:rPr>
          <w:rFonts w:ascii="Times New Roman" w:eastAsiaTheme="minorEastAsia" w:hAnsi="Times New Roman" w:cs="Times New Roman"/>
          <w:noProof/>
          <w:sz w:val="24"/>
          <w:szCs w:val="24"/>
          <w:lang w:val="en-GB"/>
        </w:rPr>
        <w:t xml:space="preserve">the prudential framework </w:t>
      </w:r>
      <w:r w:rsidR="007936DF">
        <w:rPr>
          <w:rFonts w:ascii="Times New Roman" w:eastAsiaTheme="minorEastAsia" w:hAnsi="Times New Roman" w:cs="Times New Roman"/>
          <w:noProof/>
          <w:sz w:val="24"/>
          <w:szCs w:val="24"/>
          <w:lang w:val="en-GB"/>
        </w:rPr>
        <w:t xml:space="preserve">should </w:t>
      </w:r>
      <w:r w:rsidR="5F29919B" w:rsidRPr="616FA7CF">
        <w:rPr>
          <w:rFonts w:ascii="Times New Roman" w:eastAsiaTheme="minorEastAsia" w:hAnsi="Times New Roman" w:cs="Times New Roman"/>
          <w:noProof/>
          <w:sz w:val="24"/>
          <w:szCs w:val="24"/>
          <w:lang w:val="en-GB"/>
        </w:rPr>
        <w:t xml:space="preserve">not hamper </w:t>
      </w:r>
      <w:r w:rsidR="77BFE1B2" w:rsidRPr="616FA7CF">
        <w:rPr>
          <w:rFonts w:ascii="Times New Roman" w:eastAsiaTheme="minorEastAsia" w:hAnsi="Times New Roman" w:cs="Times New Roman"/>
          <w:noProof/>
          <w:sz w:val="24"/>
          <w:szCs w:val="24"/>
          <w:lang w:val="en-GB"/>
        </w:rPr>
        <w:t>banks</w:t>
      </w:r>
      <w:r w:rsidR="003F1FBD">
        <w:rPr>
          <w:rFonts w:ascii="Times New Roman" w:eastAsiaTheme="minorEastAsia" w:hAnsi="Times New Roman" w:cs="Times New Roman"/>
          <w:noProof/>
          <w:sz w:val="24"/>
          <w:szCs w:val="24"/>
          <w:lang w:val="en-GB"/>
        </w:rPr>
        <w:t>’</w:t>
      </w:r>
      <w:r w:rsidR="77BFE1B2" w:rsidRPr="616FA7CF">
        <w:rPr>
          <w:rFonts w:ascii="Times New Roman" w:eastAsiaTheme="minorEastAsia" w:hAnsi="Times New Roman" w:cs="Times New Roman"/>
          <w:noProof/>
          <w:sz w:val="24"/>
          <w:szCs w:val="24"/>
          <w:lang w:val="en-GB"/>
        </w:rPr>
        <w:t xml:space="preserve"> development of </w:t>
      </w:r>
      <w:r w:rsidR="3652C244" w:rsidRPr="616FA7CF">
        <w:rPr>
          <w:rFonts w:ascii="Times New Roman" w:eastAsiaTheme="minorEastAsia" w:hAnsi="Times New Roman" w:cs="Times New Roman"/>
          <w:noProof/>
          <w:sz w:val="24"/>
          <w:szCs w:val="24"/>
          <w:lang w:val="en-GB"/>
        </w:rPr>
        <w:t xml:space="preserve">IT </w:t>
      </w:r>
      <w:r w:rsidR="77BFE1B2" w:rsidRPr="616FA7CF">
        <w:rPr>
          <w:rFonts w:ascii="Times New Roman" w:eastAsiaTheme="minorEastAsia" w:hAnsi="Times New Roman" w:cs="Times New Roman"/>
          <w:noProof/>
          <w:sz w:val="24"/>
          <w:szCs w:val="24"/>
          <w:lang w:val="en-GB"/>
        </w:rPr>
        <w:t xml:space="preserve">capacities </w:t>
      </w:r>
      <w:r w:rsidR="4DCDF28C" w:rsidRPr="616FA7CF">
        <w:rPr>
          <w:rFonts w:ascii="Times New Roman" w:eastAsiaTheme="minorEastAsia" w:hAnsi="Times New Roman" w:cs="Times New Roman"/>
          <w:noProof/>
          <w:sz w:val="24"/>
          <w:szCs w:val="24"/>
          <w:lang w:val="en-GB"/>
        </w:rPr>
        <w:t xml:space="preserve">both </w:t>
      </w:r>
      <w:r w:rsidR="41AAF4F9" w:rsidRPr="57EACACA">
        <w:rPr>
          <w:rFonts w:ascii="Times New Roman" w:eastAsiaTheme="minorEastAsia" w:hAnsi="Times New Roman" w:cs="Times New Roman"/>
          <w:noProof/>
          <w:sz w:val="24"/>
          <w:szCs w:val="24"/>
          <w:lang w:val="en-GB"/>
        </w:rPr>
        <w:t xml:space="preserve">on grounds </w:t>
      </w:r>
      <w:r w:rsidR="6AB66250" w:rsidRPr="616FA7CF">
        <w:rPr>
          <w:rFonts w:ascii="Times New Roman" w:eastAsiaTheme="minorEastAsia" w:hAnsi="Times New Roman" w:cs="Times New Roman"/>
          <w:noProof/>
          <w:sz w:val="24"/>
          <w:szCs w:val="24"/>
          <w:lang w:val="en-GB"/>
        </w:rPr>
        <w:t>of</w:t>
      </w:r>
      <w:r w:rsidR="77BFE1B2" w:rsidRPr="616FA7CF">
        <w:rPr>
          <w:rFonts w:ascii="Times New Roman" w:eastAsiaTheme="minorEastAsia" w:hAnsi="Times New Roman" w:cs="Times New Roman"/>
          <w:noProof/>
          <w:sz w:val="24"/>
          <w:szCs w:val="24"/>
          <w:lang w:val="en-GB"/>
        </w:rPr>
        <w:t xml:space="preserve"> competitiveness</w:t>
      </w:r>
      <w:r w:rsidR="2E47FED2" w:rsidRPr="616FA7CF">
        <w:rPr>
          <w:rFonts w:ascii="Times New Roman" w:eastAsiaTheme="minorEastAsia" w:hAnsi="Times New Roman" w:cs="Times New Roman"/>
          <w:noProof/>
          <w:sz w:val="24"/>
          <w:szCs w:val="24"/>
          <w:lang w:val="en-GB"/>
        </w:rPr>
        <w:t xml:space="preserve"> and regulatory compliance</w:t>
      </w:r>
      <w:r w:rsidR="77BFE1B2" w:rsidRPr="616FA7CF">
        <w:rPr>
          <w:rFonts w:ascii="Times New Roman" w:eastAsiaTheme="minorEastAsia" w:hAnsi="Times New Roman" w:cs="Times New Roman"/>
          <w:noProof/>
          <w:sz w:val="24"/>
          <w:szCs w:val="24"/>
          <w:lang w:val="en-GB"/>
        </w:rPr>
        <w:t>.</w:t>
      </w:r>
    </w:p>
    <w:p w14:paraId="68AC5E80" w14:textId="4FF7A541" w:rsidR="00920CC4" w:rsidRPr="00920CC4" w:rsidRDefault="00920CC4" w:rsidP="00920CC4">
      <w:pPr>
        <w:jc w:val="both"/>
        <w:rPr>
          <w:rFonts w:ascii="Times New Roman" w:hAnsi="Times New Roman" w:cs="Times New Roman"/>
          <w:noProof/>
          <w:sz w:val="24"/>
          <w:szCs w:val="24"/>
          <w:lang w:val="en-GB"/>
        </w:rPr>
      </w:pPr>
    </w:p>
    <w:p w14:paraId="491E0E5B" w14:textId="77777777" w:rsidR="00001ABA" w:rsidRPr="00515B62" w:rsidRDefault="00001ABA" w:rsidP="00B00C18">
      <w:pPr>
        <w:pStyle w:val="ListParagraph"/>
        <w:numPr>
          <w:ilvl w:val="2"/>
          <w:numId w:val="11"/>
        </w:numPr>
        <w:ind w:left="1077"/>
        <w:outlineLvl w:val="2"/>
        <w:rPr>
          <w:rFonts w:ascii="Times New Roman" w:hAnsi="Times New Roman" w:cs="Times New Roman"/>
          <w:b/>
          <w:noProof/>
          <w:sz w:val="24"/>
          <w:szCs w:val="24"/>
          <w:lang w:val="en-GB"/>
        </w:rPr>
      </w:pPr>
      <w:bookmarkStart w:id="36" w:name="_Toc234341742"/>
      <w:r w:rsidRPr="00515B62">
        <w:rPr>
          <w:rFonts w:ascii="Times New Roman" w:hAnsi="Times New Roman" w:cs="Times New Roman"/>
          <w:b/>
          <w:noProof/>
          <w:sz w:val="24"/>
          <w:szCs w:val="24"/>
          <w:lang w:val="en-GB"/>
        </w:rPr>
        <w:t>Market risk and FRTB application</w:t>
      </w:r>
      <w:bookmarkEnd w:id="36"/>
    </w:p>
    <w:p w14:paraId="211983FD" w14:textId="1A97BE15" w:rsidR="00001ABA" w:rsidRPr="0036474B" w:rsidRDefault="00001ABA" w:rsidP="00001ABA">
      <w:pPr>
        <w:spacing w:line="276" w:lineRule="auto"/>
        <w:jc w:val="both"/>
        <w:rPr>
          <w:rFonts w:ascii="Times New Roman" w:hAnsi="Times New Roman" w:cs="Times New Roman"/>
          <w:bCs/>
          <w:noProof/>
          <w:sz w:val="24"/>
          <w:szCs w:val="24"/>
          <w:lang w:val="en-GB"/>
        </w:rPr>
      </w:pPr>
      <w:r w:rsidRPr="0036474B">
        <w:rPr>
          <w:rFonts w:ascii="Times New Roman" w:hAnsi="Times New Roman" w:cs="Times New Roman"/>
          <w:noProof/>
          <w:sz w:val="24"/>
          <w:szCs w:val="24"/>
          <w:lang w:val="en-GB"/>
        </w:rPr>
        <w:t xml:space="preserve">Basel III </w:t>
      </w:r>
      <w:r w:rsidR="001B50D6" w:rsidRPr="0036474B">
        <w:rPr>
          <w:rFonts w:ascii="Times New Roman" w:hAnsi="Times New Roman" w:cs="Times New Roman"/>
          <w:noProof/>
          <w:sz w:val="24"/>
          <w:szCs w:val="24"/>
          <w:lang w:val="en-GB"/>
        </w:rPr>
        <w:t>introduced</w:t>
      </w:r>
      <w:r w:rsidRPr="0036474B">
        <w:rPr>
          <w:rFonts w:ascii="Times New Roman" w:hAnsi="Times New Roman" w:cs="Times New Roman"/>
          <w:noProof/>
          <w:sz w:val="24"/>
          <w:szCs w:val="24"/>
          <w:lang w:val="en-GB"/>
        </w:rPr>
        <w:t xml:space="preserve"> a revised standard for market risk</w:t>
      </w:r>
      <w:r w:rsidRPr="0036474B">
        <w:rPr>
          <w:rFonts w:ascii="Times New Roman" w:hAnsi="Times New Roman" w:cs="Times New Roman"/>
          <w:noProof/>
          <w:sz w:val="24"/>
          <w:szCs w:val="24"/>
          <w:vertAlign w:val="superscript"/>
          <w:lang w:val="en-GB"/>
        </w:rPr>
        <w:footnoteReference w:id="82"/>
      </w:r>
      <w:r w:rsidRPr="0036474B">
        <w:rPr>
          <w:rFonts w:ascii="Times New Roman" w:hAnsi="Times New Roman" w:cs="Times New Roman"/>
          <w:noProof/>
          <w:sz w:val="24"/>
          <w:szCs w:val="24"/>
          <w:lang w:val="en-GB"/>
        </w:rPr>
        <w:t xml:space="preserve">, also known as the Fundamental Review of the Trading Book or FRTB, adopted by the BCBS in January 2016 and further reviewed in 2019. The EU implemented the FRTB in its legal framework in two phases, first as a reporting requirement, via CRR2 (amending Regulation (EU) 2019/876) and then as binding capital requirements via the 2024 Banking Package and CRR3 (amending Regulation (EU) 2024/1623). However, </w:t>
      </w:r>
      <w:r w:rsidR="003A5F59" w:rsidRPr="0036474B">
        <w:rPr>
          <w:rFonts w:ascii="Times New Roman" w:hAnsi="Times New Roman" w:cs="Times New Roman"/>
          <w:noProof/>
          <w:sz w:val="24"/>
          <w:szCs w:val="24"/>
          <w:lang w:val="en-GB"/>
        </w:rPr>
        <w:t>despite</w:t>
      </w:r>
      <w:r w:rsidRPr="0036474B">
        <w:rPr>
          <w:rFonts w:ascii="Times New Roman" w:hAnsi="Times New Roman" w:cs="Times New Roman"/>
          <w:noProof/>
          <w:sz w:val="24"/>
          <w:szCs w:val="24"/>
          <w:lang w:val="en-GB"/>
        </w:rPr>
        <w:t xml:space="preserve"> CRR3 and Basel III entered into application on 1 January 2025, the application of the FRTB </w:t>
      </w:r>
      <w:r w:rsidR="003A5F59" w:rsidRPr="0036474B">
        <w:rPr>
          <w:rFonts w:ascii="Times New Roman" w:hAnsi="Times New Roman" w:cs="Times New Roman"/>
          <w:noProof/>
          <w:sz w:val="24"/>
          <w:szCs w:val="24"/>
          <w:lang w:val="en-GB"/>
        </w:rPr>
        <w:t>in the EU</w:t>
      </w:r>
      <w:r w:rsidRPr="0036474B">
        <w:rPr>
          <w:rFonts w:ascii="Times New Roman" w:hAnsi="Times New Roman" w:cs="Times New Roman"/>
          <w:noProof/>
          <w:sz w:val="24"/>
          <w:szCs w:val="24"/>
          <w:lang w:val="en-GB"/>
        </w:rPr>
        <w:t xml:space="preserve"> was postponed twice via </w:t>
      </w:r>
      <w:r w:rsidR="003A5F59" w:rsidRPr="0036474B">
        <w:rPr>
          <w:rFonts w:ascii="Times New Roman" w:hAnsi="Times New Roman" w:cs="Times New Roman"/>
          <w:noProof/>
          <w:sz w:val="24"/>
          <w:szCs w:val="24"/>
          <w:lang w:val="en-GB"/>
        </w:rPr>
        <w:t xml:space="preserve">Commission </w:t>
      </w:r>
      <w:r w:rsidRPr="0036474B">
        <w:rPr>
          <w:rFonts w:ascii="Times New Roman" w:hAnsi="Times New Roman" w:cs="Times New Roman"/>
          <w:noProof/>
          <w:sz w:val="24"/>
          <w:szCs w:val="24"/>
          <w:lang w:val="en-GB"/>
        </w:rPr>
        <w:t xml:space="preserve">delegated acts to 1 January 2027, in light of the US’ and UK’s delays in their </w:t>
      </w:r>
      <w:r w:rsidR="003A5F59" w:rsidRPr="0036474B">
        <w:rPr>
          <w:rFonts w:ascii="Times New Roman" w:hAnsi="Times New Roman" w:cs="Times New Roman"/>
          <w:noProof/>
          <w:sz w:val="24"/>
          <w:szCs w:val="24"/>
          <w:lang w:val="en-GB"/>
        </w:rPr>
        <w:t xml:space="preserve">own </w:t>
      </w:r>
      <w:r w:rsidRPr="0036474B">
        <w:rPr>
          <w:rFonts w:ascii="Times New Roman" w:hAnsi="Times New Roman" w:cs="Times New Roman"/>
          <w:noProof/>
          <w:sz w:val="24"/>
          <w:szCs w:val="24"/>
          <w:lang w:val="en-GB"/>
        </w:rPr>
        <w:t>implementation</w:t>
      </w:r>
      <w:r w:rsidR="003A5F59" w:rsidRPr="0036474B">
        <w:rPr>
          <w:rFonts w:ascii="Times New Roman" w:hAnsi="Times New Roman" w:cs="Times New Roman"/>
          <w:noProof/>
          <w:sz w:val="24"/>
          <w:szCs w:val="24"/>
          <w:lang w:val="en-GB"/>
        </w:rPr>
        <w:t xml:space="preserve"> of the Basel standards</w:t>
      </w:r>
      <w:r w:rsidRPr="0036474B">
        <w:rPr>
          <w:rFonts w:ascii="Times New Roman" w:hAnsi="Times New Roman" w:cs="Times New Roman"/>
          <w:noProof/>
          <w:sz w:val="24"/>
          <w:szCs w:val="24"/>
          <w:lang w:val="en-GB"/>
        </w:rPr>
        <w:t xml:space="preserve">. </w:t>
      </w:r>
      <w:r w:rsidR="003A5134">
        <w:rPr>
          <w:rFonts w:ascii="Times New Roman" w:hAnsi="Times New Roman" w:cs="Times New Roman"/>
          <w:noProof/>
          <w:sz w:val="24"/>
          <w:szCs w:val="24"/>
          <w:lang w:val="en-GB"/>
        </w:rPr>
        <w:t>On 4 June</w:t>
      </w:r>
      <w:r w:rsidR="00874E57">
        <w:rPr>
          <w:rFonts w:ascii="Times New Roman" w:hAnsi="Times New Roman" w:cs="Times New Roman"/>
          <w:noProof/>
          <w:sz w:val="24"/>
          <w:szCs w:val="24"/>
          <w:lang w:val="en-GB"/>
        </w:rPr>
        <w:t xml:space="preserve"> 2026,</w:t>
      </w:r>
      <w:r w:rsidR="00024669">
        <w:rPr>
          <w:rFonts w:ascii="Times New Roman" w:hAnsi="Times New Roman" w:cs="Times New Roman"/>
          <w:noProof/>
          <w:sz w:val="24"/>
          <w:szCs w:val="24"/>
          <w:lang w:val="en-GB"/>
        </w:rPr>
        <w:t xml:space="preserve"> the Commission adopted a third delegated act on mar</w:t>
      </w:r>
      <w:r w:rsidR="00FB7C8A">
        <w:rPr>
          <w:rFonts w:ascii="Times New Roman" w:hAnsi="Times New Roman" w:cs="Times New Roman"/>
          <w:noProof/>
          <w:sz w:val="24"/>
          <w:szCs w:val="24"/>
          <w:lang w:val="en-GB"/>
        </w:rPr>
        <w:t xml:space="preserve">ket risk, </w:t>
      </w:r>
      <w:r w:rsidR="00A87E51">
        <w:rPr>
          <w:rFonts w:ascii="Times New Roman" w:hAnsi="Times New Roman" w:cs="Times New Roman"/>
          <w:noProof/>
          <w:sz w:val="24"/>
          <w:szCs w:val="24"/>
          <w:lang w:val="en-GB"/>
        </w:rPr>
        <w:t xml:space="preserve">which </w:t>
      </w:r>
      <w:r w:rsidR="00012CBB">
        <w:rPr>
          <w:rFonts w:ascii="Times New Roman" w:hAnsi="Times New Roman" w:cs="Times New Roman"/>
          <w:noProof/>
          <w:sz w:val="24"/>
          <w:szCs w:val="24"/>
          <w:lang w:val="en-GB"/>
        </w:rPr>
        <w:t xml:space="preserve">is </w:t>
      </w:r>
      <w:r w:rsidR="00A87E51">
        <w:rPr>
          <w:rFonts w:ascii="Times New Roman" w:hAnsi="Times New Roman" w:cs="Times New Roman"/>
          <w:noProof/>
          <w:sz w:val="24"/>
          <w:szCs w:val="24"/>
          <w:lang w:val="en-GB"/>
        </w:rPr>
        <w:t>currently under scrutiny by European Parliament and Council. The delegated act introduces targeted amendments to the EU implementation of the FRTB.</w:t>
      </w:r>
    </w:p>
    <w:p w14:paraId="6AE94CF6" w14:textId="77777777" w:rsidR="00001ABA" w:rsidRPr="0036474B" w:rsidRDefault="00001ABA" w:rsidP="00001ABA">
      <w:pPr>
        <w:spacing w:line="276" w:lineRule="auto"/>
        <w:jc w:val="both"/>
        <w:rPr>
          <w:rFonts w:ascii="Times New Roman" w:hAnsi="Times New Roman" w:cs="Times New Roman"/>
          <w:bCs/>
          <w:noProof/>
          <w:sz w:val="24"/>
          <w:szCs w:val="24"/>
          <w:lang w:val="en-GB"/>
        </w:rPr>
      </w:pPr>
      <w:r w:rsidRPr="0036474B">
        <w:rPr>
          <w:rFonts w:ascii="Times New Roman" w:hAnsi="Times New Roman" w:cs="Times New Roman"/>
          <w:bCs/>
          <w:noProof/>
          <w:sz w:val="24"/>
          <w:szCs w:val="24"/>
          <w:lang w:val="en-GB"/>
        </w:rPr>
        <w:t>Competition between internationally active banks is very intense in trading activities, due to the ease with which those activities can be conducted across jurisdictions, including between Member States and third countries or through branches. Misalignments in the implementation of internationally agreed standards for market risk, both in terms of timeline and content, can have repercussions on the level playing field for EU banks and bring significant consequences on the capacity of the EU banks to compete in those markets. EU banks would lose competitiveness / market share in trading activities to the advantage of their lighter-regulated international competitors, both in international markets (US, UK, Asia) and in the EU itself, where US banks hold a significant market share. Also, misalignment might cause some trading activities to migrate from EU markets to other lesser-regulated jurisdictions, actually going against SIU objectives.</w:t>
      </w:r>
    </w:p>
    <w:p w14:paraId="41B071E4" w14:textId="1B7D4FF2" w:rsidR="00001ABA" w:rsidRPr="0036474B" w:rsidRDefault="00001ABA" w:rsidP="00001ABA">
      <w:pPr>
        <w:spacing w:line="276" w:lineRule="auto"/>
        <w:rPr>
          <w:rFonts w:ascii="Times New Roman" w:hAnsi="Times New Roman" w:cs="Times New Roman"/>
          <w:noProof/>
          <w:sz w:val="24"/>
          <w:szCs w:val="24"/>
          <w:u w:val="single"/>
          <w:lang w:val="en-GB"/>
        </w:rPr>
      </w:pPr>
      <w:r w:rsidRPr="0036474B">
        <w:rPr>
          <w:rFonts w:ascii="Times New Roman" w:hAnsi="Times New Roman" w:cs="Times New Roman"/>
          <w:bCs/>
          <w:noProof/>
          <w:sz w:val="24"/>
          <w:szCs w:val="24"/>
          <w:u w:val="single"/>
          <w:lang w:val="en-GB"/>
        </w:rPr>
        <w:t>Issues</w:t>
      </w:r>
      <w:r w:rsidRPr="0036474B">
        <w:rPr>
          <w:rFonts w:ascii="Times New Roman" w:hAnsi="Times New Roman" w:cs="Times New Roman"/>
          <w:noProof/>
          <w:sz w:val="24"/>
          <w:szCs w:val="24"/>
          <w:u w:val="single"/>
          <w:lang w:val="en-GB"/>
        </w:rPr>
        <w:t xml:space="preserve"> identified:</w:t>
      </w:r>
    </w:p>
    <w:p w14:paraId="21A28261" w14:textId="60723FF4" w:rsidR="00001ABA" w:rsidRPr="0036474B" w:rsidRDefault="00001ABA" w:rsidP="00DF770D">
      <w:pPr>
        <w:pStyle w:val="ListParagraph"/>
        <w:numPr>
          <w:ilvl w:val="0"/>
          <w:numId w:val="13"/>
        </w:numPr>
        <w:spacing w:after="120" w:line="276" w:lineRule="auto"/>
        <w:contextualSpacing w:val="0"/>
        <w:jc w:val="both"/>
        <w:rPr>
          <w:rFonts w:ascii="Times New Roman" w:hAnsi="Times New Roman" w:cs="Times New Roman"/>
          <w:bCs/>
          <w:noProof/>
          <w:sz w:val="24"/>
          <w:szCs w:val="24"/>
          <w:lang w:val="en-GB"/>
        </w:rPr>
      </w:pPr>
      <w:r w:rsidRPr="0036474B">
        <w:rPr>
          <w:rFonts w:ascii="Times New Roman" w:hAnsi="Times New Roman" w:cs="Times New Roman"/>
          <w:bCs/>
          <w:noProof/>
          <w:sz w:val="24"/>
          <w:szCs w:val="24"/>
          <w:lang w:val="en-GB"/>
        </w:rPr>
        <w:t xml:space="preserve">Overall uncertainty over other jurisdictions’ implementation of </w:t>
      </w:r>
      <w:r w:rsidR="00053314" w:rsidRPr="0036474B">
        <w:rPr>
          <w:rFonts w:ascii="Times New Roman" w:hAnsi="Times New Roman" w:cs="Times New Roman"/>
          <w:bCs/>
          <w:noProof/>
          <w:sz w:val="24"/>
          <w:szCs w:val="24"/>
          <w:lang w:val="en-GB"/>
        </w:rPr>
        <w:t xml:space="preserve">the </w:t>
      </w:r>
      <w:r w:rsidRPr="0036474B">
        <w:rPr>
          <w:rFonts w:ascii="Times New Roman" w:hAnsi="Times New Roman" w:cs="Times New Roman"/>
          <w:bCs/>
          <w:noProof/>
          <w:sz w:val="24"/>
          <w:szCs w:val="24"/>
          <w:lang w:val="en-GB"/>
        </w:rPr>
        <w:t>FRTB, both regarding timeline and content, and level playing field implications.</w:t>
      </w:r>
      <w:r w:rsidR="00053314" w:rsidRPr="0036474B">
        <w:rPr>
          <w:rFonts w:ascii="Times New Roman" w:hAnsi="Times New Roman" w:cs="Times New Roman"/>
          <w:bCs/>
          <w:noProof/>
          <w:sz w:val="24"/>
          <w:szCs w:val="24"/>
          <w:lang w:val="en-GB"/>
        </w:rPr>
        <w:t xml:space="preserve"> </w:t>
      </w:r>
    </w:p>
    <w:p w14:paraId="72707750" w14:textId="1A0C6F16" w:rsidR="00001ABA" w:rsidRPr="0036474B" w:rsidRDefault="00DF770D" w:rsidP="00AE42DF">
      <w:pPr>
        <w:pStyle w:val="ListParagraph"/>
        <w:numPr>
          <w:ilvl w:val="0"/>
          <w:numId w:val="13"/>
        </w:numPr>
        <w:spacing w:after="120" w:line="276" w:lineRule="auto"/>
        <w:ind w:hanging="357"/>
        <w:contextualSpacing w:val="0"/>
        <w:jc w:val="both"/>
        <w:rPr>
          <w:rFonts w:ascii="Times New Roman" w:hAnsi="Times New Roman" w:cs="Times New Roman"/>
          <w:bCs/>
          <w:noProof/>
          <w:sz w:val="24"/>
          <w:szCs w:val="24"/>
          <w:lang w:val="en-GB"/>
        </w:rPr>
      </w:pPr>
      <w:r w:rsidRPr="0036474B">
        <w:rPr>
          <w:rFonts w:ascii="Times New Roman" w:hAnsi="Times New Roman" w:cs="Times New Roman"/>
          <w:bCs/>
          <w:noProof/>
          <w:sz w:val="24"/>
          <w:szCs w:val="24"/>
          <w:lang w:val="en-GB"/>
        </w:rPr>
        <w:t>More</w:t>
      </w:r>
      <w:r w:rsidR="00001ABA" w:rsidRPr="0036474B">
        <w:rPr>
          <w:rFonts w:ascii="Times New Roman" w:hAnsi="Times New Roman" w:cs="Times New Roman"/>
          <w:bCs/>
          <w:noProof/>
          <w:sz w:val="24"/>
          <w:szCs w:val="24"/>
          <w:lang w:val="en-GB"/>
        </w:rPr>
        <w:t xml:space="preserve"> monitoring </w:t>
      </w:r>
      <w:r w:rsidRPr="0036474B">
        <w:rPr>
          <w:rFonts w:ascii="Times New Roman" w:hAnsi="Times New Roman" w:cs="Times New Roman"/>
          <w:bCs/>
          <w:noProof/>
          <w:sz w:val="24"/>
          <w:szCs w:val="24"/>
          <w:lang w:val="en-GB"/>
        </w:rPr>
        <w:t>is needed</w:t>
      </w:r>
      <w:r w:rsidR="001A426A" w:rsidRPr="0036474B">
        <w:rPr>
          <w:rFonts w:ascii="Times New Roman" w:hAnsi="Times New Roman" w:cs="Times New Roman"/>
          <w:bCs/>
          <w:noProof/>
          <w:sz w:val="24"/>
          <w:szCs w:val="24"/>
          <w:lang w:val="en-GB"/>
        </w:rPr>
        <w:t>,</w:t>
      </w:r>
      <w:r w:rsidR="00001ABA" w:rsidRPr="0036474B">
        <w:rPr>
          <w:rFonts w:ascii="Times New Roman" w:hAnsi="Times New Roman" w:cs="Times New Roman"/>
          <w:bCs/>
          <w:noProof/>
          <w:sz w:val="24"/>
          <w:szCs w:val="24"/>
          <w:lang w:val="en-GB"/>
        </w:rPr>
        <w:t xml:space="preserve"> to </w:t>
      </w:r>
      <w:r w:rsidR="001A426A" w:rsidRPr="0036474B">
        <w:rPr>
          <w:rFonts w:ascii="Times New Roman" w:hAnsi="Times New Roman" w:cs="Times New Roman"/>
          <w:bCs/>
          <w:noProof/>
          <w:sz w:val="24"/>
          <w:szCs w:val="24"/>
          <w:lang w:val="en-GB"/>
        </w:rPr>
        <w:t>fe</w:t>
      </w:r>
      <w:r w:rsidR="00C27513" w:rsidRPr="0036474B">
        <w:rPr>
          <w:rFonts w:ascii="Times New Roman" w:hAnsi="Times New Roman" w:cs="Times New Roman"/>
          <w:bCs/>
          <w:noProof/>
          <w:sz w:val="24"/>
          <w:szCs w:val="24"/>
          <w:lang w:val="en-GB"/>
        </w:rPr>
        <w:t xml:space="preserve">ed reflections </w:t>
      </w:r>
      <w:r w:rsidR="006726C0">
        <w:rPr>
          <w:rFonts w:ascii="Times New Roman" w:hAnsi="Times New Roman" w:cs="Times New Roman"/>
          <w:bCs/>
          <w:noProof/>
          <w:sz w:val="24"/>
          <w:szCs w:val="24"/>
          <w:lang w:val="en-GB"/>
        </w:rPr>
        <w:t xml:space="preserve">for the </w:t>
      </w:r>
      <w:r w:rsidR="00FD2CDD">
        <w:rPr>
          <w:rFonts w:ascii="Times New Roman" w:hAnsi="Times New Roman" w:cs="Times New Roman"/>
          <w:bCs/>
          <w:noProof/>
          <w:sz w:val="24"/>
          <w:szCs w:val="24"/>
          <w:lang w:val="en-GB"/>
        </w:rPr>
        <w:t>permanent solution regarding the FRTB implementation</w:t>
      </w:r>
      <w:r w:rsidR="00001ABA" w:rsidRPr="0036474B">
        <w:rPr>
          <w:rFonts w:ascii="Times New Roman" w:hAnsi="Times New Roman" w:cs="Times New Roman"/>
          <w:bCs/>
          <w:noProof/>
          <w:sz w:val="24"/>
          <w:szCs w:val="24"/>
          <w:lang w:val="en-GB"/>
        </w:rPr>
        <w:t xml:space="preserve">, together with the measures introduced in the </w:t>
      </w:r>
      <w:r w:rsidR="00CA0649" w:rsidRPr="0036474B">
        <w:rPr>
          <w:rFonts w:ascii="Times New Roman" w:hAnsi="Times New Roman" w:cs="Times New Roman"/>
          <w:bCs/>
          <w:noProof/>
          <w:sz w:val="24"/>
          <w:szCs w:val="24"/>
          <w:lang w:val="en-GB"/>
        </w:rPr>
        <w:t>Commission delegated acts</w:t>
      </w:r>
      <w:r w:rsidR="00001ABA" w:rsidRPr="0036474B">
        <w:rPr>
          <w:rFonts w:ascii="Times New Roman" w:hAnsi="Times New Roman" w:cs="Times New Roman"/>
          <w:bCs/>
          <w:noProof/>
          <w:sz w:val="24"/>
          <w:szCs w:val="24"/>
          <w:lang w:val="en-GB"/>
        </w:rPr>
        <w:t xml:space="preserve"> and broader reflections on the EU approach to Basel</w:t>
      </w:r>
    </w:p>
    <w:p w14:paraId="5F9E1B1E" w14:textId="79FD2B46" w:rsidR="00001ABA" w:rsidRPr="0036474B" w:rsidRDefault="00BA1632" w:rsidP="00AE42DF">
      <w:pPr>
        <w:pStyle w:val="ListParagraph"/>
        <w:numPr>
          <w:ilvl w:val="0"/>
          <w:numId w:val="13"/>
        </w:numPr>
        <w:spacing w:after="120" w:line="276" w:lineRule="auto"/>
        <w:ind w:hanging="357"/>
        <w:contextualSpacing w:val="0"/>
        <w:jc w:val="both"/>
        <w:rPr>
          <w:rFonts w:ascii="Times New Roman" w:hAnsi="Times New Roman" w:cs="Times New Roman"/>
          <w:bCs/>
          <w:noProof/>
          <w:sz w:val="24"/>
          <w:szCs w:val="24"/>
          <w:lang w:val="en-GB"/>
        </w:rPr>
      </w:pPr>
      <w:r>
        <w:rPr>
          <w:rFonts w:ascii="Times New Roman" w:hAnsi="Times New Roman" w:cs="Times New Roman"/>
          <w:bCs/>
          <w:noProof/>
          <w:sz w:val="24"/>
          <w:szCs w:val="24"/>
          <w:lang w:val="en-GB"/>
        </w:rPr>
        <w:t xml:space="preserve">Only few banks have </w:t>
      </w:r>
      <w:r w:rsidR="00F07FF4">
        <w:rPr>
          <w:rFonts w:ascii="Times New Roman" w:hAnsi="Times New Roman" w:cs="Times New Roman"/>
          <w:bCs/>
          <w:noProof/>
          <w:sz w:val="24"/>
          <w:szCs w:val="24"/>
          <w:lang w:val="en-GB"/>
        </w:rPr>
        <w:t>request competent authorities</w:t>
      </w:r>
      <w:r w:rsidR="00A27775">
        <w:rPr>
          <w:rFonts w:ascii="Times New Roman" w:hAnsi="Times New Roman" w:cs="Times New Roman"/>
          <w:bCs/>
          <w:noProof/>
          <w:sz w:val="24"/>
          <w:szCs w:val="24"/>
          <w:lang w:val="en-GB"/>
        </w:rPr>
        <w:t>’</w:t>
      </w:r>
      <w:r w:rsidR="00F07FF4">
        <w:rPr>
          <w:rFonts w:ascii="Times New Roman" w:hAnsi="Times New Roman" w:cs="Times New Roman"/>
          <w:bCs/>
          <w:noProof/>
          <w:sz w:val="24"/>
          <w:szCs w:val="24"/>
          <w:lang w:val="en-GB"/>
        </w:rPr>
        <w:t xml:space="preserve"> approval to use internal models. This is an issue as internal models are more appropriate for banks with sophisticated activities</w:t>
      </w:r>
      <w:r w:rsidR="00C918CD">
        <w:rPr>
          <w:rFonts w:ascii="Times New Roman" w:hAnsi="Times New Roman" w:cs="Times New Roman"/>
          <w:bCs/>
          <w:noProof/>
          <w:sz w:val="24"/>
          <w:szCs w:val="24"/>
          <w:lang w:val="en-GB"/>
        </w:rPr>
        <w:t xml:space="preserve">, </w:t>
      </w:r>
      <w:r w:rsidR="00C60A29">
        <w:rPr>
          <w:rFonts w:ascii="Times New Roman" w:hAnsi="Times New Roman" w:cs="Times New Roman"/>
          <w:bCs/>
          <w:noProof/>
          <w:sz w:val="24"/>
          <w:szCs w:val="24"/>
          <w:lang w:val="en-GB"/>
        </w:rPr>
        <w:t xml:space="preserve">they aid developing risk management capabilities and </w:t>
      </w:r>
      <w:r w:rsidR="00AF4551">
        <w:rPr>
          <w:rFonts w:ascii="Times New Roman" w:hAnsi="Times New Roman" w:cs="Times New Roman"/>
          <w:bCs/>
          <w:noProof/>
          <w:sz w:val="24"/>
          <w:szCs w:val="24"/>
          <w:lang w:val="en-GB"/>
        </w:rPr>
        <w:t xml:space="preserve">avoid </w:t>
      </w:r>
      <w:r w:rsidR="00AA7324">
        <w:rPr>
          <w:rFonts w:ascii="Times New Roman" w:hAnsi="Times New Roman" w:cs="Times New Roman"/>
          <w:bCs/>
          <w:noProof/>
          <w:sz w:val="24"/>
          <w:szCs w:val="24"/>
          <w:lang w:val="en-GB"/>
        </w:rPr>
        <w:t>herd effects on specific instruments or activities (which may</w:t>
      </w:r>
      <w:r w:rsidR="0048127F">
        <w:rPr>
          <w:rFonts w:ascii="Times New Roman" w:hAnsi="Times New Roman" w:cs="Times New Roman"/>
          <w:bCs/>
          <w:noProof/>
          <w:sz w:val="24"/>
          <w:szCs w:val="24"/>
          <w:lang w:val="en-GB"/>
        </w:rPr>
        <w:t xml:space="preserve"> be</w:t>
      </w:r>
      <w:r w:rsidR="00AA7324">
        <w:rPr>
          <w:rFonts w:ascii="Times New Roman" w:hAnsi="Times New Roman" w:cs="Times New Roman"/>
          <w:bCs/>
          <w:noProof/>
          <w:sz w:val="24"/>
          <w:szCs w:val="24"/>
          <w:lang w:val="en-GB"/>
        </w:rPr>
        <w:t xml:space="preserve"> discouraged by the risk weighting of the standardised approach)</w:t>
      </w:r>
      <w:r w:rsidR="00001ABA" w:rsidRPr="0036474B">
        <w:rPr>
          <w:rFonts w:ascii="Times New Roman" w:hAnsi="Times New Roman" w:cs="Times New Roman"/>
          <w:bCs/>
          <w:noProof/>
          <w:sz w:val="24"/>
          <w:szCs w:val="24"/>
          <w:lang w:val="en-GB"/>
        </w:rPr>
        <w:t xml:space="preserve">. </w:t>
      </w:r>
    </w:p>
    <w:p w14:paraId="276B1E45" w14:textId="63692E90" w:rsidR="360BEE20" w:rsidRPr="00515B62" w:rsidRDefault="360BEE20" w:rsidP="00515B62">
      <w:pPr>
        <w:jc w:val="both"/>
        <w:rPr>
          <w:rFonts w:ascii="Times New Roman" w:hAnsi="Times New Roman" w:cs="Times New Roman"/>
          <w:noProof/>
          <w:sz w:val="24"/>
          <w:szCs w:val="24"/>
          <w:lang w:val="en-GB"/>
        </w:rPr>
      </w:pPr>
    </w:p>
    <w:p w14:paraId="50B8EFF6" w14:textId="656324FF" w:rsidR="001316B4" w:rsidRPr="009C5961" w:rsidRDefault="00A441BF" w:rsidP="000E5400">
      <w:pPr>
        <w:pStyle w:val="ListParagraph"/>
        <w:numPr>
          <w:ilvl w:val="1"/>
          <w:numId w:val="11"/>
        </w:numPr>
        <w:outlineLvl w:val="1"/>
        <w:rPr>
          <w:rFonts w:ascii="Times New Roman" w:hAnsi="Times New Roman" w:cs="Times New Roman"/>
          <w:b/>
          <w:noProof/>
          <w:sz w:val="24"/>
          <w:szCs w:val="24"/>
          <w:lang w:val="en-GB"/>
        </w:rPr>
      </w:pPr>
      <w:bookmarkStart w:id="37" w:name="_Toc234341743"/>
      <w:r w:rsidRPr="009C5961">
        <w:rPr>
          <w:rFonts w:ascii="Times New Roman" w:hAnsi="Times New Roman" w:cs="Times New Roman"/>
          <w:b/>
          <w:noProof/>
          <w:sz w:val="24"/>
          <w:szCs w:val="24"/>
          <w:lang w:val="en-GB"/>
        </w:rPr>
        <w:t>U</w:t>
      </w:r>
      <w:r w:rsidR="0057648E" w:rsidRPr="009C5961">
        <w:rPr>
          <w:rFonts w:ascii="Times New Roman" w:hAnsi="Times New Roman" w:cs="Times New Roman"/>
          <w:b/>
          <w:noProof/>
          <w:sz w:val="24"/>
          <w:szCs w:val="24"/>
          <w:lang w:val="en-GB"/>
        </w:rPr>
        <w:t>ndue complexity of the framework</w:t>
      </w:r>
      <w:bookmarkStart w:id="38" w:name="_Toc231844360"/>
      <w:bookmarkStart w:id="39" w:name="_Toc231844397"/>
      <w:bookmarkStart w:id="40" w:name="_Toc231844457"/>
      <w:bookmarkStart w:id="41" w:name="_Toc231844487"/>
      <w:bookmarkStart w:id="42" w:name="_Toc231844513"/>
      <w:bookmarkStart w:id="43" w:name="_Toc231844848"/>
      <w:bookmarkStart w:id="44" w:name="_Toc231844890"/>
      <w:bookmarkStart w:id="45" w:name="_Toc231859344"/>
      <w:bookmarkStart w:id="46" w:name="_Toc231859379"/>
      <w:bookmarkEnd w:id="38"/>
      <w:bookmarkEnd w:id="39"/>
      <w:bookmarkEnd w:id="40"/>
      <w:bookmarkEnd w:id="41"/>
      <w:bookmarkEnd w:id="42"/>
      <w:bookmarkEnd w:id="43"/>
      <w:bookmarkEnd w:id="44"/>
      <w:bookmarkEnd w:id="45"/>
      <w:bookmarkEnd w:id="46"/>
      <w:r w:rsidRPr="009C5961">
        <w:rPr>
          <w:rFonts w:ascii="Times New Roman" w:hAnsi="Times New Roman" w:cs="Times New Roman"/>
          <w:b/>
          <w:noProof/>
          <w:sz w:val="24"/>
          <w:szCs w:val="24"/>
          <w:lang w:val="en-GB"/>
        </w:rPr>
        <w:t xml:space="preserve"> – </w:t>
      </w:r>
      <w:r w:rsidR="005E12F3">
        <w:rPr>
          <w:rFonts w:ascii="Times New Roman" w:hAnsi="Times New Roman" w:cs="Times New Roman"/>
          <w:b/>
          <w:noProof/>
          <w:sz w:val="24"/>
          <w:szCs w:val="24"/>
          <w:lang w:val="en-GB"/>
        </w:rPr>
        <w:t>Main</w:t>
      </w:r>
      <w:r w:rsidR="005E12F3" w:rsidRPr="009C5961">
        <w:rPr>
          <w:rFonts w:ascii="Times New Roman" w:hAnsi="Times New Roman" w:cs="Times New Roman"/>
          <w:b/>
          <w:noProof/>
          <w:sz w:val="24"/>
          <w:szCs w:val="24"/>
          <w:lang w:val="en-GB"/>
        </w:rPr>
        <w:t xml:space="preserve"> </w:t>
      </w:r>
      <w:r w:rsidRPr="009C5961">
        <w:rPr>
          <w:rFonts w:ascii="Times New Roman" w:hAnsi="Times New Roman" w:cs="Times New Roman"/>
          <w:b/>
          <w:noProof/>
          <w:sz w:val="24"/>
          <w:szCs w:val="24"/>
          <w:lang w:val="en-GB"/>
        </w:rPr>
        <w:t>issues</w:t>
      </w:r>
      <w:bookmarkEnd w:id="37"/>
    </w:p>
    <w:p w14:paraId="22EDFAB3" w14:textId="3F6F345C" w:rsidR="00845A1E" w:rsidRDefault="6A053496" w:rsidP="00C57C38">
      <w:pPr>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rPr>
        <w:t xml:space="preserve">Complexity </w:t>
      </w:r>
      <w:r w:rsidR="3DBFCDEA" w:rsidRPr="0036474B">
        <w:rPr>
          <w:rFonts w:ascii="Times New Roman" w:hAnsi="Times New Roman" w:cs="Times New Roman"/>
          <w:noProof/>
          <w:sz w:val="24"/>
          <w:szCs w:val="24"/>
          <w:lang w:val="en-GB"/>
        </w:rPr>
        <w:t xml:space="preserve">is </w:t>
      </w:r>
      <w:r w:rsidRPr="0036474B">
        <w:rPr>
          <w:rFonts w:ascii="Times New Roman" w:hAnsi="Times New Roman" w:cs="Times New Roman"/>
          <w:noProof/>
          <w:sz w:val="24"/>
          <w:szCs w:val="24"/>
          <w:lang w:val="en-GB"/>
        </w:rPr>
        <w:t xml:space="preserve">inherent to financial services regulation, in particular in </w:t>
      </w:r>
      <w:r w:rsidR="2EBCA6CC" w:rsidRPr="0036474B">
        <w:rPr>
          <w:rFonts w:ascii="Times New Roman" w:hAnsi="Times New Roman" w:cs="Times New Roman"/>
          <w:noProof/>
          <w:sz w:val="24"/>
          <w:szCs w:val="24"/>
          <w:lang w:val="en-GB"/>
        </w:rPr>
        <w:t xml:space="preserve">the </w:t>
      </w:r>
      <w:r w:rsidRPr="0036474B">
        <w:rPr>
          <w:rFonts w:ascii="Times New Roman" w:hAnsi="Times New Roman" w:cs="Times New Roman"/>
          <w:noProof/>
          <w:sz w:val="24"/>
          <w:szCs w:val="24"/>
          <w:lang w:val="en-GB"/>
        </w:rPr>
        <w:t>area of banking.</w:t>
      </w:r>
      <w:r w:rsidR="5974B098" w:rsidRPr="0036474B">
        <w:rPr>
          <w:rFonts w:ascii="Times New Roman" w:hAnsi="Times New Roman" w:cs="Times New Roman"/>
          <w:noProof/>
          <w:sz w:val="24"/>
          <w:szCs w:val="24"/>
          <w:lang w:val="en-GB"/>
        </w:rPr>
        <w:t xml:space="preserve"> Banks require strict regulation and intrusive supervision, because they </w:t>
      </w:r>
      <w:r w:rsidR="00E201BE">
        <w:rPr>
          <w:rFonts w:ascii="Times New Roman" w:hAnsi="Times New Roman" w:cs="Times New Roman"/>
          <w:noProof/>
          <w:sz w:val="24"/>
          <w:szCs w:val="24"/>
          <w:lang w:val="en-GB"/>
        </w:rPr>
        <w:t>are fundamental to the</w:t>
      </w:r>
      <w:r w:rsidR="5974B098" w:rsidRPr="0036474B">
        <w:rPr>
          <w:rFonts w:ascii="Times New Roman" w:hAnsi="Times New Roman" w:cs="Times New Roman"/>
          <w:noProof/>
          <w:sz w:val="24"/>
          <w:szCs w:val="24"/>
          <w:lang w:val="en-GB"/>
        </w:rPr>
        <w:t xml:space="preserve"> financing for the EU economy and inherently vulnerable to runs on their primary funding source</w:t>
      </w:r>
      <w:r w:rsidR="51A9029D" w:rsidRPr="0036474B">
        <w:rPr>
          <w:rFonts w:ascii="Times New Roman" w:hAnsi="Times New Roman" w:cs="Times New Roman"/>
          <w:noProof/>
          <w:sz w:val="24"/>
          <w:szCs w:val="24"/>
          <w:lang w:val="en-GB"/>
        </w:rPr>
        <w:t xml:space="preserve">, </w:t>
      </w:r>
      <w:r w:rsidR="5974B098" w:rsidRPr="0036474B">
        <w:rPr>
          <w:rFonts w:ascii="Times New Roman" w:hAnsi="Times New Roman" w:cs="Times New Roman"/>
          <w:noProof/>
          <w:sz w:val="24"/>
          <w:szCs w:val="24"/>
          <w:lang w:val="en-GB"/>
        </w:rPr>
        <w:t>deposits</w:t>
      </w:r>
      <w:r w:rsidR="51A9029D" w:rsidRPr="0036474B">
        <w:rPr>
          <w:rFonts w:ascii="Times New Roman" w:hAnsi="Times New Roman" w:cs="Times New Roman"/>
          <w:noProof/>
          <w:sz w:val="24"/>
          <w:szCs w:val="24"/>
          <w:lang w:val="en-GB"/>
        </w:rPr>
        <w:t>,</w:t>
      </w:r>
      <w:r w:rsidR="5974B098" w:rsidRPr="0036474B">
        <w:rPr>
          <w:rFonts w:ascii="Times New Roman" w:hAnsi="Times New Roman" w:cs="Times New Roman"/>
          <w:noProof/>
          <w:sz w:val="24"/>
          <w:szCs w:val="24"/>
          <w:lang w:val="en-GB"/>
        </w:rPr>
        <w:t xml:space="preserve"> which may create financial instability. </w:t>
      </w:r>
      <w:r w:rsidR="79BD4B4B" w:rsidRPr="0036474B">
        <w:rPr>
          <w:rFonts w:ascii="Times New Roman" w:hAnsi="Times New Roman" w:cs="Times New Roman"/>
          <w:noProof/>
          <w:sz w:val="24"/>
          <w:szCs w:val="24"/>
          <w:lang w:val="en-GB"/>
        </w:rPr>
        <w:t>Banking also remains a highly complex endeavour, and the regulations reflect this complexity.</w:t>
      </w:r>
    </w:p>
    <w:p w14:paraId="76F9E805" w14:textId="77777777" w:rsidR="008D28A3" w:rsidRDefault="008D28A3" w:rsidP="008D28A3">
      <w:pPr>
        <w:spacing w:after="120" w:line="257" w:lineRule="auto"/>
        <w:jc w:val="both"/>
        <w:rPr>
          <w:rFonts w:ascii="Times New Roman" w:hAnsi="Times New Roman" w:cs="Times New Roman"/>
          <w:noProof/>
          <w:sz w:val="24"/>
          <w:szCs w:val="24"/>
          <w:lang w:val="en-GB"/>
        </w:rPr>
      </w:pPr>
    </w:p>
    <w:p w14:paraId="01B97830" w14:textId="4F4D33B7" w:rsidR="00386222" w:rsidRPr="00D03AD8" w:rsidRDefault="00386222" w:rsidP="00D03AD8">
      <w:pPr>
        <w:pStyle w:val="ListParagraph"/>
        <w:numPr>
          <w:ilvl w:val="2"/>
          <w:numId w:val="11"/>
        </w:numPr>
        <w:spacing w:after="120"/>
        <w:ind w:left="1077"/>
        <w:contextualSpacing w:val="0"/>
        <w:outlineLvl w:val="2"/>
        <w:rPr>
          <w:rFonts w:ascii="Times New Roman" w:hAnsi="Times New Roman" w:cs="Times New Roman"/>
          <w:b/>
          <w:bCs/>
          <w:noProof/>
          <w:sz w:val="24"/>
          <w:szCs w:val="24"/>
          <w:lang w:val="en-GB"/>
        </w:rPr>
      </w:pPr>
      <w:bookmarkStart w:id="47" w:name="_Toc234341744"/>
      <w:r w:rsidRPr="00D03AD8">
        <w:rPr>
          <w:rFonts w:ascii="Times New Roman" w:hAnsi="Times New Roman" w:cs="Times New Roman"/>
          <w:b/>
          <w:bCs/>
          <w:noProof/>
          <w:sz w:val="24"/>
          <w:szCs w:val="24"/>
          <w:lang w:val="en-GB"/>
        </w:rPr>
        <w:t>Institutional</w:t>
      </w:r>
      <w:r w:rsidRPr="00386222">
        <w:rPr>
          <w:rFonts w:ascii="Times New Roman" w:hAnsi="Times New Roman" w:cs="Times New Roman"/>
          <w:b/>
          <w:bCs/>
          <w:noProof/>
          <w:sz w:val="24"/>
          <w:szCs w:val="24"/>
          <w:lang w:val="en-GB"/>
        </w:rPr>
        <w:t xml:space="preserve"> set-up</w:t>
      </w:r>
      <w:bookmarkEnd w:id="47"/>
    </w:p>
    <w:p w14:paraId="1845ADFD" w14:textId="0F70C0E2" w:rsidR="005262AE" w:rsidRPr="0036474B" w:rsidRDefault="00386222" w:rsidP="00386222">
      <w:pPr>
        <w:pStyle w:val="ListParagraph"/>
        <w:numPr>
          <w:ilvl w:val="0"/>
          <w:numId w:val="80"/>
        </w:numPr>
        <w:rPr>
          <w:rFonts w:ascii="Times New Roman" w:hAnsi="Times New Roman" w:cs="Times New Roman"/>
          <w:b/>
          <w:bCs/>
          <w:noProof/>
          <w:sz w:val="24"/>
          <w:szCs w:val="24"/>
          <w:lang w:val="en-GB"/>
        </w:rPr>
      </w:pPr>
      <w:r w:rsidRPr="00386222">
        <w:rPr>
          <w:rFonts w:ascii="Times New Roman" w:hAnsi="Times New Roman" w:cs="Times New Roman"/>
          <w:b/>
          <w:bCs/>
          <w:noProof/>
          <w:sz w:val="24"/>
          <w:szCs w:val="24"/>
          <w:lang w:val="en-GB"/>
        </w:rPr>
        <w:t xml:space="preserve"> </w:t>
      </w:r>
      <w:r w:rsidR="00B47F59" w:rsidRPr="0036474B">
        <w:rPr>
          <w:rFonts w:ascii="Times New Roman" w:hAnsi="Times New Roman" w:cs="Times New Roman"/>
          <w:b/>
          <w:bCs/>
          <w:noProof/>
          <w:sz w:val="24"/>
          <w:szCs w:val="24"/>
          <w:lang w:val="en-GB"/>
        </w:rPr>
        <w:t>Implementing</w:t>
      </w:r>
      <w:r w:rsidR="005262AE" w:rsidRPr="0036474B">
        <w:rPr>
          <w:rFonts w:ascii="Times New Roman" w:hAnsi="Times New Roman" w:cs="Times New Roman"/>
          <w:b/>
          <w:bCs/>
          <w:noProof/>
          <w:sz w:val="24"/>
          <w:szCs w:val="24"/>
          <w:lang w:val="en-GB"/>
        </w:rPr>
        <w:t xml:space="preserve"> international standards in </w:t>
      </w:r>
      <w:r w:rsidR="004D02AB" w:rsidRPr="0036474B">
        <w:rPr>
          <w:rFonts w:ascii="Times New Roman" w:hAnsi="Times New Roman" w:cs="Times New Roman"/>
          <w:b/>
          <w:bCs/>
          <w:noProof/>
          <w:sz w:val="24"/>
          <w:szCs w:val="24"/>
          <w:lang w:val="en-GB"/>
        </w:rPr>
        <w:t xml:space="preserve">the </w:t>
      </w:r>
      <w:r w:rsidR="005262AE" w:rsidRPr="0036474B">
        <w:rPr>
          <w:rFonts w:ascii="Times New Roman" w:hAnsi="Times New Roman" w:cs="Times New Roman"/>
          <w:b/>
          <w:bCs/>
          <w:noProof/>
          <w:sz w:val="24"/>
          <w:szCs w:val="24"/>
          <w:lang w:val="en-GB"/>
        </w:rPr>
        <w:t xml:space="preserve">EU </w:t>
      </w:r>
      <w:r w:rsidR="004D02AB" w:rsidRPr="0036474B">
        <w:rPr>
          <w:rFonts w:ascii="Times New Roman" w:hAnsi="Times New Roman" w:cs="Times New Roman"/>
          <w:b/>
          <w:bCs/>
          <w:noProof/>
          <w:sz w:val="24"/>
          <w:szCs w:val="24"/>
          <w:lang w:val="en-GB"/>
        </w:rPr>
        <w:t>regulatory framework</w:t>
      </w:r>
    </w:p>
    <w:p w14:paraId="581B8D53" w14:textId="2EFAFF32" w:rsidR="00BF1FEC" w:rsidRDefault="3E26710B" w:rsidP="00F57912">
      <w:pPr>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rPr>
        <w:t xml:space="preserve">The </w:t>
      </w:r>
      <w:r w:rsidR="710C5158" w:rsidRPr="0036474B">
        <w:rPr>
          <w:rFonts w:ascii="Times New Roman" w:hAnsi="Times New Roman" w:cs="Times New Roman"/>
          <w:noProof/>
          <w:sz w:val="24"/>
          <w:szCs w:val="24"/>
          <w:lang w:val="en-GB"/>
        </w:rPr>
        <w:t xml:space="preserve">EU bank </w:t>
      </w:r>
      <w:r w:rsidRPr="0036474B">
        <w:rPr>
          <w:rFonts w:ascii="Times New Roman" w:hAnsi="Times New Roman" w:cs="Times New Roman"/>
          <w:noProof/>
          <w:sz w:val="24"/>
          <w:szCs w:val="24"/>
          <w:lang w:val="en-GB"/>
        </w:rPr>
        <w:t>regulatory framework is based on a central assumption that</w:t>
      </w:r>
      <w:r w:rsidR="136FC6A9" w:rsidRPr="0036474B">
        <w:rPr>
          <w:rFonts w:ascii="Times New Roman" w:hAnsi="Times New Roman" w:cs="Times New Roman"/>
          <w:noProof/>
          <w:sz w:val="24"/>
          <w:szCs w:val="24"/>
          <w:lang w:val="en-GB"/>
        </w:rPr>
        <w:t>, in a single market, adequate regulation should apply to all banks across the EU</w:t>
      </w:r>
      <w:r w:rsidR="2ED88583" w:rsidRPr="0036474B">
        <w:rPr>
          <w:rFonts w:ascii="Times New Roman" w:hAnsi="Times New Roman" w:cs="Times New Roman"/>
          <w:noProof/>
          <w:sz w:val="24"/>
          <w:szCs w:val="24"/>
          <w:lang w:val="en-GB"/>
        </w:rPr>
        <w:t xml:space="preserve">. This led to subject </w:t>
      </w:r>
      <w:r w:rsidR="5D93B98C" w:rsidRPr="0036474B">
        <w:rPr>
          <w:rFonts w:ascii="Times New Roman" w:hAnsi="Times New Roman" w:cs="Times New Roman"/>
          <w:noProof/>
          <w:sz w:val="24"/>
          <w:szCs w:val="24"/>
          <w:lang w:val="en-GB"/>
        </w:rPr>
        <w:t>the entire EU banking system</w:t>
      </w:r>
      <w:r w:rsidR="2ED88583" w:rsidRPr="0036474B">
        <w:rPr>
          <w:rFonts w:ascii="Times New Roman" w:hAnsi="Times New Roman" w:cs="Times New Roman"/>
          <w:noProof/>
          <w:sz w:val="24"/>
          <w:szCs w:val="24"/>
          <w:lang w:val="en-GB"/>
        </w:rPr>
        <w:t xml:space="preserve"> to</w:t>
      </w:r>
      <w:r w:rsidR="5D93B98C" w:rsidRPr="0036474B">
        <w:rPr>
          <w:rFonts w:ascii="Times New Roman" w:hAnsi="Times New Roman" w:cs="Times New Roman"/>
          <w:noProof/>
          <w:sz w:val="24"/>
          <w:szCs w:val="24"/>
          <w:lang w:val="en-GB"/>
        </w:rPr>
        <w:t xml:space="preserve"> </w:t>
      </w:r>
      <w:r w:rsidR="156FEC82" w:rsidRPr="0036474B">
        <w:rPr>
          <w:rFonts w:ascii="Times New Roman" w:hAnsi="Times New Roman" w:cs="Times New Roman"/>
          <w:noProof/>
          <w:sz w:val="24"/>
          <w:szCs w:val="24"/>
          <w:lang w:val="en-GB"/>
        </w:rPr>
        <w:t xml:space="preserve">policies deriving from </w:t>
      </w:r>
      <w:r w:rsidR="5D93B98C" w:rsidRPr="0036474B">
        <w:rPr>
          <w:rFonts w:ascii="Times New Roman" w:hAnsi="Times New Roman" w:cs="Times New Roman"/>
          <w:noProof/>
          <w:sz w:val="24"/>
          <w:szCs w:val="24"/>
          <w:lang w:val="en-GB"/>
        </w:rPr>
        <w:t xml:space="preserve">international standards </w:t>
      </w:r>
      <w:r w:rsidR="2ED88583" w:rsidRPr="0036474B">
        <w:rPr>
          <w:rFonts w:ascii="Times New Roman" w:hAnsi="Times New Roman" w:cs="Times New Roman"/>
          <w:noProof/>
          <w:sz w:val="24"/>
          <w:szCs w:val="24"/>
          <w:lang w:val="en-GB"/>
        </w:rPr>
        <w:t xml:space="preserve">developed in the Basel Committee for Banking </w:t>
      </w:r>
      <w:r w:rsidR="59F9F48A" w:rsidRPr="0036474B">
        <w:rPr>
          <w:rFonts w:ascii="Times New Roman" w:hAnsi="Times New Roman" w:cs="Times New Roman"/>
          <w:noProof/>
          <w:sz w:val="24"/>
          <w:szCs w:val="24"/>
          <w:lang w:val="en-GB"/>
        </w:rPr>
        <w:t>Supervision</w:t>
      </w:r>
      <w:r w:rsidR="2ED88583" w:rsidRPr="0036474B">
        <w:rPr>
          <w:rFonts w:ascii="Times New Roman" w:hAnsi="Times New Roman" w:cs="Times New Roman"/>
          <w:noProof/>
          <w:sz w:val="24"/>
          <w:szCs w:val="24"/>
          <w:lang w:val="en-GB"/>
        </w:rPr>
        <w:t xml:space="preserve"> (BCBS) and the Financial Stability Board (FSB)</w:t>
      </w:r>
      <w:r w:rsidR="33BFC024" w:rsidRPr="0036474B">
        <w:rPr>
          <w:rFonts w:ascii="Times New Roman" w:hAnsi="Times New Roman" w:cs="Times New Roman"/>
          <w:noProof/>
          <w:sz w:val="24"/>
          <w:szCs w:val="24"/>
          <w:lang w:val="en-GB"/>
        </w:rPr>
        <w:t xml:space="preserve">, while they were initially </w:t>
      </w:r>
      <w:r w:rsidR="5D93B98C" w:rsidRPr="0036474B">
        <w:rPr>
          <w:rFonts w:ascii="Times New Roman" w:hAnsi="Times New Roman" w:cs="Times New Roman"/>
          <w:noProof/>
          <w:sz w:val="24"/>
          <w:szCs w:val="24"/>
          <w:lang w:val="en-GB"/>
        </w:rPr>
        <w:t>designed for systemic banks</w:t>
      </w:r>
      <w:r w:rsidR="33BFC024" w:rsidRPr="0036474B">
        <w:rPr>
          <w:rFonts w:ascii="Times New Roman" w:hAnsi="Times New Roman" w:cs="Times New Roman"/>
          <w:noProof/>
          <w:sz w:val="24"/>
          <w:szCs w:val="24"/>
          <w:lang w:val="en-GB"/>
        </w:rPr>
        <w:t>. This approach leads to further complexity given the need to adapt rules to cater for EU specificities</w:t>
      </w:r>
      <w:r w:rsidR="49467C99" w:rsidRPr="0036474B">
        <w:rPr>
          <w:rFonts w:ascii="Times New Roman" w:hAnsi="Times New Roman" w:cs="Times New Roman"/>
          <w:noProof/>
          <w:sz w:val="24"/>
          <w:szCs w:val="24"/>
          <w:lang w:val="en-GB"/>
        </w:rPr>
        <w:t xml:space="preserve">, while ensuring </w:t>
      </w:r>
      <w:r w:rsidR="3897231C" w:rsidRPr="0036474B">
        <w:rPr>
          <w:rFonts w:ascii="Times New Roman" w:hAnsi="Times New Roman" w:cs="Times New Roman"/>
          <w:noProof/>
          <w:sz w:val="24"/>
          <w:szCs w:val="24"/>
          <w:lang w:val="en-GB"/>
        </w:rPr>
        <w:t>broad compliance with international standards</w:t>
      </w:r>
      <w:r w:rsidR="009D36B0" w:rsidRPr="0036474B">
        <w:rPr>
          <w:rStyle w:val="FootnoteReference"/>
          <w:rFonts w:ascii="Times New Roman" w:hAnsi="Times New Roman" w:cs="Times New Roman"/>
          <w:noProof/>
          <w:sz w:val="24"/>
          <w:szCs w:val="24"/>
          <w:lang w:val="en-GB"/>
        </w:rPr>
        <w:footnoteReference w:id="83"/>
      </w:r>
      <w:r w:rsidR="7EACD53F" w:rsidRPr="0036474B">
        <w:rPr>
          <w:rFonts w:ascii="Times New Roman" w:hAnsi="Times New Roman" w:cs="Times New Roman"/>
          <w:noProof/>
          <w:sz w:val="24"/>
          <w:szCs w:val="24"/>
          <w:lang w:val="en-GB"/>
        </w:rPr>
        <w:t xml:space="preserve">. These differences are based on political agreements among co-legislators and </w:t>
      </w:r>
      <w:r w:rsidR="7E504655" w:rsidRPr="0036474B">
        <w:rPr>
          <w:rFonts w:ascii="Times New Roman" w:hAnsi="Times New Roman" w:cs="Times New Roman"/>
          <w:noProof/>
          <w:sz w:val="24"/>
          <w:szCs w:val="24"/>
          <w:lang w:val="en-GB"/>
        </w:rPr>
        <w:t>reconcile the abstraction of international standards with the reality of the EU banking sector and its environment</w:t>
      </w:r>
      <w:r w:rsidR="2818B9BF" w:rsidRPr="0036474B">
        <w:rPr>
          <w:rFonts w:ascii="Times New Roman" w:hAnsi="Times New Roman" w:cs="Times New Roman"/>
          <w:noProof/>
          <w:sz w:val="24"/>
          <w:szCs w:val="24"/>
          <w:lang w:val="en-GB"/>
        </w:rPr>
        <w:t xml:space="preserve"> (different banking landscape compared to other international jurisdictions, </w:t>
      </w:r>
      <w:r w:rsidR="162600CA" w:rsidRPr="0036474B">
        <w:rPr>
          <w:rFonts w:ascii="Times New Roman" w:hAnsi="Times New Roman" w:cs="Times New Roman"/>
          <w:noProof/>
          <w:sz w:val="24"/>
          <w:szCs w:val="24"/>
          <w:lang w:val="en-GB"/>
        </w:rPr>
        <w:t xml:space="preserve">European and national safety nets, </w:t>
      </w:r>
      <w:r w:rsidR="710C5158" w:rsidRPr="0036474B">
        <w:rPr>
          <w:rFonts w:ascii="Times New Roman" w:hAnsi="Times New Roman" w:cs="Times New Roman"/>
          <w:noProof/>
          <w:sz w:val="24"/>
          <w:szCs w:val="24"/>
          <w:lang w:val="en-GB"/>
        </w:rPr>
        <w:t>differences in national laws, need for proportionality). Still, they are a source of complexity and lack of comparability.</w:t>
      </w:r>
    </w:p>
    <w:p w14:paraId="479DB2EB" w14:textId="77777777" w:rsidR="00244AA3" w:rsidRDefault="00244AA3" w:rsidP="00F57912">
      <w:pPr>
        <w:jc w:val="both"/>
        <w:rPr>
          <w:rFonts w:ascii="Times New Roman" w:hAnsi="Times New Roman" w:cs="Times New Roman"/>
          <w:noProof/>
          <w:sz w:val="24"/>
          <w:szCs w:val="24"/>
          <w:lang w:val="en-GB"/>
        </w:rPr>
      </w:pPr>
    </w:p>
    <w:p w14:paraId="6EAF68FE" w14:textId="4681B069" w:rsidR="00BF1FEC" w:rsidRPr="0036474B" w:rsidRDefault="004D02AB" w:rsidP="00386222">
      <w:pPr>
        <w:pStyle w:val="ListParagraph"/>
        <w:numPr>
          <w:ilvl w:val="0"/>
          <w:numId w:val="80"/>
        </w:numPr>
        <w:rPr>
          <w:rFonts w:ascii="Times New Roman" w:hAnsi="Times New Roman" w:cs="Times New Roman"/>
          <w:b/>
          <w:bCs/>
          <w:noProof/>
          <w:sz w:val="24"/>
          <w:szCs w:val="24"/>
          <w:lang w:val="en-GB"/>
        </w:rPr>
      </w:pPr>
      <w:r w:rsidRPr="0036474B">
        <w:rPr>
          <w:rFonts w:ascii="Times New Roman" w:hAnsi="Times New Roman" w:cs="Times New Roman"/>
          <w:b/>
          <w:bCs/>
          <w:noProof/>
          <w:sz w:val="24"/>
          <w:szCs w:val="24"/>
          <w:lang w:val="en-GB"/>
        </w:rPr>
        <w:t>Interinstitutional architecture</w:t>
      </w:r>
      <w:r w:rsidR="00ED176B" w:rsidRPr="0036474B">
        <w:rPr>
          <w:rFonts w:ascii="Times New Roman" w:hAnsi="Times New Roman" w:cs="Times New Roman"/>
          <w:b/>
          <w:bCs/>
          <w:noProof/>
          <w:sz w:val="24"/>
          <w:szCs w:val="24"/>
          <w:lang w:val="en-GB"/>
        </w:rPr>
        <w:t xml:space="preserve"> and transversality</w:t>
      </w:r>
    </w:p>
    <w:p w14:paraId="65590577" w14:textId="77777777" w:rsidR="004D02AB" w:rsidRPr="0036474B" w:rsidRDefault="00BF1FEC" w:rsidP="00BF1FEC">
      <w:pPr>
        <w:jc w:val="both"/>
        <w:rPr>
          <w:rFonts w:ascii="Times New Roman" w:hAnsi="Times New Roman" w:cs="Times New Roman"/>
          <w:noProof/>
          <w:kern w:val="2"/>
          <w:sz w:val="24"/>
          <w:szCs w:val="24"/>
          <w:lang w:val="en-GB"/>
          <w14:ligatures w14:val="standardContextual"/>
        </w:rPr>
      </w:pPr>
      <w:r w:rsidRPr="0036474B">
        <w:rPr>
          <w:rFonts w:ascii="Times New Roman" w:hAnsi="Times New Roman" w:cs="Times New Roman"/>
          <w:noProof/>
          <w:kern w:val="2"/>
          <w:sz w:val="24"/>
          <w:szCs w:val="24"/>
          <w:lang w:val="en-GB"/>
          <w14:ligatures w14:val="standardContextual"/>
        </w:rPr>
        <w:t xml:space="preserve">The EU is a complex multi-jurisdictional political structure with a democratic, transparent and accountable legislative decision-making process, but which often produces additional complexity through the political negotiation process. </w:t>
      </w:r>
    </w:p>
    <w:p w14:paraId="297A9E04" w14:textId="059A5E98" w:rsidR="00BF1FEC" w:rsidRPr="0036474B" w:rsidRDefault="00BF1FEC" w:rsidP="00BF1FEC">
      <w:pPr>
        <w:jc w:val="both"/>
        <w:rPr>
          <w:rFonts w:ascii="Times New Roman" w:hAnsi="Times New Roman" w:cs="Times New Roman"/>
          <w:noProof/>
          <w:kern w:val="2"/>
          <w:sz w:val="24"/>
          <w:szCs w:val="24"/>
          <w:lang w:val="en-GB"/>
          <w14:ligatures w14:val="standardContextual"/>
        </w:rPr>
      </w:pPr>
      <w:r w:rsidRPr="0036474B">
        <w:rPr>
          <w:rFonts w:ascii="Times New Roman" w:hAnsi="Times New Roman" w:cs="Times New Roman"/>
          <w:noProof/>
          <w:kern w:val="2"/>
          <w:sz w:val="24"/>
          <w:szCs w:val="24"/>
          <w:lang w:val="en-GB"/>
          <w14:ligatures w14:val="standardContextual"/>
        </w:rPr>
        <w:t>This means that, on top of adopting internationally agreed standards, introducing numerous EU-specificities (e.g. exemptions, derogations) in the single rulebook to cater for national interest groups or specific business models is necessary to achieve a consensus among the EU co-legislators. In addition, compared to other jurisdictions, the EU banking regulation in the EU tends to be more rule- than principle based, to ensure a harmonised application and level playing field among Member States.</w:t>
      </w:r>
    </w:p>
    <w:p w14:paraId="782FFB44" w14:textId="757EB47C" w:rsidR="007E33B0" w:rsidRDefault="7835F1FF" w:rsidP="007E33B0">
      <w:pPr>
        <w:jc w:val="both"/>
        <w:rPr>
          <w:rFonts w:ascii="Times New Roman" w:hAnsi="Times New Roman" w:cs="Times New Roman"/>
          <w:noProof/>
          <w:kern w:val="2"/>
          <w:sz w:val="24"/>
          <w:szCs w:val="24"/>
          <w:lang w:val="en-GB"/>
          <w14:ligatures w14:val="standardContextual"/>
        </w:rPr>
      </w:pPr>
      <w:r w:rsidRPr="0036474B">
        <w:rPr>
          <w:rFonts w:ascii="Times New Roman" w:hAnsi="Times New Roman" w:cs="Times New Roman"/>
          <w:noProof/>
          <w:kern w:val="2"/>
          <w:sz w:val="24"/>
          <w:szCs w:val="24"/>
          <w:lang w:val="en-GB"/>
          <w14:ligatures w14:val="standardContextual"/>
        </w:rPr>
        <w:t xml:space="preserve">Complexity can also arise because </w:t>
      </w:r>
      <w:r w:rsidR="78AEABF0" w:rsidRPr="0036474B">
        <w:rPr>
          <w:rFonts w:ascii="Times New Roman" w:hAnsi="Times New Roman" w:cs="Times New Roman"/>
          <w:noProof/>
          <w:kern w:val="2"/>
          <w:sz w:val="24"/>
          <w:szCs w:val="24"/>
          <w:lang w:val="en-GB"/>
          <w14:ligatures w14:val="standardContextual"/>
        </w:rPr>
        <w:t xml:space="preserve">of </w:t>
      </w:r>
      <w:r w:rsidRPr="0036474B">
        <w:rPr>
          <w:rFonts w:ascii="Times New Roman" w:hAnsi="Times New Roman" w:cs="Times New Roman"/>
          <w:noProof/>
          <w:kern w:val="2"/>
          <w:sz w:val="24"/>
          <w:szCs w:val="24"/>
          <w:lang w:val="en-GB"/>
          <w14:ligatures w14:val="standardContextual"/>
        </w:rPr>
        <w:t xml:space="preserve">the design of the </w:t>
      </w:r>
      <w:r w:rsidR="2C1C97BB" w:rsidRPr="0036474B">
        <w:rPr>
          <w:rFonts w:ascii="Times New Roman" w:hAnsi="Times New Roman" w:cs="Times New Roman"/>
          <w:noProof/>
          <w:kern w:val="2"/>
          <w:sz w:val="24"/>
          <w:szCs w:val="24"/>
          <w:lang w:val="en-GB"/>
          <w14:ligatures w14:val="standardContextual"/>
        </w:rPr>
        <w:t>regulation</w:t>
      </w:r>
      <w:r w:rsidRPr="0036474B">
        <w:rPr>
          <w:rFonts w:ascii="Times New Roman" w:hAnsi="Times New Roman" w:cs="Times New Roman"/>
          <w:noProof/>
          <w:kern w:val="2"/>
          <w:sz w:val="24"/>
          <w:szCs w:val="24"/>
          <w:lang w:val="en-GB"/>
          <w14:ligatures w14:val="standardContextual"/>
        </w:rPr>
        <w:t xml:space="preserve">, </w:t>
      </w:r>
      <w:r w:rsidR="2C1C97BB" w:rsidRPr="0036474B">
        <w:rPr>
          <w:rFonts w:ascii="Times New Roman" w:hAnsi="Times New Roman" w:cs="Times New Roman"/>
          <w:noProof/>
          <w:kern w:val="2"/>
          <w:sz w:val="24"/>
          <w:szCs w:val="24"/>
          <w:lang w:val="en-GB"/>
          <w14:ligatures w14:val="standardContextual"/>
        </w:rPr>
        <w:t xml:space="preserve">where </w:t>
      </w:r>
      <w:r w:rsidRPr="0036474B">
        <w:rPr>
          <w:rFonts w:ascii="Times New Roman" w:hAnsi="Times New Roman" w:cs="Times New Roman"/>
          <w:noProof/>
          <w:kern w:val="2"/>
          <w:sz w:val="24"/>
          <w:szCs w:val="24"/>
          <w:lang w:val="en-GB"/>
          <w14:ligatures w14:val="standardContextual"/>
        </w:rPr>
        <w:t xml:space="preserve">simplicity is sacrificed to attain other objectives, notably risk sensitivity, robustness, cost efficiency, comparability. Complexity can also be the characteristic of the lack of transversality in the setting up of </w:t>
      </w:r>
      <w:r w:rsidR="2C1C97BB" w:rsidRPr="0036474B">
        <w:rPr>
          <w:rFonts w:ascii="Times New Roman" w:hAnsi="Times New Roman" w:cs="Times New Roman"/>
          <w:noProof/>
          <w:kern w:val="2"/>
          <w:sz w:val="24"/>
          <w:szCs w:val="24"/>
          <w:lang w:val="en-GB"/>
          <w14:ligatures w14:val="standardContextual"/>
        </w:rPr>
        <w:t>rules</w:t>
      </w:r>
      <w:r w:rsidRPr="0036474B">
        <w:rPr>
          <w:rFonts w:ascii="Times New Roman" w:hAnsi="Times New Roman" w:cs="Times New Roman"/>
          <w:noProof/>
          <w:kern w:val="2"/>
          <w:sz w:val="24"/>
          <w:szCs w:val="24"/>
          <w:lang w:val="en-GB"/>
          <w14:ligatures w14:val="standardContextual"/>
        </w:rPr>
        <w:t xml:space="preserve"> that does not consider the safeguards considered by other part</w:t>
      </w:r>
      <w:r w:rsidR="646FA801" w:rsidRPr="0036474B">
        <w:rPr>
          <w:rFonts w:ascii="Times New Roman" w:hAnsi="Times New Roman" w:cs="Times New Roman"/>
          <w:noProof/>
          <w:kern w:val="2"/>
          <w:sz w:val="24"/>
          <w:szCs w:val="24"/>
          <w:lang w:val="en-GB"/>
          <w14:ligatures w14:val="standardContextual"/>
        </w:rPr>
        <w:t>s</w:t>
      </w:r>
      <w:r w:rsidRPr="0036474B">
        <w:rPr>
          <w:rFonts w:ascii="Times New Roman" w:hAnsi="Times New Roman" w:cs="Times New Roman"/>
          <w:noProof/>
          <w:kern w:val="2"/>
          <w:sz w:val="24"/>
          <w:szCs w:val="24"/>
          <w:lang w:val="en-GB"/>
          <w14:ligatures w14:val="standardContextual"/>
        </w:rPr>
        <w:t xml:space="preserve"> of a global framework.</w:t>
      </w:r>
    </w:p>
    <w:p w14:paraId="221824B2" w14:textId="77777777" w:rsidR="00244AA3" w:rsidRDefault="00244AA3" w:rsidP="007E33B0">
      <w:pPr>
        <w:jc w:val="both"/>
        <w:rPr>
          <w:rFonts w:ascii="Times New Roman" w:hAnsi="Times New Roman" w:cs="Times New Roman"/>
          <w:noProof/>
          <w:kern w:val="2"/>
          <w:sz w:val="24"/>
          <w:szCs w:val="24"/>
          <w:lang w:val="en-GB"/>
          <w14:ligatures w14:val="standardContextual"/>
        </w:rPr>
      </w:pPr>
    </w:p>
    <w:p w14:paraId="7D20917D" w14:textId="79C231EF" w:rsidR="004C5ADB" w:rsidRPr="0036474B" w:rsidRDefault="00C41E44" w:rsidP="00386222">
      <w:pPr>
        <w:pStyle w:val="ListParagraph"/>
        <w:numPr>
          <w:ilvl w:val="0"/>
          <w:numId w:val="80"/>
        </w:numPr>
        <w:rPr>
          <w:rFonts w:ascii="Times New Roman" w:hAnsi="Times New Roman" w:cs="Times New Roman"/>
          <w:b/>
          <w:bCs/>
          <w:noProof/>
          <w:sz w:val="24"/>
          <w:szCs w:val="24"/>
          <w:lang w:val="en-GB"/>
        </w:rPr>
      </w:pPr>
      <w:r w:rsidRPr="0036474B">
        <w:rPr>
          <w:rFonts w:ascii="Times New Roman" w:hAnsi="Times New Roman" w:cs="Times New Roman"/>
          <w:b/>
          <w:bCs/>
          <w:noProof/>
          <w:sz w:val="24"/>
          <w:szCs w:val="24"/>
          <w:lang w:val="en-GB"/>
        </w:rPr>
        <w:t xml:space="preserve">Multiplicity of </w:t>
      </w:r>
      <w:r w:rsidR="00452FFB" w:rsidRPr="0036474B">
        <w:rPr>
          <w:rFonts w:ascii="Times New Roman" w:hAnsi="Times New Roman" w:cs="Times New Roman"/>
          <w:b/>
          <w:bCs/>
          <w:noProof/>
          <w:sz w:val="24"/>
          <w:szCs w:val="24"/>
          <w:lang w:val="en-GB"/>
        </w:rPr>
        <w:t>sources of legislation</w:t>
      </w:r>
    </w:p>
    <w:p w14:paraId="3ACD3D0E" w14:textId="5AB27C9A" w:rsidR="00452FFB" w:rsidRPr="0036474B" w:rsidRDefault="1D936E90" w:rsidP="001F03F1">
      <w:pPr>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rPr>
        <w:t xml:space="preserve">The multiplicity of sources of legislation and guidance also contributes to complexity. EU </w:t>
      </w:r>
      <w:r w:rsidR="64C8315A" w:rsidRPr="0036474B">
        <w:rPr>
          <w:rFonts w:ascii="Times New Roman" w:hAnsi="Times New Roman" w:cs="Times New Roman"/>
          <w:noProof/>
          <w:sz w:val="24"/>
          <w:szCs w:val="24"/>
          <w:lang w:val="en-GB"/>
        </w:rPr>
        <w:t>legislative acts</w:t>
      </w:r>
      <w:r w:rsidRPr="0036474B">
        <w:rPr>
          <w:rFonts w:ascii="Times New Roman" w:hAnsi="Times New Roman" w:cs="Times New Roman"/>
          <w:noProof/>
          <w:sz w:val="24"/>
          <w:szCs w:val="24"/>
          <w:lang w:val="en-GB"/>
        </w:rPr>
        <w:t xml:space="preserve"> (Directives, Regulations) and secondary </w:t>
      </w:r>
      <w:r w:rsidR="64C8315A" w:rsidRPr="0036474B">
        <w:rPr>
          <w:rFonts w:ascii="Times New Roman" w:hAnsi="Times New Roman" w:cs="Times New Roman"/>
          <w:noProof/>
          <w:sz w:val="24"/>
          <w:szCs w:val="24"/>
          <w:lang w:val="en-GB"/>
        </w:rPr>
        <w:t xml:space="preserve">acts </w:t>
      </w:r>
      <w:r w:rsidRPr="0036474B">
        <w:rPr>
          <w:rFonts w:ascii="Times New Roman" w:hAnsi="Times New Roman" w:cs="Times New Roman"/>
          <w:noProof/>
          <w:sz w:val="24"/>
          <w:szCs w:val="24"/>
          <w:lang w:val="en-GB"/>
        </w:rPr>
        <w:t>(Delegated and Implementing Regulations) are numerous and often very prescriptive. With 3 main Directives and 3 main Regulations</w:t>
      </w:r>
      <w:r w:rsidR="00452FFB" w:rsidRPr="0036474B">
        <w:rPr>
          <w:rStyle w:val="FootnoteReference"/>
          <w:rFonts w:ascii="Times New Roman" w:hAnsi="Times New Roman" w:cs="Times New Roman"/>
          <w:noProof/>
          <w:sz w:val="24"/>
          <w:szCs w:val="24"/>
          <w:lang w:val="en-GB"/>
        </w:rPr>
        <w:footnoteReference w:id="84"/>
      </w:r>
      <w:r w:rsidRPr="0036474B">
        <w:rPr>
          <w:rFonts w:ascii="Times New Roman" w:hAnsi="Times New Roman" w:cs="Times New Roman"/>
          <w:noProof/>
          <w:sz w:val="24"/>
          <w:szCs w:val="24"/>
          <w:lang w:val="en-GB"/>
        </w:rPr>
        <w:t xml:space="preserve">, EU </w:t>
      </w:r>
      <w:r w:rsidR="64C8315A" w:rsidRPr="0036474B">
        <w:rPr>
          <w:rFonts w:ascii="Times New Roman" w:hAnsi="Times New Roman" w:cs="Times New Roman"/>
          <w:noProof/>
          <w:sz w:val="24"/>
          <w:szCs w:val="24"/>
          <w:lang w:val="en-GB"/>
        </w:rPr>
        <w:t>legislative acts</w:t>
      </w:r>
      <w:r w:rsidRPr="0036474B">
        <w:rPr>
          <w:rFonts w:ascii="Times New Roman" w:hAnsi="Times New Roman" w:cs="Times New Roman"/>
          <w:noProof/>
          <w:sz w:val="24"/>
          <w:szCs w:val="24"/>
          <w:lang w:val="en-GB"/>
        </w:rPr>
        <w:t xml:space="preserve"> in the area of banking regulation have reached an unprecedented level of coverage</w:t>
      </w:r>
      <w:r w:rsidR="00E73421">
        <w:rPr>
          <w:rFonts w:ascii="Times New Roman" w:hAnsi="Times New Roman" w:cs="Times New Roman"/>
          <w:noProof/>
          <w:sz w:val="24"/>
          <w:szCs w:val="24"/>
          <w:lang w:val="en-GB"/>
        </w:rPr>
        <w:t xml:space="preserve"> and granularity</w:t>
      </w:r>
      <w:r w:rsidRPr="0036474B">
        <w:rPr>
          <w:rFonts w:ascii="Times New Roman" w:hAnsi="Times New Roman" w:cs="Times New Roman"/>
          <w:noProof/>
          <w:sz w:val="24"/>
          <w:szCs w:val="24"/>
          <w:lang w:val="en-GB"/>
        </w:rPr>
        <w:t xml:space="preserve">, in Level 1. The complexity of the rules also leads to introduction of additional </w:t>
      </w:r>
      <w:r w:rsidR="319DA4C5" w:rsidRPr="0036474B">
        <w:rPr>
          <w:rFonts w:ascii="Times New Roman" w:hAnsi="Times New Roman" w:cs="Times New Roman"/>
          <w:noProof/>
          <w:sz w:val="24"/>
          <w:szCs w:val="24"/>
          <w:lang w:val="en-GB"/>
        </w:rPr>
        <w:t>empowerments</w:t>
      </w:r>
      <w:r w:rsidRPr="0036474B">
        <w:rPr>
          <w:rFonts w:ascii="Times New Roman" w:hAnsi="Times New Roman" w:cs="Times New Roman"/>
          <w:noProof/>
          <w:sz w:val="24"/>
          <w:szCs w:val="24"/>
          <w:lang w:val="en-GB"/>
        </w:rPr>
        <w:t xml:space="preserve"> for </w:t>
      </w:r>
      <w:r w:rsidR="009F4A3C">
        <w:rPr>
          <w:rFonts w:ascii="Times New Roman" w:hAnsi="Times New Roman" w:cs="Times New Roman"/>
          <w:noProof/>
          <w:sz w:val="24"/>
          <w:szCs w:val="24"/>
          <w:lang w:val="en-GB"/>
        </w:rPr>
        <w:t xml:space="preserve">a high number of </w:t>
      </w:r>
      <w:r w:rsidRPr="0036474B">
        <w:rPr>
          <w:rFonts w:ascii="Times New Roman" w:hAnsi="Times New Roman" w:cs="Times New Roman"/>
          <w:noProof/>
          <w:sz w:val="24"/>
          <w:szCs w:val="24"/>
          <w:lang w:val="en-GB"/>
        </w:rPr>
        <w:t>Level 2 acts</w:t>
      </w:r>
      <w:r w:rsidR="008F04E2">
        <w:rPr>
          <w:rFonts w:ascii="Times New Roman" w:hAnsi="Times New Roman" w:cs="Times New Roman"/>
          <w:noProof/>
          <w:sz w:val="24"/>
          <w:szCs w:val="24"/>
          <w:lang w:val="en-GB"/>
        </w:rPr>
        <w:t xml:space="preserve"> (more than 100 in the latest Banking Package alone)</w:t>
      </w:r>
      <w:r w:rsidR="3D9A2790" w:rsidRPr="0036474B">
        <w:rPr>
          <w:rFonts w:ascii="Times New Roman" w:hAnsi="Times New Roman" w:cs="Times New Roman"/>
          <w:noProof/>
          <w:sz w:val="24"/>
          <w:szCs w:val="24"/>
          <w:lang w:val="en-GB"/>
        </w:rPr>
        <w:t xml:space="preserve">, requiring </w:t>
      </w:r>
      <w:r w:rsidR="31F57928" w:rsidRPr="0036474B">
        <w:rPr>
          <w:rFonts w:ascii="Times New Roman" w:hAnsi="Times New Roman" w:cs="Times New Roman"/>
          <w:noProof/>
          <w:sz w:val="24"/>
          <w:szCs w:val="24"/>
          <w:lang w:val="en-GB"/>
        </w:rPr>
        <w:t xml:space="preserve">important efforts to ensure that the framework can be </w:t>
      </w:r>
      <w:r w:rsidR="319DA4C5" w:rsidRPr="0036474B">
        <w:rPr>
          <w:rFonts w:ascii="Times New Roman" w:hAnsi="Times New Roman" w:cs="Times New Roman"/>
          <w:noProof/>
          <w:sz w:val="24"/>
          <w:szCs w:val="24"/>
          <w:lang w:val="en-GB"/>
        </w:rPr>
        <w:t>developed</w:t>
      </w:r>
      <w:r w:rsidR="31F57928" w:rsidRPr="0036474B">
        <w:rPr>
          <w:rFonts w:ascii="Times New Roman" w:hAnsi="Times New Roman" w:cs="Times New Roman"/>
          <w:noProof/>
          <w:sz w:val="24"/>
          <w:szCs w:val="24"/>
          <w:lang w:val="en-GB"/>
        </w:rPr>
        <w:t xml:space="preserve"> on time and implemented as intended</w:t>
      </w:r>
      <w:r w:rsidR="001F1AB5" w:rsidRPr="0036474B">
        <w:rPr>
          <w:rStyle w:val="FootnoteReference"/>
          <w:rFonts w:ascii="Times New Roman" w:hAnsi="Times New Roman" w:cs="Times New Roman"/>
          <w:noProof/>
          <w:sz w:val="24"/>
          <w:szCs w:val="24"/>
          <w:lang w:val="en-GB"/>
        </w:rPr>
        <w:footnoteReference w:id="85"/>
      </w:r>
      <w:r w:rsidRPr="0036474B">
        <w:rPr>
          <w:rFonts w:ascii="Times New Roman" w:hAnsi="Times New Roman" w:cs="Times New Roman"/>
          <w:noProof/>
          <w:sz w:val="24"/>
          <w:szCs w:val="24"/>
          <w:lang w:val="en-GB"/>
        </w:rPr>
        <w:t xml:space="preserve">. In the financial services legislation at large, 430 </w:t>
      </w:r>
      <w:r w:rsidR="319DA4C5" w:rsidRPr="0036474B">
        <w:rPr>
          <w:rFonts w:ascii="Times New Roman" w:hAnsi="Times New Roman" w:cs="Times New Roman"/>
          <w:noProof/>
          <w:sz w:val="24"/>
          <w:szCs w:val="24"/>
          <w:lang w:val="en-GB"/>
        </w:rPr>
        <w:t>empowerments</w:t>
      </w:r>
      <w:r w:rsidRPr="0036474B">
        <w:rPr>
          <w:rFonts w:ascii="Times New Roman" w:hAnsi="Times New Roman" w:cs="Times New Roman"/>
          <w:noProof/>
          <w:sz w:val="24"/>
          <w:szCs w:val="24"/>
          <w:lang w:val="en-GB"/>
        </w:rPr>
        <w:t xml:space="preserve"> have been added solely for the 2019-2024 legislature</w:t>
      </w:r>
      <w:r w:rsidR="00452FFB" w:rsidRPr="0036474B">
        <w:rPr>
          <w:rStyle w:val="FootnoteReference"/>
          <w:rFonts w:ascii="Times New Roman" w:hAnsi="Times New Roman" w:cs="Times New Roman"/>
          <w:noProof/>
          <w:sz w:val="24"/>
          <w:szCs w:val="24"/>
          <w:lang w:val="en-GB"/>
        </w:rPr>
        <w:footnoteReference w:id="86"/>
      </w:r>
      <w:r w:rsidR="00E73421">
        <w:rPr>
          <w:rFonts w:ascii="Times New Roman" w:hAnsi="Times New Roman" w:cs="Times New Roman"/>
          <w:noProof/>
          <w:sz w:val="24"/>
          <w:szCs w:val="24"/>
          <w:lang w:val="en-GB"/>
        </w:rPr>
        <w:t xml:space="preserve"> (and 115 deprioritised</w:t>
      </w:r>
      <w:r w:rsidR="004B2728">
        <w:rPr>
          <w:rFonts w:ascii="Times New Roman" w:hAnsi="Times New Roman" w:cs="Times New Roman"/>
          <w:noProof/>
          <w:sz w:val="24"/>
          <w:szCs w:val="24"/>
          <w:lang w:val="en-GB"/>
        </w:rPr>
        <w:t>)</w:t>
      </w:r>
      <w:r w:rsidRPr="0036474B">
        <w:rPr>
          <w:rFonts w:ascii="Times New Roman" w:hAnsi="Times New Roman" w:cs="Times New Roman"/>
          <w:noProof/>
          <w:sz w:val="24"/>
          <w:szCs w:val="24"/>
          <w:lang w:val="en-GB"/>
        </w:rPr>
        <w:t>.</w:t>
      </w:r>
      <w:r w:rsidR="272787F3" w:rsidRPr="0036474B">
        <w:rPr>
          <w:rFonts w:ascii="Times New Roman" w:hAnsi="Times New Roman" w:cs="Times New Roman"/>
          <w:noProof/>
          <w:sz w:val="24"/>
          <w:szCs w:val="24"/>
          <w:lang w:val="en-GB"/>
        </w:rPr>
        <w:t xml:space="preserve"> </w:t>
      </w:r>
      <w:r w:rsidR="272787F3" w:rsidRPr="0036474B">
        <w:rPr>
          <w:rFonts w:ascii="Times New Roman" w:hAnsi="Times New Roman" w:cs="Times New Roman"/>
          <w:noProof/>
          <w:sz w:val="24"/>
          <w:szCs w:val="24"/>
        </w:rPr>
        <w:t>The banking framework also interacts with other EU regulations, including ESG reporting or digital operational resilience (DORA) that amplify</w:t>
      </w:r>
      <w:r w:rsidR="1D45C2CA" w:rsidRPr="0036474B">
        <w:rPr>
          <w:rFonts w:ascii="Times New Roman" w:hAnsi="Times New Roman" w:cs="Times New Roman"/>
          <w:noProof/>
          <w:sz w:val="24"/>
          <w:szCs w:val="24"/>
        </w:rPr>
        <w:t xml:space="preserve"> the impact of</w:t>
      </w:r>
      <w:r w:rsidR="45CA177F" w:rsidRPr="0036474B">
        <w:rPr>
          <w:rFonts w:ascii="Times New Roman" w:hAnsi="Times New Roman" w:cs="Times New Roman"/>
          <w:noProof/>
          <w:sz w:val="24"/>
          <w:szCs w:val="24"/>
        </w:rPr>
        <w:t xml:space="preserve"> </w:t>
      </w:r>
      <w:r w:rsidR="520A41F7" w:rsidRPr="0036474B">
        <w:rPr>
          <w:rFonts w:ascii="Times New Roman" w:hAnsi="Times New Roman" w:cs="Times New Roman"/>
          <w:noProof/>
          <w:sz w:val="24"/>
          <w:szCs w:val="24"/>
        </w:rPr>
        <w:t>this accumulation of rules</w:t>
      </w:r>
      <w:r w:rsidR="00DE4890">
        <w:rPr>
          <w:rStyle w:val="FootnoteReference"/>
          <w:rFonts w:ascii="Times New Roman" w:hAnsi="Times New Roman" w:cs="Times New Roman"/>
          <w:noProof/>
          <w:sz w:val="24"/>
          <w:szCs w:val="24"/>
        </w:rPr>
        <w:footnoteReference w:id="87"/>
      </w:r>
      <w:r w:rsidR="272787F3" w:rsidRPr="0036474B">
        <w:rPr>
          <w:rFonts w:ascii="Times New Roman" w:hAnsi="Times New Roman" w:cs="Times New Roman"/>
          <w:noProof/>
          <w:sz w:val="24"/>
          <w:szCs w:val="24"/>
        </w:rPr>
        <w:t>.</w:t>
      </w:r>
    </w:p>
    <w:p w14:paraId="2806F146" w14:textId="46C41D46" w:rsidR="008C6F3A" w:rsidRPr="0036474B" w:rsidRDefault="00452FFB" w:rsidP="00F24838">
      <w:pPr>
        <w:jc w:val="both"/>
        <w:rPr>
          <w:rFonts w:ascii="Times New Roman" w:hAnsi="Times New Roman" w:cs="Times New Roman"/>
          <w:noProof/>
          <w:kern w:val="2"/>
          <w:sz w:val="24"/>
          <w:szCs w:val="24"/>
          <w:lang w:val="en-GB"/>
          <w14:ligatures w14:val="standardContextual"/>
        </w:rPr>
      </w:pPr>
      <w:r w:rsidRPr="0036474B">
        <w:rPr>
          <w:rFonts w:ascii="Times New Roman" w:hAnsi="Times New Roman" w:cs="Times New Roman"/>
          <w:noProof/>
          <w:sz w:val="24"/>
          <w:szCs w:val="24"/>
          <w:lang w:val="en-GB"/>
        </w:rPr>
        <w:t>In addition, Level 3 guidance (Guidelines and reports, authorities’ guidance)</w:t>
      </w:r>
      <w:r w:rsidR="00357417">
        <w:rPr>
          <w:rFonts w:ascii="Times New Roman" w:hAnsi="Times New Roman" w:cs="Times New Roman"/>
          <w:noProof/>
          <w:sz w:val="24"/>
          <w:szCs w:val="24"/>
          <w:lang w:val="en-GB"/>
        </w:rPr>
        <w:t>, which</w:t>
      </w:r>
      <w:r w:rsidR="005F37DB">
        <w:rPr>
          <w:rFonts w:ascii="Times New Roman" w:hAnsi="Times New Roman" w:cs="Times New Roman"/>
          <w:noProof/>
          <w:sz w:val="24"/>
          <w:szCs w:val="24"/>
          <w:lang w:val="en-GB"/>
        </w:rPr>
        <w:t xml:space="preserve"> can be developed on the authorities’ own initiative</w:t>
      </w:r>
      <w:r w:rsidR="004B2728">
        <w:rPr>
          <w:rFonts w:ascii="Times New Roman" w:hAnsi="Times New Roman" w:cs="Times New Roman"/>
          <w:noProof/>
          <w:sz w:val="24"/>
          <w:szCs w:val="24"/>
          <w:lang w:val="en-GB"/>
        </w:rPr>
        <w:t xml:space="preserve"> to ensure harmonised implementation of the EU rules or to limit discretion</w:t>
      </w:r>
      <w:r w:rsidR="00F367D6" w:rsidRPr="00F367D6">
        <w:rPr>
          <w:rFonts w:ascii="Times New Roman" w:hAnsi="Times New Roman" w:cs="Times New Roman"/>
          <w:noProof/>
          <w:kern w:val="2"/>
          <w:sz w:val="24"/>
          <w:szCs w:val="24"/>
          <w:lang w:val="en-GB"/>
          <w14:ligatures w14:val="standardContextual"/>
        </w:rPr>
        <w:t xml:space="preserve"> </w:t>
      </w:r>
      <w:r w:rsidR="00F367D6">
        <w:rPr>
          <w:rFonts w:ascii="Times New Roman" w:hAnsi="Times New Roman" w:cs="Times New Roman"/>
          <w:noProof/>
          <w:kern w:val="2"/>
          <w:sz w:val="24"/>
          <w:szCs w:val="24"/>
          <w:lang w:val="en-GB"/>
          <w14:ligatures w14:val="standardContextual"/>
        </w:rPr>
        <w:t>and ensure a level playing field</w:t>
      </w:r>
      <w:r w:rsidR="00E11179">
        <w:rPr>
          <w:rFonts w:ascii="Times New Roman" w:hAnsi="Times New Roman" w:cs="Times New Roman"/>
          <w:noProof/>
          <w:sz w:val="24"/>
          <w:szCs w:val="24"/>
          <w:lang w:val="en-GB"/>
        </w:rPr>
        <w:t>,</w:t>
      </w:r>
      <w:r w:rsidRPr="0036474B">
        <w:rPr>
          <w:rFonts w:ascii="Times New Roman" w:hAnsi="Times New Roman" w:cs="Times New Roman"/>
          <w:noProof/>
          <w:sz w:val="24"/>
          <w:szCs w:val="24"/>
          <w:lang w:val="en-GB"/>
        </w:rPr>
        <w:t xml:space="preserve"> is often used and perceived as binding to a similar extent as EU law.</w:t>
      </w:r>
      <w:r w:rsidRPr="0036474B">
        <w:rPr>
          <w:rFonts w:ascii="Times New Roman" w:hAnsi="Times New Roman" w:cs="Times New Roman"/>
          <w:noProof/>
          <w:kern w:val="2"/>
          <w:sz w:val="24"/>
          <w:szCs w:val="24"/>
          <w:lang w:val="en-GB"/>
          <w14:ligatures w14:val="standardContextual"/>
        </w:rPr>
        <w:t xml:space="preserve"> While guidance should contribute to the maturity of the prudential framework and ensure clarity, homogeneity and a level playing field in terms of implementation, their degree of detail and prescriptiveness can often be seen as counterproductive.</w:t>
      </w:r>
      <w:r w:rsidR="00404538" w:rsidRPr="0036474B">
        <w:rPr>
          <w:rFonts w:ascii="Times New Roman" w:hAnsi="Times New Roman" w:cs="Times New Roman"/>
          <w:noProof/>
          <w:kern w:val="2"/>
          <w:sz w:val="24"/>
          <w:szCs w:val="24"/>
          <w:lang w:val="en-GB"/>
          <w14:ligatures w14:val="standardContextual"/>
        </w:rPr>
        <w:t xml:space="preserve"> </w:t>
      </w:r>
    </w:p>
    <w:p w14:paraId="5D45B590" w14:textId="2AA8C7D5" w:rsidR="00BB3E92" w:rsidRPr="0036474B" w:rsidRDefault="00F223A3" w:rsidP="00F24838">
      <w:pPr>
        <w:jc w:val="both"/>
        <w:rPr>
          <w:rFonts w:ascii="Times New Roman" w:hAnsi="Times New Roman" w:cs="Times New Roman"/>
          <w:noProof/>
          <w:kern w:val="2"/>
          <w:sz w:val="24"/>
          <w:szCs w:val="24"/>
          <w:lang w:val="en-GB"/>
          <w14:ligatures w14:val="standardContextual"/>
        </w:rPr>
      </w:pPr>
      <w:r w:rsidRPr="0036474B">
        <w:rPr>
          <w:rFonts w:ascii="Times New Roman" w:hAnsi="Times New Roman" w:cs="Times New Roman"/>
          <w:noProof/>
          <w:kern w:val="2"/>
          <w:sz w:val="24"/>
          <w:szCs w:val="24"/>
          <w:lang w:val="en-GB"/>
          <w14:ligatures w14:val="standardContextual"/>
        </w:rPr>
        <w:t>Recurrent</w:t>
      </w:r>
      <w:r w:rsidR="00404538" w:rsidRPr="0036474B">
        <w:rPr>
          <w:rFonts w:ascii="Times New Roman" w:hAnsi="Times New Roman" w:cs="Times New Roman"/>
          <w:noProof/>
          <w:kern w:val="2"/>
          <w:sz w:val="24"/>
          <w:szCs w:val="24"/>
          <w:lang w:val="en-GB"/>
          <w14:ligatures w14:val="standardContextual"/>
        </w:rPr>
        <w:t xml:space="preserve"> issues </w:t>
      </w:r>
      <w:r w:rsidR="004B018F" w:rsidRPr="0036474B">
        <w:rPr>
          <w:rFonts w:ascii="Times New Roman" w:hAnsi="Times New Roman" w:cs="Times New Roman"/>
          <w:noProof/>
          <w:kern w:val="2"/>
          <w:sz w:val="24"/>
          <w:szCs w:val="24"/>
          <w:lang w:val="en-GB"/>
          <w14:ligatures w14:val="standardContextual"/>
        </w:rPr>
        <w:t xml:space="preserve">include: </w:t>
      </w:r>
    </w:p>
    <w:p w14:paraId="67F01733" w14:textId="3E0A928D" w:rsidR="004B67D2" w:rsidRPr="0036474B" w:rsidRDefault="1A21F693" w:rsidP="00022822">
      <w:pPr>
        <w:pStyle w:val="ListParagraph"/>
        <w:numPr>
          <w:ilvl w:val="0"/>
          <w:numId w:val="13"/>
        </w:numPr>
        <w:spacing w:after="120"/>
        <w:ind w:left="714" w:hanging="357"/>
        <w:contextualSpacing w:val="0"/>
        <w:jc w:val="both"/>
        <w:rPr>
          <w:rFonts w:ascii="Times New Roman" w:hAnsi="Times New Roman" w:cs="Times New Roman"/>
          <w:noProof/>
          <w:kern w:val="2"/>
          <w:sz w:val="24"/>
          <w:szCs w:val="24"/>
          <w:lang w:val="en-GB"/>
          <w14:ligatures w14:val="standardContextual"/>
        </w:rPr>
      </w:pPr>
      <w:r w:rsidRPr="0036474B">
        <w:rPr>
          <w:rFonts w:ascii="Times New Roman" w:hAnsi="Times New Roman" w:cs="Times New Roman"/>
          <w:noProof/>
          <w:kern w:val="2"/>
          <w:sz w:val="24"/>
          <w:szCs w:val="24"/>
          <w:lang w:val="en-GB"/>
          <w14:ligatures w14:val="standardContextual"/>
        </w:rPr>
        <w:t xml:space="preserve">The nature of such guidance is debated: while guidelines are not legally binding, the ‘comply or explain’ mechanism, combined with public disclosure of non-compliance, creates pressure on authorities to adhere to them. This, in turn, forces banks to follow the guidelines ad litteram, as Union law is silent on which would be the consequences for banks breaching </w:t>
      </w:r>
      <w:r w:rsidR="1EA6C632" w:rsidRPr="0036474B">
        <w:rPr>
          <w:rFonts w:ascii="Times New Roman" w:hAnsi="Times New Roman" w:cs="Times New Roman"/>
          <w:noProof/>
          <w:kern w:val="2"/>
          <w:sz w:val="24"/>
          <w:szCs w:val="24"/>
          <w:lang w:val="en-GB"/>
          <w14:ligatures w14:val="standardContextual"/>
        </w:rPr>
        <w:t>guideline</w:t>
      </w:r>
      <w:r w:rsidRPr="0036474B">
        <w:rPr>
          <w:rFonts w:ascii="Times New Roman" w:hAnsi="Times New Roman" w:cs="Times New Roman"/>
          <w:noProof/>
          <w:kern w:val="2"/>
          <w:sz w:val="24"/>
          <w:szCs w:val="24"/>
          <w:lang w:val="en-GB"/>
          <w14:ligatures w14:val="standardContextual"/>
        </w:rPr>
        <w:t xml:space="preserve"> provisions (</w:t>
      </w:r>
      <w:r>
        <w:rPr>
          <w:rFonts w:ascii="Times New Roman" w:hAnsi="Times New Roman" w:cs="Times New Roman"/>
          <w:noProof/>
          <w:kern w:val="2"/>
          <w:sz w:val="24"/>
          <w:szCs w:val="24"/>
          <w:lang w:val="en-GB"/>
          <w14:ligatures w14:val="standardContextual"/>
        </w:rPr>
        <w:t xml:space="preserve">not following </w:t>
      </w:r>
      <w:r w:rsidRPr="0036474B">
        <w:rPr>
          <w:rFonts w:ascii="Times New Roman" w:hAnsi="Times New Roman" w:cs="Times New Roman"/>
          <w:noProof/>
          <w:kern w:val="2"/>
          <w:sz w:val="24"/>
          <w:szCs w:val="24"/>
          <w:lang w:val="en-GB"/>
          <w14:ligatures w14:val="standardContextual"/>
        </w:rPr>
        <w:t xml:space="preserve">a guideline, for a bank, </w:t>
      </w:r>
      <w:r>
        <w:rPr>
          <w:rFonts w:ascii="Times New Roman" w:hAnsi="Times New Roman" w:cs="Times New Roman"/>
          <w:noProof/>
          <w:kern w:val="2"/>
          <w:sz w:val="24"/>
          <w:szCs w:val="24"/>
          <w:lang w:val="en-GB"/>
          <w14:ligatures w14:val="standardContextual"/>
        </w:rPr>
        <w:t>may increase the risk of non-compliance and of sanctions</w:t>
      </w:r>
      <w:r w:rsidRPr="0036474B">
        <w:rPr>
          <w:rFonts w:ascii="Times New Roman" w:hAnsi="Times New Roman" w:cs="Times New Roman"/>
          <w:noProof/>
          <w:kern w:val="2"/>
          <w:sz w:val="24"/>
          <w:szCs w:val="24"/>
          <w:lang w:val="en-GB"/>
          <w14:ligatures w14:val="standardContextual"/>
        </w:rPr>
        <w:t>)</w:t>
      </w:r>
      <w:r w:rsidR="001803CB" w:rsidRPr="0036474B">
        <w:rPr>
          <w:rStyle w:val="FootnoteReference"/>
          <w:rFonts w:ascii="Times New Roman" w:hAnsi="Times New Roman" w:cs="Times New Roman"/>
          <w:noProof/>
          <w:kern w:val="2"/>
          <w:sz w:val="24"/>
          <w:szCs w:val="24"/>
          <w:lang w:val="en-GB"/>
          <w14:ligatures w14:val="standardContextual"/>
        </w:rPr>
        <w:footnoteReference w:id="88"/>
      </w:r>
      <w:r w:rsidRPr="0036474B">
        <w:rPr>
          <w:rFonts w:ascii="Times New Roman" w:hAnsi="Times New Roman" w:cs="Times New Roman"/>
          <w:noProof/>
          <w:kern w:val="2"/>
          <w:sz w:val="24"/>
          <w:szCs w:val="24"/>
          <w:lang w:val="en-GB"/>
          <w14:ligatures w14:val="standardContextual"/>
        </w:rPr>
        <w:t>.</w:t>
      </w:r>
    </w:p>
    <w:p w14:paraId="64183175" w14:textId="042B4F85" w:rsidR="004061EC" w:rsidRPr="0036474B" w:rsidRDefault="004061EC" w:rsidP="00022822">
      <w:pPr>
        <w:pStyle w:val="ListParagraph"/>
        <w:numPr>
          <w:ilvl w:val="0"/>
          <w:numId w:val="13"/>
        </w:numPr>
        <w:spacing w:after="120"/>
        <w:ind w:left="714" w:hanging="357"/>
        <w:contextualSpacing w:val="0"/>
        <w:jc w:val="both"/>
        <w:rPr>
          <w:rFonts w:ascii="Times New Roman" w:hAnsi="Times New Roman" w:cs="Times New Roman"/>
          <w:noProof/>
          <w:kern w:val="2"/>
          <w:sz w:val="24"/>
          <w:szCs w:val="24"/>
          <w:lang w:val="en-GB"/>
          <w14:ligatures w14:val="standardContextual"/>
        </w:rPr>
      </w:pPr>
      <w:r w:rsidRPr="0036474B">
        <w:rPr>
          <w:rFonts w:ascii="Times New Roman" w:hAnsi="Times New Roman" w:cs="Times New Roman"/>
          <w:noProof/>
          <w:sz w:val="24"/>
          <w:szCs w:val="24"/>
          <w:lang w:val="en-GB"/>
        </w:rPr>
        <w:t>Authorities who have declared compliance with a guideline can in any event supplement it with additional measures nationally. This reduces convergence instead of fostering it.</w:t>
      </w:r>
    </w:p>
    <w:p w14:paraId="431ECE21" w14:textId="43AA5E9A" w:rsidR="004061EC" w:rsidRPr="0036474B" w:rsidRDefault="002B3D9E" w:rsidP="00022822">
      <w:pPr>
        <w:pStyle w:val="ListParagraph"/>
        <w:numPr>
          <w:ilvl w:val="0"/>
          <w:numId w:val="13"/>
        </w:numPr>
        <w:spacing w:after="120"/>
        <w:ind w:left="714" w:hanging="357"/>
        <w:contextualSpacing w:val="0"/>
        <w:jc w:val="both"/>
        <w:rPr>
          <w:rFonts w:ascii="Times New Roman" w:hAnsi="Times New Roman" w:cs="Times New Roman"/>
          <w:noProof/>
          <w:kern w:val="2"/>
          <w:sz w:val="24"/>
          <w:szCs w:val="24"/>
          <w:lang w:val="en-GB"/>
          <w14:ligatures w14:val="standardContextual"/>
        </w:rPr>
      </w:pPr>
      <w:r w:rsidRPr="0036474B">
        <w:rPr>
          <w:rFonts w:ascii="Times New Roman" w:hAnsi="Times New Roman" w:cs="Times New Roman"/>
          <w:noProof/>
          <w:sz w:val="24"/>
          <w:szCs w:val="24"/>
          <w:lang w:val="en-GB"/>
        </w:rPr>
        <w:t xml:space="preserve">In so far as the Banking Union is concerned, there </w:t>
      </w:r>
      <w:r w:rsidRPr="0036474B">
        <w:rPr>
          <w:rFonts w:ascii="Times New Roman" w:hAnsi="Times New Roman" w:cs="Times New Roman"/>
          <w:noProof/>
          <w:sz w:val="24"/>
          <w:szCs w:val="24"/>
        </w:rPr>
        <w:t xml:space="preserve">are </w:t>
      </w:r>
      <w:r w:rsidR="00BA2481">
        <w:rPr>
          <w:rFonts w:ascii="Times New Roman" w:hAnsi="Times New Roman" w:cs="Times New Roman"/>
          <w:noProof/>
          <w:sz w:val="24"/>
          <w:szCs w:val="24"/>
        </w:rPr>
        <w:t>de</w:t>
      </w:r>
      <w:r w:rsidR="00BA2481" w:rsidRPr="0036474B">
        <w:rPr>
          <w:rFonts w:ascii="Times New Roman" w:hAnsi="Times New Roman" w:cs="Times New Roman"/>
          <w:noProof/>
          <w:sz w:val="24"/>
          <w:szCs w:val="24"/>
        </w:rPr>
        <w:t xml:space="preserve"> </w:t>
      </w:r>
      <w:r w:rsidRPr="0036474B">
        <w:rPr>
          <w:rFonts w:ascii="Times New Roman" w:hAnsi="Times New Roman" w:cs="Times New Roman"/>
          <w:noProof/>
          <w:sz w:val="24"/>
          <w:szCs w:val="24"/>
        </w:rPr>
        <w:t xml:space="preserve">facto two comply-or-explain </w:t>
      </w:r>
      <w:r>
        <w:rPr>
          <w:rFonts w:ascii="Times New Roman" w:hAnsi="Times New Roman" w:cs="Times New Roman"/>
          <w:noProof/>
          <w:sz w:val="24"/>
          <w:szCs w:val="24"/>
        </w:rPr>
        <w:t xml:space="preserve">mechanisms </w:t>
      </w:r>
      <w:r w:rsidRPr="0036474B">
        <w:rPr>
          <w:rFonts w:ascii="Times New Roman" w:hAnsi="Times New Roman" w:cs="Times New Roman"/>
          <w:noProof/>
          <w:sz w:val="24"/>
          <w:szCs w:val="24"/>
        </w:rPr>
        <w:t xml:space="preserve">per Member State: one by the </w:t>
      </w:r>
      <w:r w:rsidR="00F223A3" w:rsidRPr="0036474B">
        <w:rPr>
          <w:rFonts w:ascii="Times New Roman" w:hAnsi="Times New Roman" w:cs="Times New Roman"/>
          <w:noProof/>
          <w:sz w:val="24"/>
          <w:szCs w:val="24"/>
        </w:rPr>
        <w:t>E</w:t>
      </w:r>
      <w:r w:rsidRPr="0036474B">
        <w:rPr>
          <w:rFonts w:ascii="Times New Roman" w:hAnsi="Times New Roman" w:cs="Times New Roman"/>
          <w:noProof/>
          <w:sz w:val="24"/>
          <w:szCs w:val="24"/>
        </w:rPr>
        <w:t>uropean authority</w:t>
      </w:r>
      <w:r w:rsidR="00DC49AE" w:rsidRPr="0036474B">
        <w:rPr>
          <w:rFonts w:ascii="Times New Roman" w:hAnsi="Times New Roman" w:cs="Times New Roman"/>
          <w:noProof/>
          <w:sz w:val="24"/>
          <w:szCs w:val="24"/>
        </w:rPr>
        <w:t xml:space="preserve"> (</w:t>
      </w:r>
      <w:r w:rsidRPr="0036474B">
        <w:rPr>
          <w:rFonts w:ascii="Times New Roman" w:hAnsi="Times New Roman" w:cs="Times New Roman"/>
          <w:noProof/>
          <w:sz w:val="24"/>
          <w:szCs w:val="24"/>
        </w:rPr>
        <w:t>ECB</w:t>
      </w:r>
      <w:r w:rsidR="00DC49AE" w:rsidRPr="0036474B">
        <w:rPr>
          <w:rFonts w:ascii="Times New Roman" w:hAnsi="Times New Roman" w:cs="Times New Roman"/>
          <w:noProof/>
          <w:sz w:val="24"/>
          <w:szCs w:val="24"/>
        </w:rPr>
        <w:t xml:space="preserve"> and SRB)</w:t>
      </w:r>
      <w:r w:rsidRPr="0036474B">
        <w:rPr>
          <w:rFonts w:ascii="Times New Roman" w:hAnsi="Times New Roman" w:cs="Times New Roman"/>
          <w:noProof/>
          <w:sz w:val="24"/>
          <w:szCs w:val="24"/>
        </w:rPr>
        <w:t xml:space="preserve"> for </w:t>
      </w:r>
      <w:r w:rsidR="00DC49AE" w:rsidRPr="0036474B">
        <w:rPr>
          <w:rFonts w:ascii="Times New Roman" w:hAnsi="Times New Roman" w:cs="Times New Roman"/>
          <w:noProof/>
          <w:sz w:val="24"/>
          <w:szCs w:val="24"/>
        </w:rPr>
        <w:t xml:space="preserve">banks in their remit, </w:t>
      </w:r>
      <w:r w:rsidRPr="0036474B">
        <w:rPr>
          <w:rFonts w:ascii="Times New Roman" w:hAnsi="Times New Roman" w:cs="Times New Roman"/>
          <w:noProof/>
          <w:sz w:val="24"/>
          <w:szCs w:val="24"/>
        </w:rPr>
        <w:t xml:space="preserve">and a second one by the </w:t>
      </w:r>
      <w:r w:rsidR="00DC49AE" w:rsidRPr="0036474B">
        <w:rPr>
          <w:rFonts w:ascii="Times New Roman" w:hAnsi="Times New Roman" w:cs="Times New Roman"/>
          <w:noProof/>
          <w:sz w:val="24"/>
          <w:szCs w:val="24"/>
        </w:rPr>
        <w:t>national authority for the rest of the banks</w:t>
      </w:r>
      <w:r w:rsidRPr="0036474B">
        <w:rPr>
          <w:rFonts w:ascii="Times New Roman" w:hAnsi="Times New Roman" w:cs="Times New Roman"/>
          <w:noProof/>
          <w:sz w:val="24"/>
          <w:szCs w:val="24"/>
        </w:rPr>
        <w:t>, with possible inconsistencies between the two approaches</w:t>
      </w:r>
      <w:r w:rsidR="00DC49AE" w:rsidRPr="0036474B">
        <w:rPr>
          <w:rFonts w:ascii="Times New Roman" w:hAnsi="Times New Roman" w:cs="Times New Roman"/>
          <w:noProof/>
          <w:sz w:val="24"/>
          <w:szCs w:val="24"/>
        </w:rPr>
        <w:t>.</w:t>
      </w:r>
    </w:p>
    <w:p w14:paraId="32AEA690" w14:textId="305026B3" w:rsidR="00344246" w:rsidRPr="0036474B" w:rsidRDefault="00344246" w:rsidP="00F24838">
      <w:pPr>
        <w:jc w:val="both"/>
        <w:rPr>
          <w:rFonts w:ascii="Times New Roman" w:hAnsi="Times New Roman" w:cs="Times New Roman"/>
          <w:noProof/>
          <w:kern w:val="2"/>
          <w:sz w:val="24"/>
          <w:szCs w:val="24"/>
          <w:lang w:val="en-GB"/>
          <w14:ligatures w14:val="standardContextual"/>
        </w:rPr>
      </w:pPr>
      <w:r w:rsidRPr="0036474B">
        <w:rPr>
          <w:rFonts w:ascii="Times New Roman" w:hAnsi="Times New Roman" w:cs="Times New Roman"/>
          <w:noProof/>
          <w:kern w:val="2"/>
          <w:sz w:val="24"/>
          <w:szCs w:val="24"/>
          <w:lang w:val="en-GB"/>
          <w14:ligatures w14:val="standardContextual"/>
        </w:rPr>
        <w:t>T</w:t>
      </w:r>
      <w:r w:rsidR="00123246" w:rsidRPr="0036474B">
        <w:rPr>
          <w:rFonts w:ascii="Times New Roman" w:hAnsi="Times New Roman" w:cs="Times New Roman"/>
          <w:noProof/>
          <w:kern w:val="2"/>
          <w:sz w:val="24"/>
          <w:szCs w:val="24"/>
          <w:lang w:val="en-GB"/>
          <w14:ligatures w14:val="standardContextual"/>
        </w:rPr>
        <w:t>he use of Directives</w:t>
      </w:r>
      <w:r w:rsidR="009A393D" w:rsidRPr="0036474B">
        <w:rPr>
          <w:rFonts w:ascii="Times New Roman" w:hAnsi="Times New Roman" w:cs="Times New Roman"/>
          <w:noProof/>
          <w:kern w:val="2"/>
          <w:sz w:val="24"/>
          <w:szCs w:val="24"/>
          <w:lang w:val="en-GB"/>
          <w14:ligatures w14:val="standardContextual"/>
        </w:rPr>
        <w:t>,</w:t>
      </w:r>
      <w:r w:rsidR="00123246" w:rsidRPr="0036474B">
        <w:rPr>
          <w:rFonts w:ascii="Times New Roman" w:hAnsi="Times New Roman" w:cs="Times New Roman"/>
          <w:noProof/>
          <w:kern w:val="2"/>
          <w:sz w:val="24"/>
          <w:szCs w:val="24"/>
          <w:lang w:val="en-GB"/>
          <w14:ligatures w14:val="standardContextual"/>
        </w:rPr>
        <w:t xml:space="preserve"> requiring transposition in national laws</w:t>
      </w:r>
      <w:r w:rsidR="009A393D" w:rsidRPr="0036474B">
        <w:rPr>
          <w:rFonts w:ascii="Times New Roman" w:hAnsi="Times New Roman" w:cs="Times New Roman"/>
          <w:noProof/>
          <w:kern w:val="2"/>
          <w:sz w:val="24"/>
          <w:szCs w:val="24"/>
          <w:lang w:val="en-GB"/>
          <w14:ligatures w14:val="standardContextual"/>
        </w:rPr>
        <w:t>,</w:t>
      </w:r>
      <w:r w:rsidR="00123246" w:rsidRPr="0036474B">
        <w:rPr>
          <w:rFonts w:ascii="Times New Roman" w:hAnsi="Times New Roman" w:cs="Times New Roman"/>
          <w:noProof/>
          <w:kern w:val="2"/>
          <w:sz w:val="24"/>
          <w:szCs w:val="24"/>
          <w:lang w:val="en-GB"/>
          <w14:ligatures w14:val="standardContextual"/>
        </w:rPr>
        <w:t xml:space="preserve"> </w:t>
      </w:r>
      <w:r w:rsidRPr="0036474B">
        <w:rPr>
          <w:rFonts w:ascii="Times New Roman" w:hAnsi="Times New Roman" w:cs="Times New Roman"/>
          <w:noProof/>
          <w:kern w:val="2"/>
          <w:sz w:val="24"/>
          <w:szCs w:val="24"/>
          <w:lang w:val="en-GB"/>
          <w14:ligatures w14:val="standardContextual"/>
        </w:rPr>
        <w:t>is also a factor that increases complexity</w:t>
      </w:r>
      <w:r w:rsidR="009F49BF" w:rsidRPr="0036474B">
        <w:rPr>
          <w:rFonts w:ascii="Times New Roman" w:hAnsi="Times New Roman" w:cs="Times New Roman"/>
          <w:noProof/>
          <w:kern w:val="2"/>
          <w:sz w:val="24"/>
          <w:szCs w:val="24"/>
          <w:lang w:val="en-GB"/>
          <w14:ligatures w14:val="standardContextual"/>
        </w:rPr>
        <w:t xml:space="preserve"> and </w:t>
      </w:r>
      <w:r w:rsidR="00313849" w:rsidRPr="0036474B">
        <w:rPr>
          <w:rFonts w:ascii="Times New Roman" w:hAnsi="Times New Roman" w:cs="Times New Roman"/>
          <w:noProof/>
          <w:kern w:val="2"/>
          <w:sz w:val="24"/>
          <w:szCs w:val="24"/>
          <w:lang w:val="en-GB"/>
          <w14:ligatures w14:val="standardContextual"/>
        </w:rPr>
        <w:t>risks of divergent designs and applications of national laws that can</w:t>
      </w:r>
      <w:r w:rsidR="00AC28B6" w:rsidRPr="0036474B">
        <w:rPr>
          <w:rFonts w:ascii="Times New Roman" w:hAnsi="Times New Roman" w:cs="Times New Roman"/>
          <w:noProof/>
          <w:kern w:val="2"/>
          <w:sz w:val="24"/>
          <w:szCs w:val="24"/>
          <w:lang w:val="en-GB"/>
          <w14:ligatures w14:val="standardContextual"/>
        </w:rPr>
        <w:t xml:space="preserve"> ultimately, in particu</w:t>
      </w:r>
      <w:r w:rsidR="00922B9C" w:rsidRPr="0036474B">
        <w:rPr>
          <w:rFonts w:ascii="Times New Roman" w:hAnsi="Times New Roman" w:cs="Times New Roman"/>
          <w:noProof/>
          <w:kern w:val="2"/>
          <w:sz w:val="24"/>
          <w:szCs w:val="24"/>
          <w:lang w:val="en-GB"/>
          <w14:ligatures w14:val="standardContextual"/>
        </w:rPr>
        <w:t>l</w:t>
      </w:r>
      <w:r w:rsidR="00AC28B6" w:rsidRPr="0036474B">
        <w:rPr>
          <w:rFonts w:ascii="Times New Roman" w:hAnsi="Times New Roman" w:cs="Times New Roman"/>
          <w:noProof/>
          <w:kern w:val="2"/>
          <w:sz w:val="24"/>
          <w:szCs w:val="24"/>
          <w:lang w:val="en-GB"/>
          <w14:ligatures w14:val="standardContextual"/>
        </w:rPr>
        <w:t xml:space="preserve">ar for Directives of minimum harmonisation, lead to gold-plating practices. </w:t>
      </w:r>
    </w:p>
    <w:p w14:paraId="15C42782" w14:textId="6A3EBC37" w:rsidR="00F24838" w:rsidRPr="0036474B" w:rsidRDefault="006708A6" w:rsidP="00F24838">
      <w:pPr>
        <w:jc w:val="both"/>
        <w:rPr>
          <w:rFonts w:ascii="Times New Roman" w:hAnsi="Times New Roman" w:cs="Times New Roman"/>
          <w:noProof/>
          <w:kern w:val="2"/>
          <w:sz w:val="24"/>
          <w:szCs w:val="24"/>
          <w:lang w:val="en-GB"/>
          <w14:ligatures w14:val="standardContextual"/>
        </w:rPr>
      </w:pPr>
      <w:r w:rsidRPr="0036474B">
        <w:rPr>
          <w:rFonts w:ascii="Times New Roman" w:hAnsi="Times New Roman" w:cs="Times New Roman"/>
          <w:noProof/>
          <w:kern w:val="2"/>
          <w:sz w:val="24"/>
          <w:szCs w:val="24"/>
          <w:lang w:val="en-GB"/>
          <w14:ligatures w14:val="standardContextual"/>
        </w:rPr>
        <w:t xml:space="preserve">Moreover, </w:t>
      </w:r>
      <w:r w:rsidR="00F24838" w:rsidRPr="0036474B">
        <w:rPr>
          <w:rFonts w:ascii="Times New Roman" w:hAnsi="Times New Roman" w:cs="Times New Roman"/>
          <w:noProof/>
          <w:kern w:val="2"/>
          <w:sz w:val="24"/>
          <w:szCs w:val="24"/>
          <w:lang w:val="en-GB"/>
          <w14:ligatures w14:val="standardContextual"/>
        </w:rPr>
        <w:t xml:space="preserve">the governance of the requirements, i.e. the way supervisory, resolution and macro-prudential authorities tend to apply them to banks in concrete cases, can further increase complexity through additional layers of internal guidance and interpretative notices. </w:t>
      </w:r>
    </w:p>
    <w:p w14:paraId="41BCF2E6" w14:textId="7B1BF2BF" w:rsidR="00F444F5" w:rsidRPr="0036474B" w:rsidRDefault="07144E2F" w:rsidP="00F444F5">
      <w:pPr>
        <w:jc w:val="both"/>
        <w:rPr>
          <w:rFonts w:ascii="Times New Roman" w:hAnsi="Times New Roman" w:cs="Times New Roman"/>
          <w:noProof/>
          <w:kern w:val="2"/>
          <w:sz w:val="24"/>
          <w:szCs w:val="24"/>
          <w14:ligatures w14:val="standardContextual"/>
        </w:rPr>
      </w:pPr>
      <w:r w:rsidRPr="0036474B">
        <w:rPr>
          <w:rFonts w:ascii="Times New Roman" w:hAnsi="Times New Roman" w:cs="Times New Roman"/>
          <w:noProof/>
          <w:kern w:val="2"/>
          <w:sz w:val="24"/>
          <w:szCs w:val="24"/>
          <w:lang w:val="en-GB"/>
          <w14:ligatures w14:val="standardContextual"/>
        </w:rPr>
        <w:t xml:space="preserve">Due to its legal nature, and the piece-meal approach to producing and adopting legislation, the EU regulatory framework also has many internal and external cross-references that </w:t>
      </w:r>
      <w:r w:rsidR="35C8CFBD" w:rsidRPr="0036474B">
        <w:rPr>
          <w:rFonts w:ascii="Times New Roman" w:hAnsi="Times New Roman" w:cs="Times New Roman"/>
          <w:noProof/>
          <w:kern w:val="2"/>
          <w:sz w:val="24"/>
          <w:szCs w:val="24"/>
          <w:lang w:val="en-GB"/>
          <w14:ligatures w14:val="standardContextual"/>
        </w:rPr>
        <w:t>impede</w:t>
      </w:r>
      <w:r w:rsidRPr="0036474B">
        <w:rPr>
          <w:rFonts w:ascii="Times New Roman" w:hAnsi="Times New Roman" w:cs="Times New Roman"/>
          <w:noProof/>
          <w:kern w:val="2"/>
          <w:sz w:val="24"/>
          <w:szCs w:val="24"/>
          <w:lang w:val="en-GB"/>
          <w14:ligatures w14:val="standardContextual"/>
        </w:rPr>
        <w:t xml:space="preserve"> readability and a comprehensive understanding of the set of rules. </w:t>
      </w:r>
      <w:r w:rsidR="5A2F9A0C" w:rsidRPr="0036474B">
        <w:rPr>
          <w:rFonts w:ascii="Times New Roman" w:hAnsi="Times New Roman" w:cs="Times New Roman"/>
          <w:noProof/>
          <w:kern w:val="2"/>
          <w:sz w:val="24"/>
          <w:szCs w:val="24"/>
          <w:lang w:val="en-GB"/>
          <w14:ligatures w14:val="standardContextual"/>
        </w:rPr>
        <w:t>Combined with legislative instability (</w:t>
      </w:r>
      <w:r w:rsidR="5A2F9A0C" w:rsidRPr="0036474B">
        <w:rPr>
          <w:rFonts w:ascii="Times New Roman" w:hAnsi="Times New Roman" w:cs="Times New Roman"/>
          <w:noProof/>
          <w:sz w:val="24"/>
          <w:szCs w:val="24"/>
          <w:lang w:val="en-GB"/>
        </w:rPr>
        <w:t xml:space="preserve">since 2015, </w:t>
      </w:r>
      <w:r w:rsidR="1A007853" w:rsidRPr="0036474B">
        <w:rPr>
          <w:rFonts w:ascii="Times New Roman" w:hAnsi="Times New Roman" w:cs="Times New Roman"/>
          <w:noProof/>
          <w:sz w:val="24"/>
          <w:szCs w:val="24"/>
          <w:lang w:val="en-GB"/>
        </w:rPr>
        <w:t>CRR</w:t>
      </w:r>
      <w:r w:rsidR="004F321B" w:rsidRPr="0036474B">
        <w:rPr>
          <w:rStyle w:val="FootnoteReference"/>
          <w:rFonts w:ascii="Times New Roman" w:hAnsi="Times New Roman" w:cs="Times New Roman"/>
          <w:noProof/>
          <w:sz w:val="24"/>
          <w:szCs w:val="24"/>
          <w:lang w:val="en-GB"/>
        </w:rPr>
        <w:footnoteReference w:id="89"/>
      </w:r>
      <w:r w:rsidR="5A2F9A0C" w:rsidRPr="0036474B">
        <w:rPr>
          <w:rFonts w:ascii="Times New Roman" w:hAnsi="Times New Roman" w:cs="Times New Roman"/>
          <w:noProof/>
          <w:sz w:val="24"/>
          <w:szCs w:val="24"/>
          <w:lang w:val="en-GB"/>
        </w:rPr>
        <w:t xml:space="preserve"> has been amended 21 times and B</w:t>
      </w:r>
      <w:r w:rsidR="1F033039" w:rsidRPr="0036474B">
        <w:rPr>
          <w:rFonts w:ascii="Times New Roman" w:hAnsi="Times New Roman" w:cs="Times New Roman"/>
          <w:noProof/>
          <w:sz w:val="24"/>
          <w:szCs w:val="24"/>
          <w:lang w:val="en-GB"/>
        </w:rPr>
        <w:t>RRD</w:t>
      </w:r>
      <w:r w:rsidR="003313BF" w:rsidRPr="0036474B">
        <w:rPr>
          <w:rStyle w:val="FootnoteReference"/>
          <w:rFonts w:ascii="Times New Roman" w:hAnsi="Times New Roman" w:cs="Times New Roman"/>
          <w:noProof/>
          <w:sz w:val="24"/>
          <w:szCs w:val="24"/>
          <w:lang w:val="en-GB"/>
        </w:rPr>
        <w:footnoteReference w:id="90"/>
      </w:r>
      <w:r w:rsidR="5A2F9A0C" w:rsidRPr="0036474B">
        <w:rPr>
          <w:rFonts w:ascii="Times New Roman" w:hAnsi="Times New Roman" w:cs="Times New Roman"/>
          <w:noProof/>
          <w:sz w:val="24"/>
          <w:szCs w:val="24"/>
          <w:lang w:val="en-GB"/>
        </w:rPr>
        <w:t xml:space="preserve"> has been amended 11 times</w:t>
      </w:r>
      <w:r w:rsidR="62CA8264" w:rsidRPr="009C5961">
        <w:rPr>
          <w:rFonts w:ascii="Times New Roman" w:hAnsi="Times New Roman" w:cs="Times New Roman"/>
          <w:noProof/>
          <w:sz w:val="24"/>
          <w:szCs w:val="24"/>
        </w:rPr>
        <w:t>—</w:t>
      </w:r>
      <w:r w:rsidR="5A2F9A0C" w:rsidRPr="0036474B">
        <w:rPr>
          <w:rFonts w:ascii="Times New Roman" w:hAnsi="Times New Roman" w:cs="Times New Roman"/>
          <w:noProof/>
          <w:sz w:val="24"/>
          <w:szCs w:val="24"/>
          <w:lang w:val="en-GB"/>
        </w:rPr>
        <w:t>either directly or indirectly through amendments stemming from other legal acts</w:t>
      </w:r>
      <w:r w:rsidR="00591A49" w:rsidRPr="0036474B">
        <w:rPr>
          <w:rStyle w:val="FootnoteReference"/>
          <w:rFonts w:ascii="Times New Roman" w:hAnsi="Times New Roman" w:cs="Times New Roman"/>
          <w:noProof/>
          <w:sz w:val="24"/>
          <w:szCs w:val="24"/>
          <w:lang w:val="en-GB"/>
        </w:rPr>
        <w:footnoteReference w:id="91"/>
      </w:r>
      <w:r w:rsidR="5A2F9A0C" w:rsidRPr="0036474B">
        <w:rPr>
          <w:rFonts w:ascii="Times New Roman" w:hAnsi="Times New Roman" w:cs="Times New Roman"/>
          <w:noProof/>
          <w:sz w:val="24"/>
          <w:szCs w:val="24"/>
          <w:lang w:val="en-GB"/>
        </w:rPr>
        <w:t>)</w:t>
      </w:r>
      <w:r w:rsidR="243BE077" w:rsidRPr="0036474B">
        <w:rPr>
          <w:rFonts w:ascii="Times New Roman" w:hAnsi="Times New Roman" w:cs="Times New Roman"/>
          <w:noProof/>
          <w:sz w:val="24"/>
          <w:szCs w:val="24"/>
          <w:lang w:val="en-GB"/>
        </w:rPr>
        <w:t>, t</w:t>
      </w:r>
      <w:r w:rsidRPr="0036474B">
        <w:rPr>
          <w:rFonts w:ascii="Times New Roman" w:hAnsi="Times New Roman" w:cs="Times New Roman"/>
          <w:noProof/>
          <w:kern w:val="2"/>
          <w:sz w:val="24"/>
          <w:szCs w:val="24"/>
          <w:lang w:val="en-GB"/>
          <w14:ligatures w14:val="standardContextual"/>
        </w:rPr>
        <w:t>h</w:t>
      </w:r>
      <w:r w:rsidR="5A2F9A0C" w:rsidRPr="0036474B">
        <w:rPr>
          <w:rFonts w:ascii="Times New Roman" w:hAnsi="Times New Roman" w:cs="Times New Roman"/>
          <w:noProof/>
          <w:kern w:val="2"/>
          <w:sz w:val="24"/>
          <w:szCs w:val="24"/>
          <w:lang w:val="en-GB"/>
          <w14:ligatures w14:val="standardContextual"/>
        </w:rPr>
        <w:t xml:space="preserve">is </w:t>
      </w:r>
      <w:r w:rsidRPr="0036474B">
        <w:rPr>
          <w:rFonts w:ascii="Times New Roman" w:hAnsi="Times New Roman" w:cs="Times New Roman"/>
          <w:noProof/>
          <w:kern w:val="2"/>
          <w:sz w:val="24"/>
          <w:szCs w:val="24"/>
          <w:lang w:val="en-GB"/>
          <w14:ligatures w14:val="standardContextual"/>
        </w:rPr>
        <w:t>EU regulatory framework is a source of risk, slowing down decision making due to the potential side effects and the cross-references of a framework trying to be consistent in all its dimensions.</w:t>
      </w:r>
      <w:r w:rsidR="0A395CF9" w:rsidRPr="0036474B">
        <w:rPr>
          <w:rFonts w:ascii="Times New Roman" w:hAnsi="Times New Roman" w:cs="Times New Roman"/>
          <w:noProof/>
          <w:sz w:val="24"/>
          <w:szCs w:val="24"/>
          <w:lang w:val="en-GB"/>
        </w:rPr>
        <w:t xml:space="preserve"> </w:t>
      </w:r>
      <w:r w:rsidR="0A395CF9" w:rsidRPr="0036474B">
        <w:rPr>
          <w:rFonts w:ascii="Times New Roman" w:hAnsi="Times New Roman" w:cs="Times New Roman"/>
          <w:noProof/>
          <w:kern w:val="2"/>
          <w:sz w:val="24"/>
          <w:szCs w:val="24"/>
          <w:lang w:val="en-GB"/>
          <w14:ligatures w14:val="standardContextual"/>
        </w:rPr>
        <w:t xml:space="preserve">This </w:t>
      </w:r>
      <w:r w:rsidR="0A395CF9" w:rsidRPr="0036474B">
        <w:rPr>
          <w:rFonts w:ascii="Times New Roman" w:hAnsi="Times New Roman" w:cs="Times New Roman"/>
          <w:noProof/>
          <w:kern w:val="2"/>
          <w:sz w:val="24"/>
          <w:szCs w:val="24"/>
          <w14:ligatures w14:val="standardContextual"/>
        </w:rPr>
        <w:t>dynamic evolution of rules</w:t>
      </w:r>
      <w:r w:rsidR="0A395CF9" w:rsidRPr="0036474B">
        <w:rPr>
          <w:rFonts w:ascii="Times New Roman" w:hAnsi="Times New Roman" w:cs="Times New Roman"/>
          <w:b/>
          <w:bCs/>
          <w:noProof/>
          <w:kern w:val="2"/>
          <w:sz w:val="24"/>
          <w:szCs w:val="24"/>
          <w14:ligatures w14:val="standardContextual"/>
        </w:rPr>
        <w:t xml:space="preserve"> </w:t>
      </w:r>
      <w:r w:rsidR="0A395CF9" w:rsidRPr="0036474B">
        <w:rPr>
          <w:rFonts w:ascii="Times New Roman" w:hAnsi="Times New Roman" w:cs="Times New Roman"/>
          <w:noProof/>
          <w:kern w:val="2"/>
          <w:sz w:val="24"/>
          <w:szCs w:val="24"/>
          <w14:ligatures w14:val="standardContextual"/>
        </w:rPr>
        <w:t>creates a "moving target" for compliance. This forces banks to continuously adapt their systems and processes, diverting resources from core risk management to reactive compliance efforts.</w:t>
      </w:r>
    </w:p>
    <w:p w14:paraId="2DBFEA18" w14:textId="2BA85D97" w:rsidR="00367741" w:rsidRPr="0036474B" w:rsidRDefault="00367741" w:rsidP="00367741">
      <w:pPr>
        <w:jc w:val="both"/>
        <w:rPr>
          <w:rFonts w:ascii="Times New Roman" w:hAnsi="Times New Roman" w:cs="Times New Roman"/>
          <w:noProof/>
          <w:sz w:val="24"/>
          <w:szCs w:val="24"/>
        </w:rPr>
      </w:pPr>
      <w:r w:rsidRPr="0036474B">
        <w:rPr>
          <w:rFonts w:ascii="Times New Roman" w:hAnsi="Times New Roman" w:cs="Times New Roman"/>
          <w:noProof/>
          <w:sz w:val="24"/>
          <w:szCs w:val="24"/>
        </w:rPr>
        <w:t>The consultation reveals that there is a broad consensus among stakeholders that the primary sources of undue complexity lie in supervisory soft law, the proliferation of Level 2/3 measures, and national implementation differences. The interaction between multiple frameworks—prudential, macroprudential, resolution, and emerging areas such as digital resilience and ESG—is also recognised as a key challenge, though stakeholders differ in their assessments of whether this complexity is justified by its policy objectives.</w:t>
      </w:r>
      <w:r w:rsidR="00401876" w:rsidRPr="0036474B">
        <w:rPr>
          <w:rFonts w:ascii="Times New Roman" w:hAnsi="Times New Roman" w:cs="Times New Roman"/>
          <w:noProof/>
          <w:sz w:val="24"/>
          <w:szCs w:val="24"/>
        </w:rPr>
        <w:t xml:space="preserve"> In more details:</w:t>
      </w:r>
    </w:p>
    <w:p w14:paraId="6E262D5B" w14:textId="4DE514F9" w:rsidR="00401876" w:rsidRPr="0036474B" w:rsidRDefault="00401876" w:rsidP="00401876">
      <w:pPr>
        <w:pStyle w:val="ListParagraph"/>
        <w:numPr>
          <w:ilvl w:val="0"/>
          <w:numId w:val="50"/>
        </w:numPr>
        <w:spacing w:after="120"/>
        <w:ind w:left="714" w:hanging="357"/>
        <w:contextualSpacing w:val="0"/>
        <w:jc w:val="both"/>
        <w:rPr>
          <w:rFonts w:ascii="Times New Roman" w:hAnsi="Times New Roman" w:cs="Times New Roman"/>
          <w:noProof/>
          <w:sz w:val="24"/>
          <w:szCs w:val="24"/>
        </w:rPr>
      </w:pPr>
      <w:r w:rsidRPr="0036474B">
        <w:rPr>
          <w:rFonts w:ascii="Times New Roman" w:hAnsi="Times New Roman" w:cs="Times New Roman"/>
          <w:noProof/>
          <w:sz w:val="24"/>
          <w:szCs w:val="24"/>
        </w:rPr>
        <w:t>Supervisory guidance and soft law stand out as the most quoted source of complexity. Banks and business associations consistently highlight that Pillar 2 requirements, EBA Q&amp;As, and ad-hoc supervisory expectations effectively create a "fourth layer" of regulation, operating alongside formal legislative instruments. National authorities acknowledge the necessity of supervisory flexibility but recognise that greater structuring and transparency could reduce uncertainty.</w:t>
      </w:r>
      <w:r w:rsidR="002E1446">
        <w:rPr>
          <w:rFonts w:ascii="Times New Roman" w:hAnsi="Times New Roman" w:cs="Times New Roman"/>
          <w:noProof/>
          <w:sz w:val="24"/>
          <w:szCs w:val="24"/>
        </w:rPr>
        <w:t xml:space="preserve"> On the other hand, same of that complexity is derived from banks’ own requests for further clarity (notably through Q&amp;As)</w:t>
      </w:r>
      <w:r w:rsidR="00C3123C">
        <w:rPr>
          <w:rFonts w:ascii="Times New Roman" w:hAnsi="Times New Roman" w:cs="Times New Roman"/>
          <w:noProof/>
          <w:sz w:val="24"/>
          <w:szCs w:val="24"/>
        </w:rPr>
        <w:t xml:space="preserve">. </w:t>
      </w:r>
    </w:p>
    <w:p w14:paraId="219C3C8A" w14:textId="57D56444" w:rsidR="00401876" w:rsidRPr="0036474B" w:rsidRDefault="00401876" w:rsidP="00401876">
      <w:pPr>
        <w:pStyle w:val="ListParagraph"/>
        <w:numPr>
          <w:ilvl w:val="0"/>
          <w:numId w:val="50"/>
        </w:numPr>
        <w:spacing w:after="120"/>
        <w:ind w:left="714" w:hanging="357"/>
        <w:contextualSpacing w:val="0"/>
        <w:jc w:val="both"/>
        <w:rPr>
          <w:rFonts w:ascii="Times New Roman" w:hAnsi="Times New Roman" w:cs="Times New Roman"/>
          <w:noProof/>
          <w:sz w:val="24"/>
          <w:szCs w:val="24"/>
        </w:rPr>
      </w:pPr>
      <w:r w:rsidRPr="0036474B">
        <w:rPr>
          <w:rFonts w:ascii="Times New Roman" w:hAnsi="Times New Roman" w:cs="Times New Roman"/>
          <w:noProof/>
          <w:sz w:val="24"/>
          <w:szCs w:val="24"/>
        </w:rPr>
        <w:t>The proliferation of Level 2 and Level 3 measures is the second most frequently cited concern, with stakeholders across all groups arguing that regulatory technical standards (RTS), implementing technical standards (ITS), and EBA guidelines</w:t>
      </w:r>
      <w:r w:rsidR="00BD5DA2">
        <w:rPr>
          <w:rFonts w:ascii="Times New Roman" w:hAnsi="Times New Roman" w:cs="Times New Roman"/>
          <w:noProof/>
          <w:sz w:val="24"/>
          <w:szCs w:val="24"/>
        </w:rPr>
        <w:t xml:space="preserve"> are perceived to be at times too detailed and lacking proportionality</w:t>
      </w:r>
      <w:r w:rsidRPr="0036474B">
        <w:rPr>
          <w:rFonts w:ascii="Times New Roman" w:hAnsi="Times New Roman" w:cs="Times New Roman"/>
          <w:noProof/>
          <w:sz w:val="24"/>
          <w:szCs w:val="24"/>
        </w:rPr>
        <w:t>. Banks and business associations criticise the excessive granularity and frequent updates of these measures, which divert resources from core risk management activities without necessarily enhancing prudential outcomes. Some highlight that delays or inconsistencies in implementation force institutions to adopt overly conservative interpretations, further increasing compliance costs. National authorities, while recognising the necessity of technical specifications for harmonisation, suggest that a more disciplined approach—including the sunsetting of outdated measures and consolidation of overlapping requirements—could reduce complexity. NGOs and academia adopt a more critical stance, arguing that these instruments often amplify rather than clarify Level 1 provisions, leading to redundancies and distortions.</w:t>
      </w:r>
    </w:p>
    <w:p w14:paraId="6F8F7291" w14:textId="5DD6BDF8" w:rsidR="00401876" w:rsidRPr="0036474B" w:rsidRDefault="00401876" w:rsidP="00401876">
      <w:pPr>
        <w:pStyle w:val="ListParagraph"/>
        <w:numPr>
          <w:ilvl w:val="0"/>
          <w:numId w:val="50"/>
        </w:numPr>
        <w:spacing w:after="120"/>
        <w:ind w:left="714" w:hanging="357"/>
        <w:contextualSpacing w:val="0"/>
        <w:jc w:val="both"/>
        <w:rPr>
          <w:rFonts w:ascii="Times New Roman" w:hAnsi="Times New Roman" w:cs="Times New Roman"/>
          <w:noProof/>
          <w:sz w:val="24"/>
          <w:szCs w:val="24"/>
        </w:rPr>
      </w:pPr>
      <w:r w:rsidRPr="0036474B">
        <w:rPr>
          <w:rFonts w:ascii="Times New Roman" w:hAnsi="Times New Roman" w:cs="Times New Roman"/>
          <w:noProof/>
          <w:sz w:val="24"/>
          <w:szCs w:val="24"/>
        </w:rPr>
        <w:t xml:space="preserve">National implementation differences are widely identified as the third major source of complexity, fragmenting the </w:t>
      </w:r>
      <w:r w:rsidR="00377C5B" w:rsidRPr="0036474B">
        <w:rPr>
          <w:rFonts w:ascii="Times New Roman" w:hAnsi="Times New Roman" w:cs="Times New Roman"/>
          <w:noProof/>
          <w:sz w:val="24"/>
          <w:szCs w:val="24"/>
        </w:rPr>
        <w:t>s</w:t>
      </w:r>
      <w:r w:rsidRPr="0036474B">
        <w:rPr>
          <w:rFonts w:ascii="Times New Roman" w:hAnsi="Times New Roman" w:cs="Times New Roman"/>
          <w:noProof/>
          <w:sz w:val="24"/>
          <w:szCs w:val="24"/>
        </w:rPr>
        <w:t xml:space="preserve">ingle </w:t>
      </w:r>
      <w:r w:rsidR="00377C5B" w:rsidRPr="0036474B">
        <w:rPr>
          <w:rFonts w:ascii="Times New Roman" w:hAnsi="Times New Roman" w:cs="Times New Roman"/>
          <w:noProof/>
          <w:sz w:val="24"/>
          <w:szCs w:val="24"/>
        </w:rPr>
        <w:t>r</w:t>
      </w:r>
      <w:r w:rsidRPr="0036474B">
        <w:rPr>
          <w:rFonts w:ascii="Times New Roman" w:hAnsi="Times New Roman" w:cs="Times New Roman"/>
          <w:noProof/>
          <w:sz w:val="24"/>
          <w:szCs w:val="24"/>
        </w:rPr>
        <w:t>ulebook and complicating cross-border operations. Banks and business associations emphasise that gold-plating and divergent transpositions of national options create an uneven playing field that increases compliance costs without clear benefits. Some banking associations further note that differences in macroprudential tools and insolvency regimes undermine the framework’s harmonising intent. While national authorities defend the need for some discretion to address jurisdiction-specific risks, they acknowledge that greater convergence in supervisory practices could reduce unnecessary complexity.</w:t>
      </w:r>
    </w:p>
    <w:p w14:paraId="2A389FBE" w14:textId="257C00EF" w:rsidR="00401876" w:rsidRPr="0036474B" w:rsidRDefault="00401876" w:rsidP="00401876">
      <w:pPr>
        <w:pStyle w:val="ListParagraph"/>
        <w:numPr>
          <w:ilvl w:val="0"/>
          <w:numId w:val="50"/>
        </w:numPr>
        <w:spacing w:after="120"/>
        <w:ind w:left="714" w:hanging="357"/>
        <w:contextualSpacing w:val="0"/>
        <w:jc w:val="both"/>
        <w:rPr>
          <w:rFonts w:ascii="Times New Roman" w:hAnsi="Times New Roman" w:cs="Times New Roman"/>
          <w:noProof/>
          <w:sz w:val="24"/>
          <w:szCs w:val="24"/>
        </w:rPr>
      </w:pPr>
      <w:r w:rsidRPr="0036474B">
        <w:rPr>
          <w:rFonts w:ascii="Times New Roman" w:hAnsi="Times New Roman" w:cs="Times New Roman"/>
          <w:noProof/>
          <w:sz w:val="24"/>
          <w:szCs w:val="24"/>
        </w:rPr>
        <w:t>Interactions with other EU and national legislation are also identified as a growing source of complexity, particularly as non-prudential requirements—such as those under DORA, ESG reporting, and accounting rules—increasingly overlap with banking regulation. Banks and business associations highlight that these obligations often duplicate or</w:t>
      </w:r>
      <w:r w:rsidR="00895343">
        <w:rPr>
          <w:rFonts w:ascii="Times New Roman" w:hAnsi="Times New Roman" w:cs="Times New Roman"/>
          <w:noProof/>
          <w:sz w:val="24"/>
          <w:szCs w:val="24"/>
        </w:rPr>
        <w:t>, in the case of accounting rules,</w:t>
      </w:r>
      <w:r w:rsidRPr="0036474B">
        <w:rPr>
          <w:rFonts w:ascii="Times New Roman" w:hAnsi="Times New Roman" w:cs="Times New Roman"/>
          <w:noProof/>
          <w:sz w:val="24"/>
          <w:szCs w:val="24"/>
        </w:rPr>
        <w:t xml:space="preserve"> conflict with prudential requirements, creating redundant compliance burdens. National authorities recognise the need for cross-sectoral legislation but suggest that better coordination between the Commission, EBA, and other EU agencies could help align different policy areas and streamline compliance.</w:t>
      </w:r>
    </w:p>
    <w:p w14:paraId="2CEAB339" w14:textId="4E2EA41C" w:rsidR="00E478D6" w:rsidRPr="00515B62" w:rsidRDefault="00401876" w:rsidP="004E53F1">
      <w:pPr>
        <w:pStyle w:val="ListParagraph"/>
        <w:numPr>
          <w:ilvl w:val="0"/>
          <w:numId w:val="50"/>
        </w:numPr>
        <w:spacing w:after="120"/>
        <w:ind w:left="714" w:hanging="357"/>
        <w:contextualSpacing w:val="0"/>
        <w:jc w:val="both"/>
        <w:rPr>
          <w:rFonts w:ascii="Times New Roman" w:hAnsi="Times New Roman" w:cs="Times New Roman"/>
          <w:noProof/>
          <w:sz w:val="24"/>
          <w:szCs w:val="24"/>
          <w:lang w:val="en-GB"/>
        </w:rPr>
      </w:pPr>
      <w:r w:rsidRPr="0036474B">
        <w:rPr>
          <w:rFonts w:ascii="Times New Roman" w:hAnsi="Times New Roman" w:cs="Times New Roman"/>
          <w:noProof/>
          <w:sz w:val="24"/>
          <w:szCs w:val="24"/>
        </w:rPr>
        <w:t>Finally, while banks and authorities focus on operational and procedural challenges, NGOs and academia highlight deeper structural issues in the EU banking framework. They argue that the current "repair-based paradigm"—where successive crises lead to new layers of regulation without addressing fundamental design flaws—has resulted in a fragmented and overly complex system.</w:t>
      </w:r>
    </w:p>
    <w:p w14:paraId="02681460" w14:textId="77777777" w:rsidR="00515B62" w:rsidRPr="00515B62" w:rsidRDefault="00515B62" w:rsidP="00244AA3">
      <w:pPr>
        <w:pStyle w:val="ListParagraph"/>
        <w:spacing w:after="120"/>
        <w:ind w:left="714"/>
        <w:contextualSpacing w:val="0"/>
        <w:jc w:val="both"/>
        <w:rPr>
          <w:rFonts w:ascii="Times New Roman" w:hAnsi="Times New Roman" w:cs="Times New Roman"/>
          <w:noProof/>
          <w:sz w:val="24"/>
          <w:szCs w:val="24"/>
          <w:lang w:val="en-GB"/>
        </w:rPr>
      </w:pPr>
    </w:p>
    <w:p w14:paraId="3BD868E5" w14:textId="70A5A686" w:rsidR="00452FFB" w:rsidRPr="0036474B" w:rsidRDefault="00452FFB" w:rsidP="00386222">
      <w:pPr>
        <w:pStyle w:val="ListParagraph"/>
        <w:numPr>
          <w:ilvl w:val="0"/>
          <w:numId w:val="80"/>
        </w:numPr>
        <w:rPr>
          <w:rFonts w:ascii="Times New Roman" w:hAnsi="Times New Roman" w:cs="Times New Roman"/>
          <w:b/>
          <w:bCs/>
          <w:noProof/>
          <w:sz w:val="24"/>
          <w:szCs w:val="24"/>
          <w:lang w:val="en-GB"/>
        </w:rPr>
      </w:pPr>
      <w:r w:rsidRPr="0036474B">
        <w:rPr>
          <w:rFonts w:ascii="Times New Roman" w:hAnsi="Times New Roman" w:cs="Times New Roman"/>
          <w:b/>
          <w:bCs/>
          <w:noProof/>
          <w:sz w:val="24"/>
          <w:szCs w:val="24"/>
          <w:lang w:val="en-GB"/>
        </w:rPr>
        <w:t>Multiplicity of actors</w:t>
      </w:r>
    </w:p>
    <w:p w14:paraId="263FB836" w14:textId="5534076A" w:rsidR="00C01F5E" w:rsidRPr="0036474B" w:rsidRDefault="5BAE0404" w:rsidP="008F54CD">
      <w:pPr>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rPr>
        <w:t>The m</w:t>
      </w:r>
      <w:r w:rsidR="6E0C16BA" w:rsidRPr="0036474B">
        <w:rPr>
          <w:rFonts w:ascii="Times New Roman" w:hAnsi="Times New Roman" w:cs="Times New Roman"/>
          <w:noProof/>
          <w:sz w:val="24"/>
          <w:szCs w:val="24"/>
          <w:lang w:val="en-GB"/>
        </w:rPr>
        <w:t>ultiplicity of actors</w:t>
      </w:r>
      <w:r w:rsidRPr="0036474B">
        <w:rPr>
          <w:rFonts w:ascii="Times New Roman" w:hAnsi="Times New Roman" w:cs="Times New Roman"/>
          <w:noProof/>
          <w:sz w:val="24"/>
          <w:szCs w:val="24"/>
          <w:lang w:val="en-GB"/>
        </w:rPr>
        <w:t xml:space="preserve"> in charge of implementing </w:t>
      </w:r>
      <w:r w:rsidR="331DDD4B" w:rsidRPr="0036474B">
        <w:rPr>
          <w:rFonts w:ascii="Times New Roman" w:hAnsi="Times New Roman" w:cs="Times New Roman"/>
          <w:noProof/>
          <w:sz w:val="24"/>
          <w:szCs w:val="24"/>
          <w:lang w:val="en-GB"/>
        </w:rPr>
        <w:t xml:space="preserve">the </w:t>
      </w:r>
      <w:r w:rsidR="065D07F7" w:rsidRPr="0036474B">
        <w:rPr>
          <w:rFonts w:ascii="Times New Roman" w:hAnsi="Times New Roman" w:cs="Times New Roman"/>
          <w:noProof/>
          <w:sz w:val="24"/>
          <w:szCs w:val="24"/>
          <w:lang w:val="en-GB"/>
        </w:rPr>
        <w:t>framework</w:t>
      </w:r>
      <w:r w:rsidR="6E0C16BA" w:rsidRPr="0036474B">
        <w:rPr>
          <w:rFonts w:ascii="Times New Roman" w:hAnsi="Times New Roman" w:cs="Times New Roman"/>
          <w:noProof/>
          <w:sz w:val="24"/>
          <w:szCs w:val="24"/>
          <w:lang w:val="en-GB"/>
        </w:rPr>
        <w:t xml:space="preserve"> </w:t>
      </w:r>
      <w:r w:rsidR="065D07F7" w:rsidRPr="0036474B">
        <w:rPr>
          <w:rFonts w:ascii="Times New Roman" w:hAnsi="Times New Roman" w:cs="Times New Roman"/>
          <w:noProof/>
          <w:sz w:val="24"/>
          <w:szCs w:val="24"/>
          <w:lang w:val="en-GB"/>
        </w:rPr>
        <w:t>can also contribute to complexity.</w:t>
      </w:r>
    </w:p>
    <w:p w14:paraId="4685380F" w14:textId="6221BC05" w:rsidR="004A5026" w:rsidRPr="0036474B" w:rsidRDefault="521BD6A2" w:rsidP="008F54CD">
      <w:pPr>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rPr>
        <w:t>For prudential matters, n</w:t>
      </w:r>
      <w:r w:rsidR="5C363079" w:rsidRPr="0036474B">
        <w:rPr>
          <w:rFonts w:ascii="Times New Roman" w:hAnsi="Times New Roman" w:cs="Times New Roman"/>
          <w:noProof/>
          <w:sz w:val="24"/>
          <w:szCs w:val="24"/>
          <w:lang w:val="en-GB"/>
        </w:rPr>
        <w:t>ational competent authorities (micro-prudential supervision), national resolution authorities</w:t>
      </w:r>
      <w:r w:rsidR="26901FFF" w:rsidRPr="0036474B">
        <w:rPr>
          <w:rFonts w:ascii="Times New Roman" w:hAnsi="Times New Roman" w:cs="Times New Roman"/>
          <w:noProof/>
          <w:sz w:val="24"/>
          <w:szCs w:val="24"/>
          <w:lang w:val="en-GB"/>
        </w:rPr>
        <w:t>, national macro</w:t>
      </w:r>
      <w:r w:rsidR="5ADAA344" w:rsidRPr="0036474B">
        <w:rPr>
          <w:rFonts w:ascii="Times New Roman" w:hAnsi="Times New Roman" w:cs="Times New Roman"/>
          <w:noProof/>
          <w:sz w:val="24"/>
          <w:szCs w:val="24"/>
          <w:lang w:val="en-GB"/>
        </w:rPr>
        <w:t>-</w:t>
      </w:r>
      <w:r w:rsidR="26901FFF" w:rsidRPr="0036474B">
        <w:rPr>
          <w:rFonts w:ascii="Times New Roman" w:hAnsi="Times New Roman" w:cs="Times New Roman"/>
          <w:noProof/>
          <w:sz w:val="24"/>
          <w:szCs w:val="24"/>
          <w:lang w:val="en-GB"/>
        </w:rPr>
        <w:t>prudential authorities</w:t>
      </w:r>
      <w:r w:rsidRPr="0036474B">
        <w:rPr>
          <w:rFonts w:ascii="Times New Roman" w:hAnsi="Times New Roman" w:cs="Times New Roman"/>
          <w:noProof/>
          <w:sz w:val="24"/>
          <w:szCs w:val="24"/>
          <w:lang w:val="en-GB"/>
        </w:rPr>
        <w:t>, national central banks</w:t>
      </w:r>
      <w:r w:rsidR="402F3E06" w:rsidRPr="0036474B">
        <w:rPr>
          <w:rFonts w:ascii="Times New Roman" w:hAnsi="Times New Roman" w:cs="Times New Roman"/>
          <w:noProof/>
          <w:sz w:val="24"/>
          <w:szCs w:val="24"/>
          <w:lang w:val="en-GB"/>
        </w:rPr>
        <w:t xml:space="preserve"> and national designated authorities overseeing deposit guarantee schemes</w:t>
      </w:r>
      <w:r w:rsidR="5ADAA344" w:rsidRPr="0036474B">
        <w:rPr>
          <w:rFonts w:ascii="Times New Roman" w:hAnsi="Times New Roman" w:cs="Times New Roman"/>
          <w:noProof/>
          <w:sz w:val="24"/>
          <w:szCs w:val="24"/>
          <w:lang w:val="en-GB"/>
        </w:rPr>
        <w:t>, sometimes under a same roof,</w:t>
      </w:r>
      <w:r w:rsidR="402F3E06" w:rsidRPr="0036474B">
        <w:rPr>
          <w:rFonts w:ascii="Times New Roman" w:hAnsi="Times New Roman" w:cs="Times New Roman"/>
          <w:noProof/>
          <w:sz w:val="24"/>
          <w:szCs w:val="24"/>
          <w:lang w:val="en-GB"/>
        </w:rPr>
        <w:t xml:space="preserve"> coexist with the European Central Bank</w:t>
      </w:r>
      <w:r w:rsidR="00B82A2B" w:rsidRPr="0036474B">
        <w:rPr>
          <w:rFonts w:ascii="Times New Roman" w:hAnsi="Times New Roman" w:cs="Times New Roman"/>
          <w:noProof/>
          <w:sz w:val="24"/>
          <w:szCs w:val="24"/>
          <w:lang w:val="en-GB"/>
        </w:rPr>
        <w:t xml:space="preserve"> (ECB)</w:t>
      </w:r>
      <w:r w:rsidR="402F3E06" w:rsidRPr="0036474B">
        <w:rPr>
          <w:rFonts w:ascii="Times New Roman" w:hAnsi="Times New Roman" w:cs="Times New Roman"/>
          <w:noProof/>
          <w:sz w:val="24"/>
          <w:szCs w:val="24"/>
          <w:lang w:val="en-GB"/>
        </w:rPr>
        <w:t>, the Single Resolution Board</w:t>
      </w:r>
      <w:r w:rsidR="2E6C335C" w:rsidRPr="0036474B">
        <w:rPr>
          <w:rFonts w:ascii="Times New Roman" w:hAnsi="Times New Roman" w:cs="Times New Roman"/>
          <w:noProof/>
          <w:sz w:val="24"/>
          <w:szCs w:val="24"/>
          <w:lang w:val="en-GB"/>
        </w:rPr>
        <w:t xml:space="preserve"> (SRB)</w:t>
      </w:r>
      <w:r w:rsidR="2A6779AE" w:rsidRPr="0036474B">
        <w:rPr>
          <w:rFonts w:ascii="Times New Roman" w:hAnsi="Times New Roman" w:cs="Times New Roman"/>
          <w:noProof/>
          <w:sz w:val="24"/>
          <w:szCs w:val="24"/>
          <w:lang w:val="en-GB"/>
        </w:rPr>
        <w:t>, the European Banking Authority</w:t>
      </w:r>
      <w:r w:rsidR="2E6C335C" w:rsidRPr="0036474B">
        <w:rPr>
          <w:rFonts w:ascii="Times New Roman" w:hAnsi="Times New Roman" w:cs="Times New Roman"/>
          <w:noProof/>
          <w:sz w:val="24"/>
          <w:szCs w:val="24"/>
          <w:lang w:val="en-GB"/>
        </w:rPr>
        <w:t xml:space="preserve"> (EBA)</w:t>
      </w:r>
      <w:r w:rsidR="2A6779AE" w:rsidRPr="0036474B">
        <w:rPr>
          <w:rFonts w:ascii="Times New Roman" w:hAnsi="Times New Roman" w:cs="Times New Roman"/>
          <w:noProof/>
          <w:sz w:val="24"/>
          <w:szCs w:val="24"/>
          <w:lang w:val="en-GB"/>
        </w:rPr>
        <w:t>, the European Systemi</w:t>
      </w:r>
      <w:r w:rsidRPr="0036474B">
        <w:rPr>
          <w:rFonts w:ascii="Times New Roman" w:hAnsi="Times New Roman" w:cs="Times New Roman"/>
          <w:noProof/>
          <w:sz w:val="24"/>
          <w:szCs w:val="24"/>
          <w:lang w:val="en-GB"/>
        </w:rPr>
        <w:t>c</w:t>
      </w:r>
      <w:r w:rsidR="2A6779AE" w:rsidRPr="0036474B">
        <w:rPr>
          <w:rFonts w:ascii="Times New Roman" w:hAnsi="Times New Roman" w:cs="Times New Roman"/>
          <w:noProof/>
          <w:sz w:val="24"/>
          <w:szCs w:val="24"/>
          <w:lang w:val="en-GB"/>
        </w:rPr>
        <w:t xml:space="preserve"> Risk Board </w:t>
      </w:r>
      <w:r w:rsidR="2E6C335C" w:rsidRPr="0036474B">
        <w:rPr>
          <w:rFonts w:ascii="Times New Roman" w:hAnsi="Times New Roman" w:cs="Times New Roman"/>
          <w:noProof/>
          <w:sz w:val="24"/>
          <w:szCs w:val="24"/>
          <w:lang w:val="en-GB"/>
        </w:rPr>
        <w:t xml:space="preserve">(ESRB) </w:t>
      </w:r>
      <w:r w:rsidR="2A6779AE" w:rsidRPr="0036474B">
        <w:rPr>
          <w:rFonts w:ascii="Times New Roman" w:hAnsi="Times New Roman" w:cs="Times New Roman"/>
          <w:noProof/>
          <w:sz w:val="24"/>
          <w:szCs w:val="24"/>
          <w:lang w:val="en-GB"/>
        </w:rPr>
        <w:t>or even the European Co</w:t>
      </w:r>
      <w:r w:rsidR="5ADAA344" w:rsidRPr="0036474B">
        <w:rPr>
          <w:rFonts w:ascii="Times New Roman" w:hAnsi="Times New Roman" w:cs="Times New Roman"/>
          <w:noProof/>
          <w:sz w:val="24"/>
          <w:szCs w:val="24"/>
          <w:lang w:val="en-GB"/>
        </w:rPr>
        <w:t>m</w:t>
      </w:r>
      <w:r w:rsidR="2A6779AE" w:rsidRPr="0036474B">
        <w:rPr>
          <w:rFonts w:ascii="Times New Roman" w:hAnsi="Times New Roman" w:cs="Times New Roman"/>
          <w:noProof/>
          <w:sz w:val="24"/>
          <w:szCs w:val="24"/>
          <w:lang w:val="en-GB"/>
        </w:rPr>
        <w:t xml:space="preserve">mission </w:t>
      </w:r>
      <w:r w:rsidR="6568E977" w:rsidRPr="0036474B">
        <w:rPr>
          <w:rFonts w:ascii="Times New Roman" w:hAnsi="Times New Roman" w:cs="Times New Roman"/>
          <w:noProof/>
          <w:sz w:val="24"/>
          <w:szCs w:val="24"/>
          <w:lang w:val="en-GB"/>
        </w:rPr>
        <w:t>(competition policy, specific role in crisis management framework).</w:t>
      </w:r>
      <w:r w:rsidRPr="0036474B">
        <w:rPr>
          <w:rFonts w:ascii="Times New Roman" w:hAnsi="Times New Roman" w:cs="Times New Roman"/>
          <w:noProof/>
          <w:sz w:val="24"/>
          <w:szCs w:val="24"/>
          <w:lang w:val="en-GB"/>
        </w:rPr>
        <w:t xml:space="preserve"> Other actors complement this mapping on other areas that are relevant for banking </w:t>
      </w:r>
      <w:r w:rsidR="5ADAA344" w:rsidRPr="0036474B">
        <w:rPr>
          <w:rFonts w:ascii="Times New Roman" w:hAnsi="Times New Roman" w:cs="Times New Roman"/>
          <w:noProof/>
          <w:sz w:val="24"/>
          <w:szCs w:val="24"/>
          <w:lang w:val="en-GB"/>
        </w:rPr>
        <w:t>activities</w:t>
      </w:r>
      <w:r w:rsidR="00864FBD" w:rsidRPr="0036474B">
        <w:rPr>
          <w:rStyle w:val="FootnoteReference"/>
          <w:rFonts w:ascii="Times New Roman" w:hAnsi="Times New Roman" w:cs="Times New Roman"/>
          <w:noProof/>
          <w:sz w:val="24"/>
          <w:szCs w:val="24"/>
          <w:lang w:val="en-GB"/>
        </w:rPr>
        <w:footnoteReference w:id="92"/>
      </w:r>
      <w:r w:rsidRPr="0036474B">
        <w:rPr>
          <w:rFonts w:ascii="Times New Roman" w:hAnsi="Times New Roman" w:cs="Times New Roman"/>
          <w:noProof/>
          <w:sz w:val="24"/>
          <w:szCs w:val="24"/>
          <w:lang w:val="en-GB"/>
        </w:rPr>
        <w:t>.</w:t>
      </w:r>
    </w:p>
    <w:p w14:paraId="4A4DC010" w14:textId="43F9058C" w:rsidR="00DA0B66" w:rsidRDefault="464D3887" w:rsidP="003D3D55">
      <w:pPr>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rPr>
        <w:t>P</w:t>
      </w:r>
      <w:r w:rsidR="3B77E87E" w:rsidRPr="0036474B">
        <w:rPr>
          <w:rFonts w:ascii="Times New Roman" w:hAnsi="Times New Roman" w:cs="Times New Roman"/>
          <w:noProof/>
          <w:sz w:val="24"/>
          <w:szCs w:val="24"/>
          <w:lang w:val="en-GB"/>
        </w:rPr>
        <w:t xml:space="preserve">rogress has been achieved through the establishment of the Banking Union with an integrated cooperation and decision-making in the Single Supervision Mechanism </w:t>
      </w:r>
      <w:r w:rsidR="6E6D1F2C" w:rsidRPr="0036474B">
        <w:rPr>
          <w:rFonts w:ascii="Times New Roman" w:hAnsi="Times New Roman" w:cs="Times New Roman"/>
          <w:noProof/>
          <w:sz w:val="24"/>
          <w:szCs w:val="24"/>
          <w:lang w:val="en-GB"/>
        </w:rPr>
        <w:t xml:space="preserve">(SSM) </w:t>
      </w:r>
      <w:r w:rsidR="3B77E87E" w:rsidRPr="0036474B">
        <w:rPr>
          <w:rFonts w:ascii="Times New Roman" w:hAnsi="Times New Roman" w:cs="Times New Roman"/>
          <w:noProof/>
          <w:sz w:val="24"/>
          <w:szCs w:val="24"/>
          <w:lang w:val="en-GB"/>
        </w:rPr>
        <w:t>and the Single Resolution Mechanism</w:t>
      </w:r>
      <w:r w:rsidR="6E6D1F2C" w:rsidRPr="0036474B">
        <w:rPr>
          <w:rFonts w:ascii="Times New Roman" w:hAnsi="Times New Roman" w:cs="Times New Roman"/>
          <w:noProof/>
          <w:sz w:val="24"/>
          <w:szCs w:val="24"/>
          <w:lang w:val="en-GB"/>
        </w:rPr>
        <w:t xml:space="preserve"> (SRM) </w:t>
      </w:r>
      <w:r w:rsidR="40E24DC6" w:rsidRPr="0036474B">
        <w:rPr>
          <w:rFonts w:ascii="Times New Roman" w:hAnsi="Times New Roman" w:cs="Times New Roman"/>
          <w:noProof/>
          <w:sz w:val="24"/>
          <w:szCs w:val="24"/>
          <w:lang w:val="en-GB"/>
        </w:rPr>
        <w:t xml:space="preserve">, including coordination between the ECB and the SRB, the </w:t>
      </w:r>
      <w:r w:rsidR="35A06937" w:rsidRPr="0036474B">
        <w:rPr>
          <w:rFonts w:ascii="Times New Roman" w:hAnsi="Times New Roman" w:cs="Times New Roman"/>
          <w:noProof/>
          <w:sz w:val="24"/>
          <w:szCs w:val="24"/>
          <w:lang w:val="en-GB"/>
        </w:rPr>
        <w:t xml:space="preserve">coordination between European Supervisory Agencies (EBA, EIOPA and ESMA) or, in the area of reporting, the recently set-up </w:t>
      </w:r>
      <w:hyperlink r:id="rId47">
        <w:r w:rsidR="35A06937" w:rsidRPr="0036474B">
          <w:rPr>
            <w:rStyle w:val="Hyperlink"/>
            <w:rFonts w:ascii="Times New Roman" w:hAnsi="Times New Roman" w:cs="Times New Roman"/>
            <w:noProof/>
            <w:sz w:val="24"/>
            <w:szCs w:val="24"/>
            <w:lang w:val="en-GB"/>
          </w:rPr>
          <w:t>Joint Bank Reporting Committee</w:t>
        </w:r>
      </w:hyperlink>
      <w:r w:rsidR="004514B8" w:rsidRPr="0036474B">
        <w:rPr>
          <w:rFonts w:ascii="Times New Roman" w:hAnsi="Times New Roman" w:cs="Times New Roman"/>
          <w:noProof/>
          <w:sz w:val="24"/>
          <w:szCs w:val="24"/>
          <w:lang w:val="en-GB"/>
        </w:rPr>
        <w:t xml:space="preserve"> (JBRC)</w:t>
      </w:r>
      <w:r w:rsidR="40771269" w:rsidRPr="0036474B">
        <w:rPr>
          <w:rFonts w:ascii="Times New Roman" w:hAnsi="Times New Roman" w:cs="Times New Roman"/>
          <w:noProof/>
          <w:sz w:val="24"/>
          <w:szCs w:val="24"/>
          <w:lang w:val="en-GB"/>
        </w:rPr>
        <w:t>.</w:t>
      </w:r>
      <w:r w:rsidRPr="0036474B">
        <w:rPr>
          <w:rFonts w:ascii="Times New Roman" w:hAnsi="Times New Roman" w:cs="Times New Roman"/>
          <w:noProof/>
          <w:sz w:val="24"/>
          <w:szCs w:val="24"/>
          <w:lang w:val="en-GB"/>
        </w:rPr>
        <w:t xml:space="preserve"> </w:t>
      </w:r>
      <w:r w:rsidR="1CC0F3E4" w:rsidRPr="0036474B">
        <w:rPr>
          <w:rFonts w:ascii="Times New Roman" w:hAnsi="Times New Roman" w:cs="Times New Roman"/>
          <w:noProof/>
          <w:sz w:val="24"/>
          <w:szCs w:val="24"/>
          <w:lang w:val="en-GB"/>
        </w:rPr>
        <w:t xml:space="preserve">When expanding beyond prudential matters, </w:t>
      </w:r>
      <w:r w:rsidR="18605E3C" w:rsidRPr="0036474B">
        <w:rPr>
          <w:rFonts w:ascii="Times New Roman" w:hAnsi="Times New Roman" w:cs="Times New Roman"/>
          <w:noProof/>
          <w:sz w:val="24"/>
          <w:szCs w:val="24"/>
          <w:lang w:val="en-GB"/>
        </w:rPr>
        <w:t xml:space="preserve">other actors </w:t>
      </w:r>
      <w:r w:rsidR="515052CA" w:rsidRPr="0036474B">
        <w:rPr>
          <w:rFonts w:ascii="Times New Roman" w:hAnsi="Times New Roman" w:cs="Times New Roman"/>
          <w:noProof/>
          <w:sz w:val="24"/>
          <w:szCs w:val="24"/>
          <w:lang w:val="en-GB"/>
        </w:rPr>
        <w:t xml:space="preserve">also </w:t>
      </w:r>
      <w:r w:rsidR="18605E3C" w:rsidRPr="0036474B">
        <w:rPr>
          <w:rFonts w:ascii="Times New Roman" w:hAnsi="Times New Roman" w:cs="Times New Roman"/>
          <w:noProof/>
          <w:sz w:val="24"/>
          <w:szCs w:val="24"/>
          <w:lang w:val="en-GB"/>
        </w:rPr>
        <w:t xml:space="preserve">play a role such as </w:t>
      </w:r>
      <w:r w:rsidR="047C485F" w:rsidRPr="0036474B">
        <w:rPr>
          <w:rFonts w:ascii="Times New Roman" w:hAnsi="Times New Roman" w:cs="Times New Roman"/>
          <w:noProof/>
          <w:sz w:val="24"/>
          <w:szCs w:val="24"/>
          <w:lang w:val="en-GB"/>
        </w:rPr>
        <w:t>financial intelligence units, data protection authorities</w:t>
      </w:r>
      <w:r w:rsidR="6342C240" w:rsidRPr="0036474B">
        <w:rPr>
          <w:rFonts w:ascii="Times New Roman" w:hAnsi="Times New Roman" w:cs="Times New Roman"/>
          <w:noProof/>
          <w:sz w:val="24"/>
          <w:szCs w:val="24"/>
          <w:lang w:val="en-GB"/>
        </w:rPr>
        <w:t xml:space="preserve">, consumer protection authorities </w:t>
      </w:r>
      <w:r w:rsidR="515052CA" w:rsidRPr="0036474B">
        <w:rPr>
          <w:rFonts w:ascii="Times New Roman" w:hAnsi="Times New Roman" w:cs="Times New Roman"/>
          <w:noProof/>
          <w:sz w:val="24"/>
          <w:szCs w:val="24"/>
          <w:lang w:val="en-GB"/>
        </w:rPr>
        <w:t xml:space="preserve">or </w:t>
      </w:r>
      <w:r w:rsidR="6342C240" w:rsidRPr="0036474B">
        <w:rPr>
          <w:rFonts w:ascii="Times New Roman" w:hAnsi="Times New Roman" w:cs="Times New Roman"/>
          <w:noProof/>
          <w:sz w:val="24"/>
          <w:szCs w:val="24"/>
          <w:lang w:val="en-GB"/>
        </w:rPr>
        <w:t xml:space="preserve">deposit guarantee schemes. </w:t>
      </w:r>
      <w:r w:rsidRPr="0036474B">
        <w:rPr>
          <w:rFonts w:ascii="Times New Roman" w:hAnsi="Times New Roman" w:cs="Times New Roman"/>
          <w:noProof/>
          <w:sz w:val="24"/>
          <w:szCs w:val="24"/>
          <w:lang w:val="en-GB"/>
        </w:rPr>
        <w:t>However, despite the existence of legal delineations granting different powers and tools to different authorities, the coexistence of a high number of authorities can be conducive to complexity and inefficiencies if their roles and responsibilities are not clear and if coordination for their respective tasks is not optimal.</w:t>
      </w:r>
    </w:p>
    <w:p w14:paraId="46B0833E" w14:textId="77777777" w:rsidR="00515B62" w:rsidRPr="0036474B" w:rsidRDefault="00515B62" w:rsidP="003D3D55">
      <w:pPr>
        <w:jc w:val="both"/>
        <w:rPr>
          <w:rFonts w:ascii="Times New Roman" w:hAnsi="Times New Roman" w:cs="Times New Roman"/>
          <w:noProof/>
          <w:sz w:val="24"/>
          <w:szCs w:val="24"/>
          <w:lang w:val="en-GB"/>
        </w:rPr>
      </w:pPr>
    </w:p>
    <w:p w14:paraId="22E7BB13" w14:textId="3708CCD9" w:rsidR="00D15F2D" w:rsidRPr="0036474B" w:rsidRDefault="00521A63" w:rsidP="00386222">
      <w:pPr>
        <w:pStyle w:val="ListParagraph"/>
        <w:numPr>
          <w:ilvl w:val="0"/>
          <w:numId w:val="80"/>
        </w:numPr>
        <w:jc w:val="both"/>
        <w:rPr>
          <w:rFonts w:ascii="Times New Roman" w:hAnsi="Times New Roman" w:cs="Times New Roman"/>
          <w:b/>
          <w:bCs/>
          <w:noProof/>
          <w:sz w:val="24"/>
          <w:szCs w:val="24"/>
          <w:lang w:val="en-GB"/>
        </w:rPr>
      </w:pPr>
      <w:r w:rsidRPr="0036474B">
        <w:rPr>
          <w:rFonts w:ascii="Times New Roman" w:hAnsi="Times New Roman" w:cs="Times New Roman"/>
          <w:b/>
          <w:bCs/>
          <w:noProof/>
          <w:sz w:val="24"/>
          <w:szCs w:val="24"/>
          <w:lang w:val="en-GB"/>
        </w:rPr>
        <w:t xml:space="preserve">Implementation </w:t>
      </w:r>
      <w:r w:rsidR="007E4027" w:rsidRPr="0036474B">
        <w:rPr>
          <w:rFonts w:ascii="Times New Roman" w:hAnsi="Times New Roman" w:cs="Times New Roman"/>
          <w:b/>
          <w:bCs/>
          <w:noProof/>
          <w:sz w:val="24"/>
          <w:szCs w:val="24"/>
          <w:lang w:val="en-GB"/>
        </w:rPr>
        <w:t xml:space="preserve">practices </w:t>
      </w:r>
      <w:r w:rsidRPr="0036474B">
        <w:rPr>
          <w:rFonts w:ascii="Times New Roman" w:hAnsi="Times New Roman" w:cs="Times New Roman"/>
          <w:b/>
          <w:bCs/>
          <w:noProof/>
          <w:sz w:val="24"/>
          <w:szCs w:val="24"/>
          <w:lang w:val="en-GB"/>
        </w:rPr>
        <w:t>and s</w:t>
      </w:r>
      <w:r w:rsidR="00B36F7A" w:rsidRPr="0036474B">
        <w:rPr>
          <w:rFonts w:ascii="Times New Roman" w:hAnsi="Times New Roman" w:cs="Times New Roman"/>
          <w:b/>
          <w:bCs/>
          <w:noProof/>
          <w:sz w:val="24"/>
          <w:szCs w:val="24"/>
          <w:lang w:val="en-GB"/>
        </w:rPr>
        <w:t>upervisory culture</w:t>
      </w:r>
    </w:p>
    <w:p w14:paraId="1631CB86" w14:textId="70BD3646" w:rsidR="00A1424C" w:rsidRDefault="003218F6" w:rsidP="00B86E4C">
      <w:pPr>
        <w:jc w:val="both"/>
        <w:rPr>
          <w:rFonts w:ascii="Times New Roman" w:hAnsi="Times New Roman" w:cs="Times New Roman"/>
          <w:noProof/>
          <w:sz w:val="24"/>
          <w:szCs w:val="24"/>
        </w:rPr>
      </w:pPr>
      <w:r w:rsidRPr="0036474B">
        <w:rPr>
          <w:rFonts w:ascii="Times New Roman" w:hAnsi="Times New Roman" w:cs="Times New Roman"/>
          <w:noProof/>
          <w:sz w:val="24"/>
          <w:szCs w:val="24"/>
        </w:rPr>
        <w:t xml:space="preserve">The consultation reveals that </w:t>
      </w:r>
      <w:r w:rsidR="006E7AA5" w:rsidRPr="0036474B">
        <w:rPr>
          <w:rFonts w:ascii="Times New Roman" w:hAnsi="Times New Roman" w:cs="Times New Roman"/>
          <w:noProof/>
          <w:sz w:val="24"/>
          <w:szCs w:val="24"/>
        </w:rPr>
        <w:t>supervisory discretion is perce</w:t>
      </w:r>
      <w:r w:rsidR="00DF3D35" w:rsidRPr="0036474B">
        <w:rPr>
          <w:rFonts w:ascii="Times New Roman" w:hAnsi="Times New Roman" w:cs="Times New Roman"/>
          <w:noProof/>
          <w:sz w:val="24"/>
          <w:szCs w:val="24"/>
        </w:rPr>
        <w:t>i</w:t>
      </w:r>
      <w:r w:rsidR="006E7AA5" w:rsidRPr="0036474B">
        <w:rPr>
          <w:rFonts w:ascii="Times New Roman" w:hAnsi="Times New Roman" w:cs="Times New Roman"/>
          <w:noProof/>
          <w:sz w:val="24"/>
          <w:szCs w:val="24"/>
        </w:rPr>
        <w:t>ved as a factor leading to inconsistent outcomes. The broad discretion exercised by supervisors—particularly in Pillar 2 assessments, internal model approvals, and stress testing—is identified as a major source of complexity. Banks report that supervisory expectations frequently exceed formal regulatory requirements, creating additional burdens without clear risk justification</w:t>
      </w:r>
      <w:r w:rsidR="00E678DA" w:rsidRPr="0036474B">
        <w:rPr>
          <w:rFonts w:ascii="Times New Roman" w:hAnsi="Times New Roman" w:cs="Times New Roman"/>
          <w:noProof/>
          <w:sz w:val="24"/>
          <w:szCs w:val="24"/>
        </w:rPr>
        <w:t>,</w:t>
      </w:r>
      <w:r w:rsidR="00E678DA" w:rsidRPr="0036474B">
        <w:rPr>
          <w:rFonts w:ascii="Times New Roman" w:eastAsia="Times New Roman" w:hAnsi="Times New Roman" w:cs="Times New Roman"/>
          <w:noProof/>
          <w:sz w:val="24"/>
          <w:szCs w:val="24"/>
        </w:rPr>
        <w:t xml:space="preserve"> exceeding what is necessary to ensure prudential stability and do not adequately reflect the risk areas and specificities of different business models</w:t>
      </w:r>
      <w:r w:rsidR="006E7AA5" w:rsidRPr="0036474B">
        <w:rPr>
          <w:rFonts w:ascii="Times New Roman" w:hAnsi="Times New Roman" w:cs="Times New Roman"/>
          <w:noProof/>
          <w:sz w:val="24"/>
          <w:szCs w:val="24"/>
        </w:rPr>
        <w:t>. The lack of transparency in how discretion is applied results in divergent outcomes across jurisdictions, reducing planning certainty and increasing compliance costs, especially for cross-border banking groups.</w:t>
      </w:r>
    </w:p>
    <w:p w14:paraId="47DD46B3" w14:textId="77777777" w:rsidR="00515B62" w:rsidRPr="0036474B" w:rsidRDefault="00515B62" w:rsidP="00B86E4C">
      <w:pPr>
        <w:jc w:val="both"/>
        <w:rPr>
          <w:rFonts w:ascii="Times New Roman" w:hAnsi="Times New Roman" w:cs="Times New Roman"/>
          <w:noProof/>
          <w:sz w:val="24"/>
          <w:szCs w:val="24"/>
          <w:lang w:val="en-GB"/>
        </w:rPr>
      </w:pPr>
    </w:p>
    <w:p w14:paraId="019DEB7B" w14:textId="04781B75" w:rsidR="008D28A3" w:rsidRDefault="00D63E2D" w:rsidP="00D03AD8">
      <w:pPr>
        <w:pStyle w:val="ListParagraph"/>
        <w:numPr>
          <w:ilvl w:val="2"/>
          <w:numId w:val="11"/>
        </w:numPr>
        <w:spacing w:after="120"/>
        <w:ind w:left="1077"/>
        <w:contextualSpacing w:val="0"/>
        <w:outlineLvl w:val="2"/>
        <w:rPr>
          <w:rFonts w:ascii="Times New Roman" w:hAnsi="Times New Roman" w:cs="Times New Roman"/>
          <w:b/>
          <w:bCs/>
          <w:noProof/>
          <w:sz w:val="24"/>
          <w:szCs w:val="24"/>
          <w:lang w:val="en-GB"/>
        </w:rPr>
      </w:pPr>
      <w:bookmarkStart w:id="48" w:name="_Toc234341745"/>
      <w:r w:rsidRPr="68117E40">
        <w:rPr>
          <w:rFonts w:ascii="Times New Roman" w:hAnsi="Times New Roman" w:cs="Times New Roman"/>
          <w:b/>
          <w:bCs/>
          <w:noProof/>
          <w:sz w:val="24"/>
          <w:szCs w:val="24"/>
          <w:lang w:val="en-GB"/>
        </w:rPr>
        <w:t>Micro-</w:t>
      </w:r>
      <w:r w:rsidRPr="00D03AD8">
        <w:rPr>
          <w:rFonts w:ascii="Times New Roman" w:hAnsi="Times New Roman" w:cs="Times New Roman"/>
          <w:b/>
          <w:bCs/>
          <w:noProof/>
          <w:sz w:val="24"/>
          <w:szCs w:val="24"/>
          <w:lang w:val="en-GB"/>
        </w:rPr>
        <w:t>prudential</w:t>
      </w:r>
      <w:r w:rsidR="00B86E4C" w:rsidRPr="68117E40">
        <w:rPr>
          <w:rFonts w:ascii="Times New Roman" w:hAnsi="Times New Roman" w:cs="Times New Roman"/>
          <w:b/>
          <w:bCs/>
          <w:noProof/>
          <w:sz w:val="24"/>
          <w:szCs w:val="24"/>
          <w:lang w:val="en-GB"/>
        </w:rPr>
        <w:t xml:space="preserve"> requirements</w:t>
      </w:r>
      <w:bookmarkEnd w:id="48"/>
    </w:p>
    <w:p w14:paraId="0618DD53" w14:textId="5050CBCA" w:rsidR="68117E40" w:rsidRDefault="2E6D21C9" w:rsidP="001C31BB">
      <w:pPr>
        <w:pStyle w:val="ListParagraph"/>
        <w:numPr>
          <w:ilvl w:val="0"/>
          <w:numId w:val="58"/>
        </w:numPr>
        <w:spacing w:after="120"/>
        <w:contextualSpacing w:val="0"/>
        <w:rPr>
          <w:rFonts w:ascii="Times New Roman" w:eastAsia="Times New Roman" w:hAnsi="Times New Roman" w:cs="Times New Roman"/>
          <w:noProof/>
          <w:color w:val="000000" w:themeColor="text1"/>
          <w:sz w:val="24"/>
          <w:szCs w:val="24"/>
          <w:lang w:val="en-GB"/>
        </w:rPr>
      </w:pPr>
      <w:r w:rsidRPr="2EE46B68">
        <w:rPr>
          <w:rFonts w:ascii="Times New Roman" w:eastAsia="Times New Roman" w:hAnsi="Times New Roman" w:cs="Times New Roman"/>
          <w:b/>
          <w:bCs/>
          <w:noProof/>
          <w:color w:val="000000" w:themeColor="text1"/>
          <w:sz w:val="24"/>
          <w:szCs w:val="24"/>
          <w:lang w:val="en-GB"/>
        </w:rPr>
        <w:t xml:space="preserve">Pillar 2 </w:t>
      </w:r>
    </w:p>
    <w:p w14:paraId="0EEB672C" w14:textId="14074D23" w:rsidR="68117E40" w:rsidRDefault="2E6D21C9" w:rsidP="001C31BB">
      <w:pPr>
        <w:spacing w:before="240" w:after="120" w:line="276" w:lineRule="auto"/>
        <w:jc w:val="both"/>
        <w:rPr>
          <w:rFonts w:ascii="Times New Roman" w:eastAsia="Times New Roman" w:hAnsi="Times New Roman" w:cs="Times New Roman"/>
          <w:noProof/>
          <w:color w:val="000000" w:themeColor="text1"/>
          <w:sz w:val="24"/>
          <w:szCs w:val="24"/>
          <w:lang w:val="en-GB"/>
        </w:rPr>
      </w:pPr>
      <w:r w:rsidRPr="2EE46B68">
        <w:rPr>
          <w:rFonts w:ascii="Times New Roman" w:eastAsia="Times New Roman" w:hAnsi="Times New Roman" w:cs="Times New Roman"/>
          <w:noProof/>
          <w:color w:val="000000" w:themeColor="text1"/>
          <w:sz w:val="24"/>
          <w:szCs w:val="24"/>
          <w:lang w:val="en-GB"/>
        </w:rPr>
        <w:t>Pillar 2 is a core component of the capital framework for the EU banking sector, complementing the standardised Pillar 1 requirements with supervisory tools tailored to individual banks by addressing bank-specific risks and supporting institution’s capacity to withstand potential stress scenarios. In its practical application, institutions are subject to the Supervisory Review and Evaluation Process (SREP) in which supervisors form a view of banks individual risk profiles and engage in a dialogue with the institution. Following the SREP, institutions can be subject to supervisory capital add-ons covered by the Pillar 2 requirement (P2R), a legally non-binding Pillar 2 guidance (P2G) specifying the capital levels banks should maintain beyond mandatory requirements, and qualitative measures. In the P2R supervisors assess risks that are not, or not sufficiently, captured under Pillar 1. The P2G is a forward-looking measure based on supervisory stress test outcomes.</w:t>
      </w:r>
    </w:p>
    <w:p w14:paraId="5CCB2FE0" w14:textId="36E39C2B" w:rsidR="68117E40" w:rsidRDefault="2E6D21C9" w:rsidP="001C31BB">
      <w:pPr>
        <w:spacing w:before="240" w:after="120" w:line="276" w:lineRule="auto"/>
        <w:jc w:val="both"/>
        <w:rPr>
          <w:rFonts w:ascii="Times New Roman" w:eastAsia="Times New Roman" w:hAnsi="Times New Roman" w:cs="Times New Roman"/>
          <w:noProof/>
          <w:color w:val="000000" w:themeColor="text1"/>
          <w:sz w:val="24"/>
          <w:szCs w:val="24"/>
          <w:lang w:val="en-GB"/>
        </w:rPr>
      </w:pPr>
      <w:r w:rsidRPr="2EE46B68">
        <w:rPr>
          <w:rFonts w:ascii="Times New Roman" w:eastAsia="Times New Roman" w:hAnsi="Times New Roman" w:cs="Times New Roman"/>
          <w:noProof/>
          <w:color w:val="000000" w:themeColor="text1"/>
          <w:sz w:val="24"/>
          <w:szCs w:val="24"/>
          <w:lang w:val="en-GB"/>
        </w:rPr>
        <w:t>The EU Pillar 2 approach implements the “Supervisory Review Process” laid out in the Basel standards a principles-based approach granting flexibility to jurisdictions to implement measures addressing additional risks not covered by the framework. The Basel framework does not prescribe a specific capital add-on, its order and interaction within the capital stack, nor does it specify the type or quality of capital required to satisfy Pillar 2 requirements and disclosure obligations. The prescriptive and expansive nature of the EU Pillar 2 implementation of the Basel framework has given rise to concerns regarding consistency, transparency and global competitiveness, diverging from the implementation by other jurisdictions. Stakeholders have raised concerns about the current design and application of Pillar 2 requirements and guidance, notably possible overlaps with other requirements which could lead to double counting. Concern has also been raised regarding the limited transparency of the methodologies used to set Pillar 2 measures with a demand for a clearer breakdown of decisions, increased clarity and incentives relating to remediation and a better reflection of underlying risks.</w:t>
      </w:r>
      <w:r w:rsidR="00AC2B0B">
        <w:rPr>
          <w:rFonts w:ascii="Times New Roman" w:eastAsia="Times New Roman" w:hAnsi="Times New Roman" w:cs="Times New Roman"/>
          <w:noProof/>
          <w:color w:val="000000" w:themeColor="text1"/>
          <w:sz w:val="24"/>
          <w:szCs w:val="24"/>
          <w:lang w:val="en-GB"/>
        </w:rPr>
        <w:t xml:space="preserve"> </w:t>
      </w:r>
      <w:r w:rsidRPr="2EE46B68">
        <w:rPr>
          <w:rFonts w:ascii="Times New Roman" w:eastAsia="Times New Roman" w:hAnsi="Times New Roman" w:cs="Times New Roman"/>
          <w:noProof/>
          <w:color w:val="000000" w:themeColor="text1"/>
          <w:sz w:val="24"/>
          <w:szCs w:val="24"/>
          <w:lang w:val="en-GB"/>
        </w:rPr>
        <w:t xml:space="preserve">At the same time, the robust supervisory approach is a key strength of the EU framework. It allows supervisors to identify, measure and manage bank-specific risks, incentivises banks to improve their risk management and strengthens the resilience of the EU banking sector by ensuring a sound capitalisation of individual banks. </w:t>
      </w:r>
    </w:p>
    <w:p w14:paraId="1AB1D4C1" w14:textId="1E2CBFCE" w:rsidR="68117E40" w:rsidRDefault="2E6D21C9" w:rsidP="001C31BB">
      <w:pPr>
        <w:spacing w:before="240" w:after="120" w:line="276" w:lineRule="auto"/>
        <w:jc w:val="both"/>
        <w:rPr>
          <w:rFonts w:ascii="Times New Roman" w:eastAsia="Times New Roman" w:hAnsi="Times New Roman" w:cs="Times New Roman"/>
          <w:noProof/>
          <w:color w:val="000000" w:themeColor="text1"/>
          <w:sz w:val="24"/>
          <w:szCs w:val="24"/>
          <w:lang w:val="en-GB"/>
        </w:rPr>
      </w:pPr>
      <w:r w:rsidRPr="2EE46B68">
        <w:rPr>
          <w:rFonts w:ascii="Times New Roman" w:eastAsia="Times New Roman" w:hAnsi="Times New Roman" w:cs="Times New Roman"/>
          <w:noProof/>
          <w:color w:val="000000" w:themeColor="text1"/>
          <w:sz w:val="24"/>
          <w:szCs w:val="24"/>
          <w:lang w:val="en-GB"/>
        </w:rPr>
        <w:t>The following descriptive figures shed light on how Pillar 2 has been applied in practise.</w:t>
      </w:r>
    </w:p>
    <w:p w14:paraId="70B846EE" w14:textId="2D003113" w:rsidR="00E30524" w:rsidRDefault="00E30524" w:rsidP="00E30524">
      <w:pPr>
        <w:spacing w:after="120"/>
        <w:jc w:val="both"/>
        <w:rPr>
          <w:rFonts w:ascii="Times New Roman" w:eastAsia="Times New Roman" w:hAnsi="Times New Roman" w:cs="Times New Roman"/>
          <w:noProof/>
          <w:color w:val="000000" w:themeColor="text1"/>
          <w:sz w:val="24"/>
          <w:szCs w:val="24"/>
          <w:lang w:val="en-GB"/>
        </w:rPr>
      </w:pPr>
      <w:r w:rsidRPr="2EE46B68">
        <w:rPr>
          <w:rFonts w:ascii="Times New Roman" w:eastAsia="Times New Roman" w:hAnsi="Times New Roman" w:cs="Times New Roman"/>
          <w:i/>
          <w:iCs/>
          <w:noProof/>
          <w:color w:val="000000" w:themeColor="text1"/>
          <w:sz w:val="24"/>
          <w:szCs w:val="24"/>
        </w:rPr>
        <w:t xml:space="preserve">Figure </w:t>
      </w:r>
      <w:r w:rsidR="00AC2B0B">
        <w:rPr>
          <w:rFonts w:ascii="Times New Roman" w:eastAsia="Times New Roman" w:hAnsi="Times New Roman" w:cs="Times New Roman"/>
          <w:i/>
          <w:iCs/>
          <w:noProof/>
          <w:color w:val="000000" w:themeColor="text1"/>
          <w:sz w:val="24"/>
          <w:szCs w:val="24"/>
        </w:rPr>
        <w:t>2</w:t>
      </w:r>
      <w:r w:rsidR="005B63B3">
        <w:rPr>
          <w:rFonts w:ascii="Times New Roman" w:eastAsia="Times New Roman" w:hAnsi="Times New Roman" w:cs="Times New Roman"/>
          <w:i/>
          <w:iCs/>
          <w:noProof/>
          <w:color w:val="000000" w:themeColor="text1"/>
          <w:sz w:val="24"/>
          <w:szCs w:val="24"/>
        </w:rPr>
        <w:t>6</w:t>
      </w:r>
      <w:r w:rsidRPr="2EE46B68">
        <w:rPr>
          <w:rFonts w:ascii="Times New Roman" w:eastAsia="Times New Roman" w:hAnsi="Times New Roman" w:cs="Times New Roman"/>
          <w:i/>
          <w:iCs/>
          <w:noProof/>
          <w:color w:val="000000" w:themeColor="text1"/>
          <w:sz w:val="24"/>
          <w:szCs w:val="24"/>
        </w:rPr>
        <w:t xml:space="preserve"> – Developments in overall capital requirements and Pillar 2 guidance – the total capital stack</w:t>
      </w:r>
    </w:p>
    <w:p w14:paraId="46224501" w14:textId="6538C0CF" w:rsidR="68117E40" w:rsidRDefault="2E6D21C9" w:rsidP="001C31BB">
      <w:pPr>
        <w:spacing w:before="240" w:after="120" w:line="276" w:lineRule="auto"/>
        <w:jc w:val="both"/>
        <w:rPr>
          <w:rFonts w:ascii="Times New Roman" w:eastAsia="Times New Roman" w:hAnsi="Times New Roman" w:cs="Times New Roman"/>
          <w:noProof/>
          <w:color w:val="000000" w:themeColor="text1"/>
          <w:sz w:val="24"/>
          <w:szCs w:val="24"/>
          <w:lang w:val="en-GB"/>
        </w:rPr>
      </w:pPr>
      <w:r>
        <w:rPr>
          <w:noProof/>
          <w:lang w:val="en-GB" w:eastAsia="en-GB"/>
        </w:rPr>
        <w:drawing>
          <wp:inline distT="0" distB="0" distL="0" distR="0" wp14:anchorId="00B994F2" wp14:editId="1D87B752">
            <wp:extent cx="5724525" cy="3695700"/>
            <wp:effectExtent l="0" t="0" r="9525" b="0"/>
            <wp:docPr id="16525095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509548" name="Picture 1652509548"/>
                    <pic:cNvPicPr/>
                  </pic:nvPicPr>
                  <pic:blipFill rotWithShape="1">
                    <a:blip r:embed="rId48">
                      <a:extLst>
                        <a:ext uri="{28A0092B-C50C-407E-A947-70E740481C1C}">
                          <a14:useLocalDpi xmlns:a14="http://schemas.microsoft.com/office/drawing/2010/main"/>
                        </a:ext>
                      </a:extLst>
                    </a:blip>
                    <a:srcRect t="12809"/>
                    <a:stretch>
                      <a:fillRect/>
                    </a:stretch>
                  </pic:blipFill>
                  <pic:spPr bwMode="auto">
                    <a:xfrm>
                      <a:off x="0" y="0"/>
                      <a:ext cx="5724525" cy="3695700"/>
                    </a:xfrm>
                    <a:prstGeom prst="rect">
                      <a:avLst/>
                    </a:prstGeom>
                    <a:ln>
                      <a:noFill/>
                    </a:ln>
                    <a:extLst>
                      <a:ext uri="{53640926-AAD7-44D8-BBD7-CCE9431645EC}">
                        <a14:shadowObscured xmlns:a14="http://schemas.microsoft.com/office/drawing/2010/main"/>
                      </a:ext>
                    </a:extLst>
                  </pic:spPr>
                </pic:pic>
              </a:graphicData>
            </a:graphic>
          </wp:inline>
        </w:drawing>
      </w:r>
    </w:p>
    <w:p w14:paraId="077E964D" w14:textId="521A38B4" w:rsidR="68117E40" w:rsidRDefault="2E6D21C9" w:rsidP="001C31BB">
      <w:pPr>
        <w:spacing w:after="120"/>
        <w:jc w:val="both"/>
        <w:rPr>
          <w:rFonts w:ascii="Times New Roman" w:eastAsia="Times New Roman" w:hAnsi="Times New Roman" w:cs="Times New Roman"/>
          <w:noProof/>
          <w:color w:val="000000" w:themeColor="text1"/>
          <w:sz w:val="24"/>
          <w:szCs w:val="24"/>
          <w:lang w:val="en-GB"/>
        </w:rPr>
      </w:pPr>
      <w:r w:rsidRPr="2EE46B68">
        <w:rPr>
          <w:rFonts w:ascii="Times New Roman" w:eastAsia="Times New Roman" w:hAnsi="Times New Roman" w:cs="Times New Roman"/>
          <w:i/>
          <w:iCs/>
          <w:noProof/>
          <w:color w:val="000000" w:themeColor="text1"/>
          <w:sz w:val="24"/>
          <w:szCs w:val="24"/>
        </w:rPr>
        <w:t>Source: ECB aggregated results of the 2025 SREP</w:t>
      </w:r>
    </w:p>
    <w:p w14:paraId="5ED64475" w14:textId="4B5A7C2E" w:rsidR="68117E40" w:rsidRDefault="2E6D21C9" w:rsidP="001C31BB">
      <w:pPr>
        <w:spacing w:before="240" w:after="120" w:line="276" w:lineRule="auto"/>
        <w:jc w:val="both"/>
        <w:rPr>
          <w:rFonts w:ascii="Times New Roman" w:eastAsia="Times New Roman" w:hAnsi="Times New Roman" w:cs="Times New Roman"/>
          <w:noProof/>
          <w:color w:val="000000" w:themeColor="text1"/>
          <w:sz w:val="24"/>
          <w:szCs w:val="24"/>
          <w:lang w:val="en-GB"/>
        </w:rPr>
      </w:pPr>
      <w:r w:rsidRPr="2EE46B68">
        <w:rPr>
          <w:rFonts w:ascii="Times New Roman" w:eastAsia="Times New Roman" w:hAnsi="Times New Roman" w:cs="Times New Roman"/>
          <w:noProof/>
          <w:color w:val="000000" w:themeColor="text1"/>
          <w:sz w:val="24"/>
          <w:szCs w:val="24"/>
          <w:lang w:val="en-GB"/>
        </w:rPr>
        <w:t xml:space="preserve">Figure </w:t>
      </w:r>
      <w:r w:rsidR="00AC2B0B">
        <w:rPr>
          <w:rFonts w:ascii="Times New Roman" w:eastAsia="Times New Roman" w:hAnsi="Times New Roman" w:cs="Times New Roman"/>
          <w:noProof/>
          <w:color w:val="000000" w:themeColor="text1"/>
          <w:sz w:val="24"/>
          <w:szCs w:val="24"/>
          <w:lang w:val="en-GB"/>
        </w:rPr>
        <w:t>2</w:t>
      </w:r>
      <w:r w:rsidR="005B63B3">
        <w:rPr>
          <w:rFonts w:ascii="Times New Roman" w:eastAsia="Times New Roman" w:hAnsi="Times New Roman" w:cs="Times New Roman"/>
          <w:noProof/>
          <w:color w:val="000000" w:themeColor="text1"/>
          <w:sz w:val="24"/>
          <w:szCs w:val="24"/>
          <w:lang w:val="en-GB"/>
        </w:rPr>
        <w:t>6</w:t>
      </w:r>
      <w:r w:rsidRPr="2EE46B68">
        <w:rPr>
          <w:rFonts w:ascii="Times New Roman" w:eastAsia="Times New Roman" w:hAnsi="Times New Roman" w:cs="Times New Roman"/>
          <w:noProof/>
          <w:color w:val="000000" w:themeColor="text1"/>
          <w:sz w:val="24"/>
          <w:szCs w:val="24"/>
          <w:lang w:val="en-GB"/>
        </w:rPr>
        <w:t xml:space="preserve"> shows the evolution of the EU going-concern capital stack between 2018 and 2026 for significant institutions supervised by the SSM, distinguishing between the different layers of the total capital stack. It illustrates that Pillar 2 capital layers have remained broadly stable in recent years. The chart also shows that P2R and P2G remain separate layers of capital within the capital stack, with different legal and supervisory functions. The P2R can be fulfilled with different capital instruments, while the P2G is expressed as CET1. The graph provides context regarding the discussion on simplification of the framework, as well as the development of the level of requirements over time.</w:t>
      </w:r>
    </w:p>
    <w:p w14:paraId="6C3A9876" w14:textId="2127A545" w:rsidR="00E30524" w:rsidRDefault="00E30524" w:rsidP="00E30524">
      <w:pPr>
        <w:spacing w:after="120"/>
        <w:jc w:val="both"/>
        <w:rPr>
          <w:rFonts w:ascii="Times New Roman" w:eastAsia="Times New Roman" w:hAnsi="Times New Roman" w:cs="Times New Roman"/>
          <w:noProof/>
          <w:color w:val="000000" w:themeColor="text1"/>
          <w:sz w:val="24"/>
          <w:szCs w:val="24"/>
          <w:lang w:val="en-GB"/>
        </w:rPr>
      </w:pPr>
      <w:r w:rsidRPr="2EE46B68">
        <w:rPr>
          <w:rFonts w:ascii="Times New Roman" w:eastAsia="Times New Roman" w:hAnsi="Times New Roman" w:cs="Times New Roman"/>
          <w:i/>
          <w:iCs/>
          <w:noProof/>
          <w:color w:val="000000" w:themeColor="text1"/>
          <w:sz w:val="24"/>
          <w:szCs w:val="24"/>
        </w:rPr>
        <w:t xml:space="preserve">Figure </w:t>
      </w:r>
      <w:r w:rsidR="00AC2B0B">
        <w:rPr>
          <w:rFonts w:ascii="Times New Roman" w:eastAsia="Times New Roman" w:hAnsi="Times New Roman" w:cs="Times New Roman"/>
          <w:i/>
          <w:iCs/>
          <w:noProof/>
          <w:color w:val="000000" w:themeColor="text1"/>
          <w:sz w:val="24"/>
          <w:szCs w:val="24"/>
        </w:rPr>
        <w:t>2</w:t>
      </w:r>
      <w:r w:rsidR="005B63B3">
        <w:rPr>
          <w:rFonts w:ascii="Times New Roman" w:eastAsia="Times New Roman" w:hAnsi="Times New Roman" w:cs="Times New Roman"/>
          <w:i/>
          <w:iCs/>
          <w:noProof/>
          <w:color w:val="000000" w:themeColor="text1"/>
          <w:sz w:val="24"/>
          <w:szCs w:val="24"/>
        </w:rPr>
        <w:t xml:space="preserve">7 </w:t>
      </w:r>
      <w:r w:rsidRPr="2EE46B68">
        <w:rPr>
          <w:rFonts w:ascii="Times New Roman" w:eastAsia="Times New Roman" w:hAnsi="Times New Roman" w:cs="Times New Roman"/>
          <w:i/>
          <w:iCs/>
          <w:noProof/>
          <w:color w:val="000000" w:themeColor="text1"/>
          <w:sz w:val="24"/>
          <w:szCs w:val="24"/>
        </w:rPr>
        <w:t>– Percentage contribution to P2R by risk (overall P2R = 100%)</w:t>
      </w:r>
    </w:p>
    <w:p w14:paraId="3DBF74D0" w14:textId="73CA9104" w:rsidR="68117E40" w:rsidRDefault="2E6D21C9" w:rsidP="001C31BB">
      <w:pPr>
        <w:spacing w:before="240" w:after="120" w:line="276" w:lineRule="auto"/>
        <w:jc w:val="center"/>
        <w:rPr>
          <w:rFonts w:ascii="Times New Roman" w:eastAsia="Times New Roman" w:hAnsi="Times New Roman" w:cs="Times New Roman"/>
          <w:noProof/>
          <w:color w:val="000000" w:themeColor="text1"/>
          <w:sz w:val="24"/>
          <w:szCs w:val="24"/>
          <w:lang w:val="en-GB"/>
        </w:rPr>
      </w:pPr>
      <w:r>
        <w:rPr>
          <w:noProof/>
          <w:lang w:val="en-GB" w:eastAsia="en-GB"/>
        </w:rPr>
        <w:drawing>
          <wp:inline distT="0" distB="0" distL="0" distR="0" wp14:anchorId="75F67EB2" wp14:editId="015A0E8C">
            <wp:extent cx="3952875" cy="3067050"/>
            <wp:effectExtent l="0" t="0" r="0" b="0"/>
            <wp:docPr id="13780269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026937" name="Picture 1378026937"/>
                    <pic:cNvPicPr/>
                  </pic:nvPicPr>
                  <pic:blipFill>
                    <a:blip r:embed="rId49">
                      <a:extLst>
                        <a:ext uri="{28A0092B-C50C-407E-A947-70E740481C1C}">
                          <a14:useLocalDpi xmlns:a14="http://schemas.microsoft.com/office/drawing/2010/main"/>
                        </a:ext>
                      </a:extLst>
                    </a:blip>
                    <a:stretch>
                      <a:fillRect/>
                    </a:stretch>
                  </pic:blipFill>
                  <pic:spPr>
                    <a:xfrm>
                      <a:off x="0" y="0"/>
                      <a:ext cx="3952875" cy="3067050"/>
                    </a:xfrm>
                    <a:prstGeom prst="rect">
                      <a:avLst/>
                    </a:prstGeom>
                  </pic:spPr>
                </pic:pic>
              </a:graphicData>
            </a:graphic>
          </wp:inline>
        </w:drawing>
      </w:r>
    </w:p>
    <w:p w14:paraId="07F067B7" w14:textId="32FDDC2A" w:rsidR="68117E40" w:rsidRDefault="2E6D21C9" w:rsidP="001C31BB">
      <w:pPr>
        <w:spacing w:after="120"/>
        <w:jc w:val="both"/>
        <w:rPr>
          <w:rFonts w:ascii="Times New Roman" w:eastAsia="Times New Roman" w:hAnsi="Times New Roman" w:cs="Times New Roman"/>
          <w:noProof/>
          <w:color w:val="000000" w:themeColor="text1"/>
          <w:sz w:val="24"/>
          <w:szCs w:val="24"/>
          <w:lang w:val="en-GB"/>
        </w:rPr>
      </w:pPr>
      <w:r w:rsidRPr="2EE46B68">
        <w:rPr>
          <w:rFonts w:ascii="Times New Roman" w:eastAsia="Times New Roman" w:hAnsi="Times New Roman" w:cs="Times New Roman"/>
          <w:i/>
          <w:iCs/>
          <w:noProof/>
          <w:color w:val="000000" w:themeColor="text1"/>
          <w:sz w:val="24"/>
          <w:szCs w:val="24"/>
        </w:rPr>
        <w:t xml:space="preserve">Source: EBA Convergence Report – 288 banks </w:t>
      </w:r>
    </w:p>
    <w:p w14:paraId="1023FDA9" w14:textId="5C778C52" w:rsidR="68117E40" w:rsidRDefault="2E6D21C9" w:rsidP="001C31BB">
      <w:pPr>
        <w:spacing w:before="240" w:after="120" w:line="276" w:lineRule="auto"/>
        <w:jc w:val="both"/>
        <w:rPr>
          <w:rFonts w:ascii="Times New Roman" w:eastAsia="Times New Roman" w:hAnsi="Times New Roman" w:cs="Times New Roman"/>
          <w:noProof/>
          <w:color w:val="000000" w:themeColor="text1"/>
          <w:sz w:val="24"/>
          <w:szCs w:val="24"/>
          <w:lang w:val="en-GB"/>
        </w:rPr>
      </w:pPr>
      <w:r w:rsidRPr="2EE46B68">
        <w:rPr>
          <w:rFonts w:ascii="Times New Roman" w:eastAsia="Times New Roman" w:hAnsi="Times New Roman" w:cs="Times New Roman"/>
          <w:noProof/>
          <w:color w:val="000000" w:themeColor="text1"/>
          <w:sz w:val="24"/>
          <w:szCs w:val="24"/>
          <w:lang w:val="en-GB"/>
        </w:rPr>
        <w:t>The pie chart presents the contribution of different risk categories to total P2R. Credit and counterparty risk represents the largest share, followed by IRRBB, operational risk, internal governance, market risk, business model risk, concentration risk, model deficiencies and other risks. The figure shows the distribution of P2R components that are capturing risks insufficiently addressed in Pillar 1 (credit, market and operational risk), and risks not addressed in Pillar 1 (including IRRBB, governance, business model and concentration risk).</w:t>
      </w:r>
    </w:p>
    <w:p w14:paraId="5174C394" w14:textId="318FB903" w:rsidR="00E30524" w:rsidRDefault="00E30524" w:rsidP="00E30524">
      <w:pPr>
        <w:spacing w:after="120"/>
        <w:jc w:val="both"/>
        <w:rPr>
          <w:rFonts w:ascii="Times New Roman" w:eastAsia="Times New Roman" w:hAnsi="Times New Roman" w:cs="Times New Roman"/>
          <w:noProof/>
          <w:color w:val="000000" w:themeColor="text1"/>
          <w:sz w:val="24"/>
          <w:szCs w:val="24"/>
          <w:lang w:val="en-GB"/>
        </w:rPr>
      </w:pPr>
      <w:r w:rsidRPr="2EE46B68">
        <w:rPr>
          <w:rFonts w:ascii="Times New Roman" w:eastAsia="Times New Roman" w:hAnsi="Times New Roman" w:cs="Times New Roman"/>
          <w:i/>
          <w:iCs/>
          <w:noProof/>
          <w:color w:val="000000" w:themeColor="text1"/>
          <w:sz w:val="24"/>
          <w:szCs w:val="24"/>
        </w:rPr>
        <w:t xml:space="preserve">Figure </w:t>
      </w:r>
      <w:r w:rsidR="00AC2B0B">
        <w:rPr>
          <w:rFonts w:ascii="Times New Roman" w:eastAsia="Times New Roman" w:hAnsi="Times New Roman" w:cs="Times New Roman"/>
          <w:i/>
          <w:iCs/>
          <w:noProof/>
          <w:color w:val="000000" w:themeColor="text1"/>
          <w:sz w:val="24"/>
          <w:szCs w:val="24"/>
        </w:rPr>
        <w:t>2</w:t>
      </w:r>
      <w:r w:rsidR="00BA27EA">
        <w:rPr>
          <w:rFonts w:ascii="Times New Roman" w:eastAsia="Times New Roman" w:hAnsi="Times New Roman" w:cs="Times New Roman"/>
          <w:i/>
          <w:iCs/>
          <w:noProof/>
          <w:color w:val="000000" w:themeColor="text1"/>
          <w:sz w:val="24"/>
          <w:szCs w:val="24"/>
        </w:rPr>
        <w:t>8</w:t>
      </w:r>
      <w:r w:rsidRPr="2EE46B68">
        <w:rPr>
          <w:rFonts w:ascii="Times New Roman" w:eastAsia="Times New Roman" w:hAnsi="Times New Roman" w:cs="Times New Roman"/>
          <w:i/>
          <w:iCs/>
          <w:noProof/>
          <w:color w:val="000000" w:themeColor="text1"/>
          <w:sz w:val="24"/>
          <w:szCs w:val="24"/>
        </w:rPr>
        <w:t xml:space="preserve"> – Distribution of total capital Pillar 2 requirements (percentages of RWA)</w:t>
      </w:r>
    </w:p>
    <w:p w14:paraId="55BA9A69" w14:textId="2D8FA701" w:rsidR="68117E40" w:rsidRDefault="2E6D21C9" w:rsidP="001C31BB">
      <w:pPr>
        <w:spacing w:before="240" w:after="120" w:line="276" w:lineRule="auto"/>
        <w:jc w:val="both"/>
        <w:rPr>
          <w:rFonts w:ascii="Times New Roman" w:eastAsia="Times New Roman" w:hAnsi="Times New Roman" w:cs="Times New Roman"/>
          <w:noProof/>
          <w:color w:val="000000" w:themeColor="text1"/>
          <w:sz w:val="24"/>
          <w:szCs w:val="24"/>
          <w:lang w:val="en-GB"/>
        </w:rPr>
      </w:pPr>
      <w:r>
        <w:rPr>
          <w:noProof/>
          <w:lang w:val="en-GB" w:eastAsia="en-GB"/>
        </w:rPr>
        <w:drawing>
          <wp:inline distT="0" distB="0" distL="0" distR="0" wp14:anchorId="276B9124" wp14:editId="33DACC84">
            <wp:extent cx="5724525" cy="3638550"/>
            <wp:effectExtent l="0" t="0" r="9525" b="0"/>
            <wp:docPr id="1065815429" name="drawing" title="A graph of blue and yellow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815429" name="Picture 1065815429"/>
                    <pic:cNvPicPr/>
                  </pic:nvPicPr>
                  <pic:blipFill rotWithShape="1">
                    <a:blip r:embed="rId50">
                      <a:extLst>
                        <a:ext uri="{28A0092B-C50C-407E-A947-70E740481C1C}">
                          <a14:useLocalDpi xmlns:a14="http://schemas.microsoft.com/office/drawing/2010/main"/>
                        </a:ext>
                      </a:extLst>
                    </a:blip>
                    <a:srcRect t="9048"/>
                    <a:stretch>
                      <a:fillRect/>
                    </a:stretch>
                  </pic:blipFill>
                  <pic:spPr bwMode="auto">
                    <a:xfrm>
                      <a:off x="0" y="0"/>
                      <a:ext cx="5724525" cy="3638550"/>
                    </a:xfrm>
                    <a:prstGeom prst="rect">
                      <a:avLst/>
                    </a:prstGeom>
                    <a:ln>
                      <a:noFill/>
                    </a:ln>
                    <a:extLst>
                      <a:ext uri="{53640926-AAD7-44D8-BBD7-CCE9431645EC}">
                        <a14:shadowObscured xmlns:a14="http://schemas.microsoft.com/office/drawing/2010/main"/>
                      </a:ext>
                    </a:extLst>
                  </pic:spPr>
                </pic:pic>
              </a:graphicData>
            </a:graphic>
          </wp:inline>
        </w:drawing>
      </w:r>
    </w:p>
    <w:p w14:paraId="0AF9DE39" w14:textId="7D63B455" w:rsidR="68117E40" w:rsidRDefault="2E6D21C9" w:rsidP="001C31BB">
      <w:pPr>
        <w:spacing w:after="120"/>
        <w:jc w:val="both"/>
        <w:rPr>
          <w:rFonts w:ascii="Times New Roman" w:eastAsia="Times New Roman" w:hAnsi="Times New Roman" w:cs="Times New Roman"/>
          <w:noProof/>
          <w:color w:val="000000" w:themeColor="text1"/>
          <w:sz w:val="24"/>
          <w:szCs w:val="24"/>
          <w:lang w:val="en-GB"/>
        </w:rPr>
      </w:pPr>
      <w:r w:rsidRPr="2EE46B68">
        <w:rPr>
          <w:rFonts w:ascii="Times New Roman" w:eastAsia="Times New Roman" w:hAnsi="Times New Roman" w:cs="Times New Roman"/>
          <w:i/>
          <w:iCs/>
          <w:noProof/>
          <w:color w:val="000000" w:themeColor="text1"/>
          <w:sz w:val="24"/>
          <w:szCs w:val="24"/>
        </w:rPr>
        <w:t>Source: ECB aggregated results of the 2025 SREP</w:t>
      </w:r>
    </w:p>
    <w:p w14:paraId="060FB888" w14:textId="2D196214" w:rsidR="68117E40" w:rsidRDefault="2E6D21C9" w:rsidP="00515B62">
      <w:pPr>
        <w:jc w:val="both"/>
        <w:rPr>
          <w:rFonts w:ascii="Times New Roman" w:eastAsia="Times New Roman" w:hAnsi="Times New Roman" w:cs="Times New Roman"/>
          <w:noProof/>
          <w:color w:val="000000" w:themeColor="text1"/>
          <w:sz w:val="24"/>
          <w:szCs w:val="24"/>
          <w:lang w:val="en-GB"/>
        </w:rPr>
      </w:pPr>
      <w:r w:rsidRPr="2EE46B68">
        <w:rPr>
          <w:rFonts w:ascii="Times New Roman" w:eastAsia="Times New Roman" w:hAnsi="Times New Roman" w:cs="Times New Roman"/>
          <w:noProof/>
          <w:color w:val="000000" w:themeColor="text1"/>
          <w:sz w:val="24"/>
          <w:szCs w:val="24"/>
          <w:lang w:val="en-GB"/>
        </w:rPr>
        <w:t xml:space="preserve">The graph shows the distribution of total capital P2Rs over time, including the median, the interquartile range and the 5th and 95th percentiles. It indicates that the median P2R has been broadly stable in recent years, while the interquartile range fluctuates, and has narrowed in the most recent year. </w:t>
      </w:r>
    </w:p>
    <w:p w14:paraId="778E5124" w14:textId="0A7F8B7B" w:rsidR="68117E40" w:rsidRDefault="2E6D21C9" w:rsidP="001C31BB">
      <w:pPr>
        <w:spacing w:before="240" w:after="120" w:line="276" w:lineRule="auto"/>
        <w:jc w:val="both"/>
        <w:rPr>
          <w:rFonts w:ascii="Times New Roman" w:eastAsia="Times New Roman" w:hAnsi="Times New Roman" w:cs="Times New Roman"/>
          <w:noProof/>
          <w:color w:val="000000" w:themeColor="text1"/>
          <w:sz w:val="24"/>
          <w:szCs w:val="24"/>
          <w:lang w:val="en-GB"/>
        </w:rPr>
      </w:pPr>
      <w:r w:rsidRPr="2EE46B68">
        <w:rPr>
          <w:rFonts w:ascii="Times New Roman" w:eastAsia="Times New Roman" w:hAnsi="Times New Roman" w:cs="Times New Roman"/>
          <w:noProof/>
          <w:color w:val="000000" w:themeColor="text1"/>
          <w:sz w:val="24"/>
          <w:szCs w:val="24"/>
          <w:lang w:val="en-GB"/>
        </w:rPr>
        <w:t>In recent years, the SREP and Pillar 2 requirements have been amended through regulatory changes</w:t>
      </w:r>
      <w:r w:rsidRPr="2EE46B68">
        <w:rPr>
          <w:rFonts w:ascii="Times New Roman" w:eastAsia="Times New Roman" w:hAnsi="Times New Roman" w:cs="Times New Roman"/>
          <w:noProof/>
          <w:color w:val="000000" w:themeColor="text1"/>
          <w:sz w:val="24"/>
          <w:szCs w:val="24"/>
          <w:vertAlign w:val="superscript"/>
          <w:lang w:val="en-GB"/>
        </w:rPr>
        <w:t>93</w:t>
      </w:r>
      <w:r w:rsidRPr="2EE46B68">
        <w:rPr>
          <w:rFonts w:ascii="Times New Roman" w:eastAsia="Times New Roman" w:hAnsi="Times New Roman" w:cs="Times New Roman"/>
          <w:noProof/>
          <w:color w:val="000000" w:themeColor="text1"/>
          <w:sz w:val="24"/>
          <w:szCs w:val="24"/>
          <w:lang w:val="en-GB"/>
        </w:rPr>
        <w:t>, and supervisory methodologies are regularly updated. The ECB Banking Supervision has recently implemented a new P2R methodology and proposed a reform agenda intended to increase the efficiency, effectiveness and risk-based focus of prudential supervision. These reforms are an important step in ensuring an adequate supervisory review framework.</w:t>
      </w:r>
    </w:p>
    <w:p w14:paraId="3B9DC9BC" w14:textId="63B433AD" w:rsidR="68117E40" w:rsidRDefault="2E6D21C9" w:rsidP="001C31BB">
      <w:pPr>
        <w:spacing w:before="240" w:after="120" w:line="276" w:lineRule="auto"/>
        <w:jc w:val="both"/>
        <w:rPr>
          <w:rFonts w:ascii="Times New Roman" w:eastAsia="Times New Roman" w:hAnsi="Times New Roman" w:cs="Times New Roman"/>
          <w:noProof/>
          <w:color w:val="000000" w:themeColor="text1"/>
          <w:sz w:val="24"/>
          <w:szCs w:val="24"/>
          <w:lang w:val="en-GB"/>
        </w:rPr>
      </w:pPr>
      <w:r w:rsidRPr="2EE46B68">
        <w:rPr>
          <w:rFonts w:ascii="Times New Roman" w:eastAsia="Times New Roman" w:hAnsi="Times New Roman" w:cs="Times New Roman"/>
          <w:noProof/>
          <w:color w:val="000000" w:themeColor="text1"/>
          <w:sz w:val="24"/>
          <w:szCs w:val="24"/>
          <w:lang w:val="en-GB"/>
        </w:rPr>
        <w:t>Taking into account the international level playing field and the need to simplify the prudential framework, further steps could be considered, to ensure that supervisory requirements remain risk-based, proportionate and sufficiently predictable, while avoiding unnecessary complexity or overlaps within the capital framework.</w:t>
      </w:r>
    </w:p>
    <w:p w14:paraId="05628BF8" w14:textId="49847A4E" w:rsidR="68117E40" w:rsidRDefault="2E6D21C9" w:rsidP="001C31BB">
      <w:pPr>
        <w:spacing w:after="120" w:line="276" w:lineRule="auto"/>
        <w:rPr>
          <w:rFonts w:ascii="Times New Roman" w:eastAsia="Times New Roman" w:hAnsi="Times New Roman" w:cs="Times New Roman"/>
          <w:noProof/>
          <w:color w:val="000000" w:themeColor="text1"/>
          <w:sz w:val="24"/>
          <w:szCs w:val="24"/>
          <w:lang w:val="en-GB"/>
        </w:rPr>
      </w:pPr>
      <w:r w:rsidRPr="2EE46B68">
        <w:rPr>
          <w:rFonts w:ascii="Times New Roman" w:eastAsia="Times New Roman" w:hAnsi="Times New Roman" w:cs="Times New Roman"/>
          <w:noProof/>
          <w:color w:val="000000" w:themeColor="text1"/>
          <w:sz w:val="24"/>
          <w:szCs w:val="24"/>
          <w:u w:val="single"/>
          <w:lang w:val="en-GB"/>
        </w:rPr>
        <w:t>Issues identified:</w:t>
      </w:r>
    </w:p>
    <w:p w14:paraId="43DFAFF2" w14:textId="7EC9A902" w:rsidR="68117E40" w:rsidRDefault="2E6D21C9" w:rsidP="001C31BB">
      <w:pPr>
        <w:pStyle w:val="ListParagraph"/>
        <w:numPr>
          <w:ilvl w:val="0"/>
          <w:numId w:val="57"/>
        </w:numPr>
        <w:spacing w:after="120" w:line="276" w:lineRule="auto"/>
        <w:contextualSpacing w:val="0"/>
        <w:jc w:val="both"/>
        <w:rPr>
          <w:rFonts w:ascii="Times New Roman" w:eastAsia="Times New Roman" w:hAnsi="Times New Roman" w:cs="Times New Roman"/>
          <w:noProof/>
          <w:color w:val="000000" w:themeColor="text1"/>
          <w:sz w:val="24"/>
          <w:szCs w:val="24"/>
          <w:lang w:val="en-GB"/>
        </w:rPr>
      </w:pPr>
      <w:r w:rsidRPr="2EE46B68">
        <w:rPr>
          <w:rFonts w:ascii="Times New Roman" w:eastAsia="Times New Roman" w:hAnsi="Times New Roman" w:cs="Times New Roman"/>
          <w:b/>
          <w:bCs/>
          <w:noProof/>
          <w:color w:val="000000" w:themeColor="text1"/>
          <w:sz w:val="24"/>
          <w:szCs w:val="24"/>
          <w:lang w:val="en-GB"/>
        </w:rPr>
        <w:t xml:space="preserve">Competitiveness and level playing field concerns: </w:t>
      </w:r>
      <w:r w:rsidRPr="2EE46B68">
        <w:rPr>
          <w:rFonts w:ascii="Times New Roman" w:eastAsia="Times New Roman" w:hAnsi="Times New Roman" w:cs="Times New Roman"/>
          <w:noProof/>
          <w:color w:val="000000" w:themeColor="text1"/>
          <w:sz w:val="24"/>
          <w:szCs w:val="24"/>
          <w:lang w:val="en-GB"/>
        </w:rPr>
        <w:t>EU banks argue that the implementation of Pillar 2 in the EU is more conservative and complex than in certain other major jurisdictions, potentially resulting in higher capital requirements and placing them at a competitive disadvantage. Other assessments point in a different direction and provide evidence that the capital requirements are not a competitive disadvantage.</w:t>
      </w:r>
    </w:p>
    <w:p w14:paraId="492B1737" w14:textId="1C54300D" w:rsidR="68117E40" w:rsidRDefault="2E6D21C9" w:rsidP="001C31BB">
      <w:pPr>
        <w:pStyle w:val="ListParagraph"/>
        <w:numPr>
          <w:ilvl w:val="0"/>
          <w:numId w:val="57"/>
        </w:numPr>
        <w:spacing w:after="120" w:line="276" w:lineRule="auto"/>
        <w:contextualSpacing w:val="0"/>
        <w:jc w:val="both"/>
        <w:rPr>
          <w:rFonts w:ascii="Times New Roman" w:eastAsia="Times New Roman" w:hAnsi="Times New Roman" w:cs="Times New Roman"/>
          <w:noProof/>
          <w:color w:val="000000" w:themeColor="text1"/>
          <w:sz w:val="24"/>
          <w:szCs w:val="24"/>
          <w:lang w:val="en-GB"/>
        </w:rPr>
      </w:pPr>
      <w:r w:rsidRPr="2EE46B68">
        <w:rPr>
          <w:rFonts w:ascii="Times New Roman" w:eastAsia="Times New Roman" w:hAnsi="Times New Roman" w:cs="Times New Roman"/>
          <w:b/>
          <w:bCs/>
          <w:noProof/>
          <w:color w:val="000000" w:themeColor="text1"/>
          <w:sz w:val="24"/>
          <w:szCs w:val="24"/>
          <w:lang w:val="en-GB"/>
        </w:rPr>
        <w:t>Potential overlaps and double counting:</w:t>
      </w:r>
      <w:r w:rsidRPr="2EE46B68">
        <w:rPr>
          <w:rFonts w:ascii="Times New Roman" w:eastAsia="Times New Roman" w:hAnsi="Times New Roman" w:cs="Times New Roman"/>
          <w:noProof/>
          <w:color w:val="000000" w:themeColor="text1"/>
          <w:sz w:val="24"/>
          <w:szCs w:val="24"/>
          <w:lang w:val="en-GB"/>
        </w:rPr>
        <w:t xml:space="preserve"> Concerns persist regarding possible overlaps between Pillar 1, Pillar 2 and macroprudential buffers. These concerns should be assessed carefully, distinguishing between actual double counting and the use of different instruments for different prudential purposes.</w:t>
      </w:r>
    </w:p>
    <w:p w14:paraId="40E52D6F" w14:textId="6E578FAC" w:rsidR="68117E40" w:rsidRDefault="2E6D21C9" w:rsidP="001C31BB">
      <w:pPr>
        <w:pStyle w:val="ListParagraph"/>
        <w:numPr>
          <w:ilvl w:val="0"/>
          <w:numId w:val="57"/>
        </w:numPr>
        <w:spacing w:after="120" w:line="276" w:lineRule="auto"/>
        <w:contextualSpacing w:val="0"/>
        <w:jc w:val="both"/>
        <w:rPr>
          <w:rFonts w:ascii="Times New Roman" w:eastAsia="Times New Roman" w:hAnsi="Times New Roman" w:cs="Times New Roman"/>
          <w:noProof/>
          <w:color w:val="000000" w:themeColor="text1"/>
          <w:sz w:val="24"/>
          <w:szCs w:val="24"/>
          <w:lang w:val="en-GB"/>
        </w:rPr>
      </w:pPr>
      <w:r w:rsidRPr="2EE46B68">
        <w:rPr>
          <w:rFonts w:ascii="Times New Roman" w:eastAsia="Times New Roman" w:hAnsi="Times New Roman" w:cs="Times New Roman"/>
          <w:b/>
          <w:bCs/>
          <w:noProof/>
          <w:color w:val="000000" w:themeColor="text1"/>
          <w:sz w:val="24"/>
          <w:szCs w:val="24"/>
          <w:lang w:val="en-GB"/>
        </w:rPr>
        <w:t xml:space="preserve">P2G perceived as quasi-binding: </w:t>
      </w:r>
      <w:r w:rsidRPr="2EE46B68">
        <w:rPr>
          <w:rFonts w:ascii="Times New Roman" w:eastAsia="Times New Roman" w:hAnsi="Times New Roman" w:cs="Times New Roman"/>
          <w:noProof/>
          <w:color w:val="000000" w:themeColor="text1"/>
          <w:sz w:val="24"/>
          <w:szCs w:val="24"/>
          <w:lang w:val="en-GB"/>
        </w:rPr>
        <w:t>Although P2G is formally non-binding, many EU banks perceive it as a de facto requirement due to supervisory expectations and market sensitivities. This may reduce institutions’ flexibility in capital management and contribute to the build-up of management buffers above regulatory minima. This issue is also relevant for the broader discussion on the clarity of communication around the consequences of temporarily operating below P2G.</w:t>
      </w:r>
    </w:p>
    <w:p w14:paraId="163AE6FD" w14:textId="183C9A24" w:rsidR="68117E40" w:rsidRDefault="2E6D21C9" w:rsidP="001C31BB">
      <w:pPr>
        <w:pStyle w:val="ListParagraph"/>
        <w:numPr>
          <w:ilvl w:val="0"/>
          <w:numId w:val="57"/>
        </w:numPr>
        <w:spacing w:after="120" w:line="276" w:lineRule="auto"/>
        <w:contextualSpacing w:val="0"/>
        <w:jc w:val="both"/>
        <w:rPr>
          <w:rFonts w:ascii="Times New Roman" w:eastAsia="Times New Roman" w:hAnsi="Times New Roman" w:cs="Times New Roman"/>
          <w:noProof/>
          <w:color w:val="000000" w:themeColor="text1"/>
          <w:sz w:val="24"/>
          <w:szCs w:val="24"/>
          <w:lang w:val="en-GB"/>
        </w:rPr>
      </w:pPr>
      <w:r w:rsidRPr="2EE46B68">
        <w:rPr>
          <w:rFonts w:ascii="Times New Roman" w:eastAsia="Times New Roman" w:hAnsi="Times New Roman" w:cs="Times New Roman"/>
          <w:b/>
          <w:bCs/>
          <w:noProof/>
          <w:color w:val="000000" w:themeColor="text1"/>
          <w:sz w:val="24"/>
          <w:szCs w:val="24"/>
          <w:lang w:val="en-GB"/>
        </w:rPr>
        <w:t xml:space="preserve">Limited transparency and predictability: </w:t>
      </w:r>
      <w:r w:rsidRPr="2EE46B68">
        <w:rPr>
          <w:rFonts w:ascii="Times New Roman" w:eastAsia="Times New Roman" w:hAnsi="Times New Roman" w:cs="Times New Roman"/>
          <w:noProof/>
          <w:color w:val="000000" w:themeColor="text1"/>
          <w:sz w:val="24"/>
          <w:szCs w:val="24"/>
          <w:lang w:val="en-GB"/>
        </w:rPr>
        <w:t xml:space="preserve">Stakeholders frequently report insufficient transparency regarding the methodologies underpinning the calibration of P2R and P2G and the supervisory communication of the final SREP decision, including how supervisory findings translate into specific capital add-ons and the intensity of supervision. </w:t>
      </w:r>
    </w:p>
    <w:p w14:paraId="7DD98364" w14:textId="0A71357E" w:rsidR="68117E40" w:rsidRDefault="2E6D21C9" w:rsidP="001C31BB">
      <w:pPr>
        <w:pStyle w:val="ListParagraph"/>
        <w:numPr>
          <w:ilvl w:val="0"/>
          <w:numId w:val="57"/>
        </w:numPr>
        <w:spacing w:after="120" w:line="276" w:lineRule="auto"/>
        <w:contextualSpacing w:val="0"/>
        <w:jc w:val="both"/>
        <w:rPr>
          <w:rFonts w:ascii="Times New Roman" w:eastAsia="Times New Roman" w:hAnsi="Times New Roman" w:cs="Times New Roman"/>
          <w:noProof/>
          <w:color w:val="000000" w:themeColor="text1"/>
          <w:sz w:val="24"/>
          <w:szCs w:val="24"/>
          <w:lang w:val="en-GB"/>
        </w:rPr>
      </w:pPr>
      <w:r w:rsidRPr="2EE46B68">
        <w:rPr>
          <w:rFonts w:ascii="Times New Roman" w:eastAsia="Times New Roman" w:hAnsi="Times New Roman" w:cs="Times New Roman"/>
          <w:b/>
          <w:bCs/>
          <w:noProof/>
          <w:color w:val="000000" w:themeColor="text1"/>
          <w:sz w:val="24"/>
          <w:szCs w:val="24"/>
          <w:lang w:val="en-GB"/>
        </w:rPr>
        <w:t xml:space="preserve">Limited risk sensitivity of outcomes: </w:t>
      </w:r>
      <w:r w:rsidRPr="2EE46B68">
        <w:rPr>
          <w:rFonts w:ascii="Times New Roman" w:eastAsia="Times New Roman" w:hAnsi="Times New Roman" w:cs="Times New Roman"/>
          <w:noProof/>
          <w:color w:val="000000" w:themeColor="text1"/>
          <w:sz w:val="24"/>
          <w:szCs w:val="24"/>
          <w:lang w:val="en-GB"/>
        </w:rPr>
        <w:t>The relatively stable and clustered nature of Pillar 2 over time, and between institutions, in the methodology of supervisory authorities, has led to perceptions that the framework does not sufficiently differentiate between institutions’ risk profiles. At the same time, stability may also reflect supervisory choices, methodological safeguards, the need for predictability and similarities in risk profiles across institutions</w:t>
      </w:r>
    </w:p>
    <w:p w14:paraId="11F96257" w14:textId="6E679F8F" w:rsidR="00676C09" w:rsidRDefault="2E6D21C9" w:rsidP="00AF27C1">
      <w:pPr>
        <w:pStyle w:val="ListParagraph"/>
        <w:numPr>
          <w:ilvl w:val="0"/>
          <w:numId w:val="57"/>
        </w:numPr>
        <w:spacing w:after="120" w:line="276" w:lineRule="auto"/>
        <w:contextualSpacing w:val="0"/>
        <w:jc w:val="both"/>
        <w:rPr>
          <w:rFonts w:ascii="Times New Roman" w:eastAsia="Times New Roman" w:hAnsi="Times New Roman" w:cs="Times New Roman"/>
          <w:noProof/>
          <w:color w:val="000000" w:themeColor="text1"/>
          <w:sz w:val="24"/>
          <w:szCs w:val="24"/>
          <w:lang w:val="en-GB"/>
        </w:rPr>
      </w:pPr>
      <w:r w:rsidRPr="2EE46B68">
        <w:rPr>
          <w:rFonts w:ascii="Times New Roman" w:eastAsia="Times New Roman" w:hAnsi="Times New Roman" w:cs="Times New Roman"/>
          <w:b/>
          <w:bCs/>
          <w:noProof/>
          <w:color w:val="000000" w:themeColor="text1"/>
          <w:sz w:val="24"/>
          <w:szCs w:val="24"/>
          <w:lang w:val="en-GB"/>
        </w:rPr>
        <w:t>Pillar 2 leverage ratio elements</w:t>
      </w:r>
      <w:r w:rsidRPr="2EE46B68">
        <w:rPr>
          <w:rFonts w:ascii="Times New Roman" w:eastAsia="Times New Roman" w:hAnsi="Times New Roman" w:cs="Times New Roman"/>
          <w:noProof/>
          <w:color w:val="000000" w:themeColor="text1"/>
          <w:sz w:val="24"/>
          <w:szCs w:val="24"/>
          <w:lang w:val="en-GB"/>
        </w:rPr>
        <w:t>: the number of elements in the EU leverage ratio stack exceeds that of the Basel standards.</w:t>
      </w:r>
    </w:p>
    <w:p w14:paraId="2B5203F2" w14:textId="6E3F164B" w:rsidR="00AF27C1" w:rsidRDefault="00AF27C1" w:rsidP="00C02610">
      <w:pPr>
        <w:spacing w:after="120" w:line="276" w:lineRule="auto"/>
        <w:jc w:val="both"/>
        <w:rPr>
          <w:rFonts w:ascii="Times New Roman" w:eastAsia="Times New Roman" w:hAnsi="Times New Roman" w:cs="Times New Roman"/>
          <w:b/>
          <w:bCs/>
          <w:noProof/>
          <w:color w:val="000000" w:themeColor="text1"/>
          <w:sz w:val="24"/>
          <w:szCs w:val="24"/>
          <w:lang w:val="en-GB"/>
        </w:rPr>
      </w:pPr>
    </w:p>
    <w:p w14:paraId="75809F30" w14:textId="4FB5BA88" w:rsidR="00676C09" w:rsidRPr="001752EA" w:rsidRDefault="00C67728" w:rsidP="001752EA">
      <w:pPr>
        <w:pStyle w:val="ListParagraph"/>
        <w:numPr>
          <w:ilvl w:val="0"/>
          <w:numId w:val="76"/>
        </w:numPr>
        <w:spacing w:after="120" w:line="276" w:lineRule="auto"/>
        <w:jc w:val="both"/>
        <w:rPr>
          <w:rFonts w:ascii="Times New Roman" w:eastAsia="Times New Roman" w:hAnsi="Times New Roman" w:cs="Times New Roman"/>
          <w:b/>
          <w:noProof/>
          <w:color w:val="000000" w:themeColor="text1"/>
          <w:sz w:val="24"/>
          <w:szCs w:val="24"/>
          <w:lang w:val="en-GB"/>
        </w:rPr>
      </w:pPr>
      <w:r w:rsidRPr="001752EA">
        <w:rPr>
          <w:rFonts w:ascii="Times New Roman" w:eastAsia="Times New Roman" w:hAnsi="Times New Roman" w:cs="Times New Roman"/>
          <w:b/>
          <w:bCs/>
          <w:noProof/>
          <w:color w:val="000000" w:themeColor="text1"/>
          <w:sz w:val="24"/>
          <w:szCs w:val="24"/>
          <w:lang w:val="en-GB"/>
        </w:rPr>
        <w:t>N</w:t>
      </w:r>
      <w:r w:rsidR="00435CC4" w:rsidRPr="001752EA">
        <w:rPr>
          <w:rFonts w:ascii="Times New Roman" w:eastAsia="Times New Roman" w:hAnsi="Times New Roman" w:cs="Times New Roman"/>
          <w:b/>
          <w:bCs/>
          <w:noProof/>
          <w:color w:val="000000" w:themeColor="text1"/>
          <w:sz w:val="24"/>
          <w:szCs w:val="24"/>
          <w:lang w:val="en-GB"/>
        </w:rPr>
        <w:t>PL framework</w:t>
      </w:r>
    </w:p>
    <w:p w14:paraId="5B34CCF4" w14:textId="77777777" w:rsidR="001034BF" w:rsidRPr="001752EA" w:rsidRDefault="001034BF" w:rsidP="001034BF">
      <w:pPr>
        <w:jc w:val="both"/>
        <w:rPr>
          <w:rFonts w:ascii="Times New Roman" w:eastAsia="Aptos" w:hAnsi="Times New Roman" w:cs="Times New Roman"/>
          <w:noProof/>
          <w:sz w:val="24"/>
          <w:szCs w:val="24"/>
          <w:lang w:val="en-GB"/>
        </w:rPr>
      </w:pPr>
      <w:r w:rsidRPr="001752EA">
        <w:rPr>
          <w:rFonts w:ascii="Times New Roman" w:eastAsia="Aptos" w:hAnsi="Times New Roman" w:cs="Times New Roman"/>
          <w:noProof/>
          <w:sz w:val="24"/>
          <w:szCs w:val="24"/>
          <w:lang w:val="en-GB"/>
        </w:rPr>
        <w:t>The prudential treatment of defaulted exposures presents one key trade-off. </w:t>
      </w:r>
    </w:p>
    <w:p w14:paraId="13A7A654" w14:textId="0386F99B" w:rsidR="001034BF" w:rsidRPr="001752EA" w:rsidRDefault="001034BF" w:rsidP="001034BF">
      <w:pPr>
        <w:jc w:val="both"/>
        <w:rPr>
          <w:rFonts w:ascii="Times New Roman" w:eastAsia="Aptos" w:hAnsi="Times New Roman" w:cs="Times New Roman"/>
          <w:noProof/>
          <w:sz w:val="24"/>
          <w:szCs w:val="24"/>
          <w:lang w:val="en-GB"/>
        </w:rPr>
      </w:pPr>
      <w:r w:rsidRPr="001752EA">
        <w:rPr>
          <w:rFonts w:ascii="Times New Roman" w:eastAsia="Aptos" w:hAnsi="Times New Roman" w:cs="Times New Roman"/>
          <w:noProof/>
          <w:sz w:val="24"/>
          <w:szCs w:val="24"/>
          <w:lang w:val="en-GB"/>
        </w:rPr>
        <w:t>On the one hand, a lenient treatment </w:t>
      </w:r>
      <w:r w:rsidR="00F84685">
        <w:rPr>
          <w:rFonts w:ascii="Times New Roman" w:eastAsia="Aptos" w:hAnsi="Times New Roman" w:cs="Times New Roman"/>
          <w:noProof/>
          <w:sz w:val="24"/>
          <w:szCs w:val="24"/>
          <w:lang w:val="en-GB"/>
        </w:rPr>
        <w:t>c</w:t>
      </w:r>
      <w:r w:rsidR="007D5D2E">
        <w:rPr>
          <w:rFonts w:ascii="Times New Roman" w:eastAsia="Aptos" w:hAnsi="Times New Roman" w:cs="Times New Roman"/>
          <w:noProof/>
          <w:sz w:val="24"/>
          <w:szCs w:val="24"/>
          <w:lang w:val="en-GB"/>
        </w:rPr>
        <w:t xml:space="preserve">an potentially </w:t>
      </w:r>
      <w:r w:rsidR="00735119">
        <w:rPr>
          <w:rFonts w:ascii="Times New Roman" w:eastAsia="Aptos" w:hAnsi="Times New Roman" w:cs="Times New Roman"/>
          <w:noProof/>
          <w:sz w:val="24"/>
          <w:szCs w:val="24"/>
          <w:lang w:val="en-GB"/>
        </w:rPr>
        <w:t>conceal</w:t>
      </w:r>
      <w:r w:rsidR="007D5D2E">
        <w:rPr>
          <w:rFonts w:ascii="Times New Roman" w:eastAsia="Aptos" w:hAnsi="Times New Roman" w:cs="Times New Roman"/>
          <w:noProof/>
          <w:sz w:val="24"/>
          <w:szCs w:val="24"/>
          <w:lang w:val="en-GB"/>
        </w:rPr>
        <w:t xml:space="preserve"> the</w:t>
      </w:r>
      <w:r w:rsidRPr="001752EA">
        <w:rPr>
          <w:rFonts w:ascii="Times New Roman" w:eastAsia="Aptos" w:hAnsi="Times New Roman" w:cs="Times New Roman"/>
          <w:noProof/>
          <w:sz w:val="24"/>
          <w:szCs w:val="24"/>
          <w:lang w:val="en-GB"/>
        </w:rPr>
        <w:t> risks and losses building in the balance sheets of banks, thereby artificially inflating their financial position. </w:t>
      </w:r>
      <w:r w:rsidR="00726890">
        <w:rPr>
          <w:rFonts w:ascii="Times New Roman" w:eastAsia="Aptos" w:hAnsi="Times New Roman" w:cs="Times New Roman"/>
          <w:noProof/>
          <w:sz w:val="24"/>
          <w:szCs w:val="24"/>
          <w:lang w:val="en-GB"/>
        </w:rPr>
        <w:t>I</w:t>
      </w:r>
      <w:r w:rsidRPr="001752EA">
        <w:rPr>
          <w:rFonts w:ascii="Times New Roman" w:eastAsia="Aptos" w:hAnsi="Times New Roman" w:cs="Times New Roman"/>
          <w:noProof/>
          <w:sz w:val="24"/>
          <w:szCs w:val="24"/>
          <w:lang w:val="en-GB"/>
        </w:rPr>
        <w:t>n turn</w:t>
      </w:r>
      <w:r w:rsidR="00726890">
        <w:rPr>
          <w:rFonts w:ascii="Times New Roman" w:eastAsia="Aptos" w:hAnsi="Times New Roman" w:cs="Times New Roman"/>
          <w:noProof/>
          <w:sz w:val="24"/>
          <w:szCs w:val="24"/>
          <w:lang w:val="en-GB"/>
        </w:rPr>
        <w:t>, this</w:t>
      </w:r>
      <w:r w:rsidRPr="001752EA">
        <w:rPr>
          <w:rFonts w:ascii="Times New Roman" w:eastAsia="Aptos" w:hAnsi="Times New Roman" w:cs="Times New Roman"/>
          <w:noProof/>
          <w:sz w:val="24"/>
          <w:szCs w:val="24"/>
          <w:lang w:val="en-GB"/>
        </w:rPr>
        <w:t> would not only </w:t>
      </w:r>
      <w:r w:rsidR="00213959">
        <w:rPr>
          <w:rFonts w:ascii="Times New Roman" w:eastAsia="Aptos" w:hAnsi="Times New Roman" w:cs="Times New Roman"/>
          <w:noProof/>
          <w:sz w:val="24"/>
          <w:szCs w:val="24"/>
          <w:lang w:val="en-GB"/>
        </w:rPr>
        <w:t>mislead</w:t>
      </w:r>
      <w:r w:rsidRPr="001752EA">
        <w:rPr>
          <w:rFonts w:ascii="Times New Roman" w:eastAsia="Aptos" w:hAnsi="Times New Roman" w:cs="Times New Roman"/>
          <w:noProof/>
          <w:sz w:val="24"/>
          <w:szCs w:val="24"/>
          <w:lang w:val="en-GB"/>
        </w:rPr>
        <w:t xml:space="preserve"> creditors (including depositors) and investors </w:t>
      </w:r>
      <w:r w:rsidR="00A5472B">
        <w:rPr>
          <w:rFonts w:ascii="Times New Roman" w:eastAsia="Aptos" w:hAnsi="Times New Roman" w:cs="Times New Roman"/>
          <w:noProof/>
          <w:sz w:val="24"/>
          <w:szCs w:val="24"/>
          <w:lang w:val="en-GB"/>
        </w:rPr>
        <w:t>about</w:t>
      </w:r>
      <w:r w:rsidRPr="001752EA">
        <w:rPr>
          <w:rFonts w:ascii="Times New Roman" w:eastAsia="Aptos" w:hAnsi="Times New Roman" w:cs="Times New Roman"/>
          <w:noProof/>
          <w:sz w:val="24"/>
          <w:szCs w:val="24"/>
          <w:lang w:val="en-GB"/>
        </w:rPr>
        <w:t xml:space="preserve"> the stability and profitability of bank</w:t>
      </w:r>
      <w:r w:rsidR="001942AC">
        <w:rPr>
          <w:rFonts w:ascii="Times New Roman" w:eastAsia="Aptos" w:hAnsi="Times New Roman" w:cs="Times New Roman"/>
          <w:noProof/>
          <w:sz w:val="24"/>
          <w:szCs w:val="24"/>
          <w:lang w:val="en-GB"/>
        </w:rPr>
        <w:t>s</w:t>
      </w:r>
      <w:r w:rsidR="002735A3">
        <w:rPr>
          <w:rFonts w:ascii="Times New Roman" w:eastAsia="Aptos" w:hAnsi="Times New Roman" w:cs="Times New Roman"/>
          <w:noProof/>
          <w:sz w:val="24"/>
          <w:szCs w:val="24"/>
          <w:lang w:val="en-GB"/>
        </w:rPr>
        <w:t>;</w:t>
      </w:r>
      <w:r w:rsidRPr="001752EA">
        <w:rPr>
          <w:rFonts w:ascii="Times New Roman" w:eastAsia="Aptos" w:hAnsi="Times New Roman" w:cs="Times New Roman"/>
          <w:noProof/>
          <w:sz w:val="24"/>
          <w:szCs w:val="24"/>
          <w:lang w:val="en-GB"/>
        </w:rPr>
        <w:t xml:space="preserve"> but it could also </w:t>
      </w:r>
      <w:r w:rsidR="007B5A8D">
        <w:rPr>
          <w:rFonts w:ascii="Times New Roman" w:eastAsia="Aptos" w:hAnsi="Times New Roman" w:cs="Times New Roman"/>
          <w:noProof/>
          <w:sz w:val="24"/>
          <w:szCs w:val="24"/>
          <w:lang w:val="en-GB"/>
        </w:rPr>
        <w:t>mislead</w:t>
      </w:r>
      <w:r w:rsidRPr="001752EA">
        <w:rPr>
          <w:rFonts w:ascii="Times New Roman" w:eastAsia="Aptos" w:hAnsi="Times New Roman" w:cs="Times New Roman"/>
          <w:noProof/>
          <w:sz w:val="24"/>
          <w:szCs w:val="24"/>
          <w:lang w:val="en-GB"/>
        </w:rPr>
        <w:t xml:space="preserve"> </w:t>
      </w:r>
      <w:r w:rsidR="007B1F10">
        <w:rPr>
          <w:rFonts w:ascii="Times New Roman" w:eastAsia="Aptos" w:hAnsi="Times New Roman" w:cs="Times New Roman"/>
          <w:noProof/>
          <w:sz w:val="24"/>
          <w:szCs w:val="24"/>
          <w:lang w:val="en-GB"/>
        </w:rPr>
        <w:t xml:space="preserve">their </w:t>
      </w:r>
      <w:r w:rsidRPr="001752EA">
        <w:rPr>
          <w:rFonts w:ascii="Times New Roman" w:eastAsia="Aptos" w:hAnsi="Times New Roman" w:cs="Times New Roman"/>
          <w:noProof/>
          <w:sz w:val="24"/>
          <w:szCs w:val="24"/>
          <w:lang w:val="en-GB"/>
        </w:rPr>
        <w:t>supervisors </w:t>
      </w:r>
      <w:r w:rsidR="007B5A8D">
        <w:rPr>
          <w:rFonts w:ascii="Times New Roman" w:eastAsia="Aptos" w:hAnsi="Times New Roman" w:cs="Times New Roman"/>
          <w:noProof/>
          <w:sz w:val="24"/>
          <w:szCs w:val="24"/>
          <w:lang w:val="en-GB"/>
        </w:rPr>
        <w:t>about</w:t>
      </w:r>
      <w:r w:rsidRPr="001752EA">
        <w:rPr>
          <w:rFonts w:ascii="Times New Roman" w:eastAsia="Aptos" w:hAnsi="Times New Roman" w:cs="Times New Roman"/>
          <w:noProof/>
          <w:sz w:val="24"/>
          <w:szCs w:val="24"/>
          <w:lang w:val="en-GB"/>
        </w:rPr>
        <w:t xml:space="preserve"> the actual compliance with prudential requirements, thereby postponing corrective actions to a stage which is too late to </w:t>
      </w:r>
      <w:r w:rsidR="00C50AAE">
        <w:rPr>
          <w:rFonts w:ascii="Times New Roman" w:eastAsia="Aptos" w:hAnsi="Times New Roman" w:cs="Times New Roman"/>
          <w:noProof/>
          <w:sz w:val="24"/>
          <w:szCs w:val="24"/>
          <w:lang w:val="en-GB"/>
        </w:rPr>
        <w:t>recover</w:t>
      </w:r>
      <w:r w:rsidRPr="001752EA">
        <w:rPr>
          <w:rFonts w:ascii="Times New Roman" w:eastAsia="Aptos" w:hAnsi="Times New Roman" w:cs="Times New Roman"/>
          <w:noProof/>
          <w:sz w:val="24"/>
          <w:szCs w:val="24"/>
          <w:lang w:val="en-GB"/>
        </w:rPr>
        <w:t xml:space="preserve"> the situation. At the macro-level, when the losses finally crystallise, banks might be </w:t>
      </w:r>
      <w:r w:rsidR="002735A3">
        <w:rPr>
          <w:rFonts w:ascii="Times New Roman" w:eastAsia="Aptos" w:hAnsi="Times New Roman" w:cs="Times New Roman"/>
          <w:noProof/>
          <w:sz w:val="24"/>
          <w:szCs w:val="24"/>
          <w:lang w:val="en-GB"/>
        </w:rPr>
        <w:t xml:space="preserve">unexpectedly </w:t>
      </w:r>
      <w:r w:rsidRPr="001752EA">
        <w:rPr>
          <w:rFonts w:ascii="Times New Roman" w:eastAsia="Aptos" w:hAnsi="Times New Roman" w:cs="Times New Roman"/>
          <w:noProof/>
          <w:sz w:val="24"/>
          <w:szCs w:val="24"/>
          <w:lang w:val="en-GB"/>
        </w:rPr>
        <w:t xml:space="preserve">declared as failing </w:t>
      </w:r>
      <w:r w:rsidR="002241C7">
        <w:rPr>
          <w:rFonts w:ascii="Times New Roman" w:eastAsia="Aptos" w:hAnsi="Times New Roman" w:cs="Times New Roman"/>
          <w:noProof/>
          <w:sz w:val="24"/>
          <w:szCs w:val="24"/>
          <w:lang w:val="en-GB"/>
        </w:rPr>
        <w:t xml:space="preserve">– potentially at the same time – </w:t>
      </w:r>
      <w:r w:rsidRPr="001752EA">
        <w:rPr>
          <w:rFonts w:ascii="Times New Roman" w:eastAsia="Aptos" w:hAnsi="Times New Roman" w:cs="Times New Roman"/>
          <w:noProof/>
          <w:sz w:val="24"/>
          <w:szCs w:val="24"/>
          <w:lang w:val="en-GB"/>
        </w:rPr>
        <w:t>with unforeseen consequences for financial stability.</w:t>
      </w:r>
    </w:p>
    <w:p w14:paraId="21A49765" w14:textId="40036221" w:rsidR="001034BF" w:rsidRPr="001752EA" w:rsidRDefault="001034BF" w:rsidP="001034BF">
      <w:pPr>
        <w:jc w:val="both"/>
        <w:rPr>
          <w:rFonts w:ascii="Times New Roman" w:eastAsia="Aptos" w:hAnsi="Times New Roman" w:cs="Times New Roman"/>
          <w:noProof/>
          <w:sz w:val="24"/>
          <w:szCs w:val="24"/>
          <w:lang w:val="en-GB"/>
        </w:rPr>
      </w:pPr>
      <w:r w:rsidRPr="001752EA">
        <w:rPr>
          <w:rFonts w:ascii="Times New Roman" w:eastAsia="Aptos" w:hAnsi="Times New Roman" w:cs="Times New Roman"/>
          <w:noProof/>
          <w:sz w:val="24"/>
          <w:szCs w:val="24"/>
          <w:lang w:val="en-GB"/>
        </w:rPr>
        <w:t>On the other hand, a</w:t>
      </w:r>
      <w:r w:rsidR="00D776FB">
        <w:rPr>
          <w:rFonts w:ascii="Times New Roman" w:eastAsia="Aptos" w:hAnsi="Times New Roman" w:cs="Times New Roman"/>
          <w:noProof/>
          <w:sz w:val="24"/>
          <w:szCs w:val="24"/>
          <w:lang w:val="en-GB"/>
        </w:rPr>
        <w:t xml:space="preserve"> too</w:t>
      </w:r>
      <w:r w:rsidRPr="001752EA">
        <w:rPr>
          <w:rFonts w:ascii="Times New Roman" w:eastAsia="Aptos" w:hAnsi="Times New Roman" w:cs="Times New Roman"/>
          <w:noProof/>
          <w:sz w:val="24"/>
          <w:szCs w:val="24"/>
          <w:lang w:val="en-GB"/>
        </w:rPr>
        <w:t xml:space="preserve"> stringent prudential treatment reinforces the pro-cyclicality of prudential requirements in a downturn. This is due to the impact of the classification of an exposure as defaulted for banks, obligors, and the economy at large. </w:t>
      </w:r>
      <w:r w:rsidR="00E25A03">
        <w:rPr>
          <w:rFonts w:ascii="Times New Roman" w:eastAsia="Aptos" w:hAnsi="Times New Roman" w:cs="Times New Roman"/>
          <w:noProof/>
          <w:sz w:val="24"/>
          <w:szCs w:val="24"/>
          <w:lang w:val="en-GB"/>
        </w:rPr>
        <w:t>C</w:t>
      </w:r>
      <w:r w:rsidRPr="001752EA">
        <w:rPr>
          <w:rFonts w:ascii="Times New Roman" w:eastAsia="Aptos" w:hAnsi="Times New Roman" w:cs="Times New Roman"/>
          <w:noProof/>
          <w:sz w:val="24"/>
          <w:szCs w:val="24"/>
          <w:lang w:val="en-GB"/>
        </w:rPr>
        <w:t>lassifying an exposure as defaulted </w:t>
      </w:r>
      <w:r w:rsidR="00E25A03">
        <w:rPr>
          <w:rFonts w:ascii="Times New Roman" w:eastAsia="Aptos" w:hAnsi="Times New Roman" w:cs="Times New Roman"/>
          <w:noProof/>
          <w:sz w:val="24"/>
          <w:szCs w:val="24"/>
          <w:lang w:val="en-GB"/>
        </w:rPr>
        <w:t>forces banks to deduct</w:t>
      </w:r>
      <w:r w:rsidRPr="001752EA">
        <w:rPr>
          <w:rFonts w:ascii="Times New Roman" w:eastAsia="Aptos" w:hAnsi="Times New Roman" w:cs="Times New Roman"/>
          <w:noProof/>
          <w:sz w:val="24"/>
          <w:szCs w:val="24"/>
          <w:lang w:val="en-GB"/>
        </w:rPr>
        <w:t> the</w:t>
      </w:r>
      <w:r w:rsidR="00BF5E5F">
        <w:rPr>
          <w:rFonts w:ascii="Times New Roman" w:eastAsia="Aptos" w:hAnsi="Times New Roman" w:cs="Times New Roman"/>
          <w:noProof/>
          <w:sz w:val="24"/>
          <w:szCs w:val="24"/>
          <w:lang w:val="en-GB"/>
        </w:rPr>
        <w:t xml:space="preserve"> </w:t>
      </w:r>
      <w:r w:rsidRPr="001752EA">
        <w:rPr>
          <w:rFonts w:ascii="Times New Roman" w:eastAsia="Aptos" w:hAnsi="Times New Roman" w:cs="Times New Roman"/>
          <w:noProof/>
          <w:sz w:val="24"/>
          <w:szCs w:val="24"/>
          <w:lang w:val="en-GB"/>
        </w:rPr>
        <w:t>losses from their own funds</w:t>
      </w:r>
      <w:r w:rsidR="00EE2A21" w:rsidRPr="00EE2A21">
        <w:rPr>
          <w:rFonts w:ascii="Times New Roman" w:eastAsia="Aptos" w:hAnsi="Times New Roman" w:cs="Times New Roman"/>
          <w:noProof/>
          <w:sz w:val="24"/>
          <w:szCs w:val="24"/>
          <w:lang w:val="en-GB"/>
        </w:rPr>
        <w:t xml:space="preserve"> </w:t>
      </w:r>
      <w:r w:rsidRPr="001752EA">
        <w:rPr>
          <w:rFonts w:ascii="Times New Roman" w:eastAsia="Aptos" w:hAnsi="Times New Roman" w:cs="Times New Roman"/>
          <w:noProof/>
          <w:sz w:val="24"/>
          <w:szCs w:val="24"/>
          <w:lang w:val="en-GB"/>
        </w:rPr>
        <w:t>and </w:t>
      </w:r>
      <w:r w:rsidR="00EE2A21">
        <w:rPr>
          <w:rFonts w:ascii="Times New Roman" w:eastAsia="Aptos" w:hAnsi="Times New Roman" w:cs="Times New Roman"/>
          <w:noProof/>
          <w:sz w:val="24"/>
          <w:szCs w:val="24"/>
          <w:lang w:val="en-GB"/>
        </w:rPr>
        <w:t>to apply</w:t>
      </w:r>
      <w:r w:rsidRPr="001752EA">
        <w:rPr>
          <w:rFonts w:ascii="Times New Roman" w:eastAsia="Aptos" w:hAnsi="Times New Roman" w:cs="Times New Roman"/>
          <w:noProof/>
          <w:sz w:val="24"/>
          <w:szCs w:val="24"/>
          <w:lang w:val="en-GB"/>
        </w:rPr>
        <w:t xml:space="preserve"> higher </w:t>
      </w:r>
      <w:r w:rsidR="00460971">
        <w:rPr>
          <w:rFonts w:ascii="Times New Roman" w:eastAsia="Aptos" w:hAnsi="Times New Roman" w:cs="Times New Roman"/>
          <w:noProof/>
          <w:sz w:val="24"/>
          <w:szCs w:val="24"/>
          <w:lang w:val="en-GB"/>
        </w:rPr>
        <w:t>risk weights</w:t>
      </w:r>
      <w:r w:rsidRPr="001752EA">
        <w:rPr>
          <w:rFonts w:ascii="Times New Roman" w:eastAsia="Aptos" w:hAnsi="Times New Roman" w:cs="Times New Roman"/>
          <w:noProof/>
          <w:sz w:val="24"/>
          <w:szCs w:val="24"/>
          <w:lang w:val="en-GB"/>
        </w:rPr>
        <w:t xml:space="preserve"> to the remaining part. </w:t>
      </w:r>
      <w:r w:rsidR="00C94C37" w:rsidRPr="00C94C37">
        <w:rPr>
          <w:rFonts w:ascii="Times New Roman" w:eastAsia="Aptos" w:hAnsi="Times New Roman" w:cs="Times New Roman"/>
          <w:noProof/>
          <w:sz w:val="24"/>
          <w:szCs w:val="24"/>
          <w:lang w:val="en-GB"/>
        </w:rPr>
        <w:t xml:space="preserve">For obligors, a default classification adversely affects their credit risk score and triggers the default classification of </w:t>
      </w:r>
      <w:r w:rsidR="006462C6">
        <w:rPr>
          <w:rFonts w:ascii="Times New Roman" w:eastAsia="Aptos" w:hAnsi="Times New Roman" w:cs="Times New Roman"/>
          <w:noProof/>
          <w:sz w:val="24"/>
          <w:szCs w:val="24"/>
          <w:lang w:val="en-GB"/>
        </w:rPr>
        <w:t xml:space="preserve">potentially </w:t>
      </w:r>
      <w:r w:rsidR="00C94C37" w:rsidRPr="00C94C37">
        <w:rPr>
          <w:rFonts w:ascii="Times New Roman" w:eastAsia="Aptos" w:hAnsi="Times New Roman" w:cs="Times New Roman"/>
          <w:noProof/>
          <w:sz w:val="24"/>
          <w:szCs w:val="24"/>
          <w:lang w:val="en-GB"/>
        </w:rPr>
        <w:t>all their exposures to the bank.</w:t>
      </w:r>
      <w:r w:rsidR="00C94C37">
        <w:rPr>
          <w:rFonts w:ascii="Times New Roman" w:eastAsia="Aptos" w:hAnsi="Times New Roman" w:cs="Times New Roman"/>
          <w:noProof/>
          <w:sz w:val="24"/>
          <w:szCs w:val="24"/>
          <w:lang w:val="en-GB"/>
        </w:rPr>
        <w:t xml:space="preserve"> </w:t>
      </w:r>
      <w:r w:rsidR="00DB3F87">
        <w:rPr>
          <w:rFonts w:ascii="Times New Roman" w:eastAsia="Aptos" w:hAnsi="Times New Roman" w:cs="Times New Roman"/>
          <w:noProof/>
          <w:sz w:val="24"/>
          <w:szCs w:val="24"/>
          <w:lang w:val="en-GB"/>
        </w:rPr>
        <w:t xml:space="preserve">If </w:t>
      </w:r>
      <w:r w:rsidR="00854238">
        <w:rPr>
          <w:rFonts w:ascii="Times New Roman" w:eastAsia="Aptos" w:hAnsi="Times New Roman" w:cs="Times New Roman"/>
          <w:noProof/>
          <w:sz w:val="24"/>
          <w:szCs w:val="24"/>
          <w:lang w:val="en-GB"/>
        </w:rPr>
        <w:t xml:space="preserve">wrongly calibrated, </w:t>
      </w:r>
      <w:r w:rsidRPr="001752EA">
        <w:rPr>
          <w:rFonts w:ascii="Times New Roman" w:eastAsia="Aptos" w:hAnsi="Times New Roman" w:cs="Times New Roman"/>
          <w:noProof/>
          <w:sz w:val="24"/>
          <w:szCs w:val="24"/>
          <w:lang w:val="en-GB"/>
        </w:rPr>
        <w:t xml:space="preserve">the combined effect of these prudential </w:t>
      </w:r>
      <w:r w:rsidR="00F67A00">
        <w:rPr>
          <w:rFonts w:ascii="Times New Roman" w:eastAsia="Aptos" w:hAnsi="Times New Roman" w:cs="Times New Roman"/>
          <w:noProof/>
          <w:sz w:val="24"/>
          <w:szCs w:val="24"/>
          <w:lang w:val="en-GB"/>
        </w:rPr>
        <w:t>requirements</w:t>
      </w:r>
      <w:r w:rsidRPr="001752EA">
        <w:rPr>
          <w:rFonts w:ascii="Times New Roman" w:eastAsia="Aptos" w:hAnsi="Times New Roman" w:cs="Times New Roman"/>
          <w:noProof/>
          <w:sz w:val="24"/>
          <w:szCs w:val="24"/>
          <w:lang w:val="en-GB"/>
        </w:rPr>
        <w:t> could </w:t>
      </w:r>
      <w:r w:rsidR="00F67A00">
        <w:rPr>
          <w:rFonts w:ascii="Times New Roman" w:eastAsia="Aptos" w:hAnsi="Times New Roman" w:cs="Times New Roman"/>
          <w:noProof/>
          <w:sz w:val="24"/>
          <w:szCs w:val="24"/>
          <w:lang w:val="en-GB"/>
        </w:rPr>
        <w:t>lead</w:t>
      </w:r>
      <w:r w:rsidRPr="001752EA">
        <w:rPr>
          <w:rFonts w:ascii="Times New Roman" w:eastAsia="Aptos" w:hAnsi="Times New Roman" w:cs="Times New Roman"/>
          <w:noProof/>
          <w:sz w:val="24"/>
          <w:szCs w:val="24"/>
          <w:lang w:val="en-GB"/>
        </w:rPr>
        <w:t> </w:t>
      </w:r>
      <w:r w:rsidR="00F67A00">
        <w:rPr>
          <w:rFonts w:ascii="Times New Roman" w:eastAsia="Aptos" w:hAnsi="Times New Roman" w:cs="Times New Roman"/>
          <w:noProof/>
          <w:sz w:val="24"/>
          <w:szCs w:val="24"/>
          <w:lang w:val="en-GB"/>
        </w:rPr>
        <w:t>to</w:t>
      </w:r>
      <w:r w:rsidRPr="001752EA">
        <w:rPr>
          <w:rFonts w:ascii="Times New Roman" w:eastAsia="Aptos" w:hAnsi="Times New Roman" w:cs="Times New Roman"/>
          <w:noProof/>
          <w:sz w:val="24"/>
          <w:szCs w:val="24"/>
          <w:lang w:val="en-GB"/>
        </w:rPr>
        <w:t xml:space="preserve"> prolonging downturns as banks would be forced to cut their credit supply</w:t>
      </w:r>
      <w:r w:rsidR="009F590C">
        <w:rPr>
          <w:rFonts w:ascii="Times New Roman" w:eastAsia="Aptos" w:hAnsi="Times New Roman" w:cs="Times New Roman"/>
          <w:noProof/>
          <w:sz w:val="24"/>
          <w:szCs w:val="24"/>
          <w:lang w:val="en-GB"/>
        </w:rPr>
        <w:t>, thereby</w:t>
      </w:r>
      <w:r w:rsidR="00DC42FC">
        <w:rPr>
          <w:rFonts w:ascii="Times New Roman" w:eastAsia="Aptos" w:hAnsi="Times New Roman" w:cs="Times New Roman"/>
          <w:noProof/>
          <w:sz w:val="24"/>
          <w:szCs w:val="24"/>
          <w:lang w:val="en-GB"/>
        </w:rPr>
        <w:t xml:space="preserve"> limiting the access</w:t>
      </w:r>
      <w:r w:rsidR="009433A3">
        <w:rPr>
          <w:rFonts w:ascii="Times New Roman" w:eastAsia="Aptos" w:hAnsi="Times New Roman" w:cs="Times New Roman"/>
          <w:noProof/>
          <w:sz w:val="24"/>
          <w:szCs w:val="24"/>
          <w:lang w:val="en-GB"/>
        </w:rPr>
        <w:t xml:space="preserve"> to credit by</w:t>
      </w:r>
      <w:r w:rsidRPr="001752EA">
        <w:rPr>
          <w:rFonts w:ascii="Times New Roman" w:eastAsia="Aptos" w:hAnsi="Times New Roman" w:cs="Times New Roman"/>
          <w:noProof/>
          <w:sz w:val="24"/>
          <w:szCs w:val="24"/>
          <w:lang w:val="en-GB"/>
        </w:rPr>
        <w:t> </w:t>
      </w:r>
      <w:r w:rsidR="002B1DC5">
        <w:rPr>
          <w:rFonts w:ascii="Times New Roman" w:eastAsia="Aptos" w:hAnsi="Times New Roman" w:cs="Times New Roman"/>
          <w:noProof/>
          <w:sz w:val="24"/>
          <w:szCs w:val="24"/>
          <w:lang w:val="en-GB"/>
        </w:rPr>
        <w:t xml:space="preserve">businesses and citizens </w:t>
      </w:r>
      <w:r w:rsidR="00FA232F">
        <w:rPr>
          <w:rFonts w:ascii="Times New Roman" w:eastAsia="Aptos" w:hAnsi="Times New Roman" w:cs="Times New Roman"/>
          <w:noProof/>
          <w:sz w:val="24"/>
          <w:szCs w:val="24"/>
          <w:lang w:val="en-GB"/>
        </w:rPr>
        <w:t>when the economy most need</w:t>
      </w:r>
      <w:r w:rsidR="00806740">
        <w:rPr>
          <w:rFonts w:ascii="Times New Roman" w:eastAsia="Aptos" w:hAnsi="Times New Roman" w:cs="Times New Roman"/>
          <w:noProof/>
          <w:sz w:val="24"/>
          <w:szCs w:val="24"/>
          <w:lang w:val="en-GB"/>
        </w:rPr>
        <w:t>s it</w:t>
      </w:r>
      <w:r w:rsidRPr="001752EA">
        <w:rPr>
          <w:rFonts w:ascii="Times New Roman" w:eastAsia="Aptos" w:hAnsi="Times New Roman" w:cs="Times New Roman"/>
          <w:noProof/>
          <w:sz w:val="24"/>
          <w:szCs w:val="24"/>
          <w:lang w:val="en-GB"/>
        </w:rPr>
        <w:t>.</w:t>
      </w:r>
    </w:p>
    <w:p w14:paraId="4250BDFB" w14:textId="3676AB52" w:rsidR="001034BF" w:rsidRPr="001752EA" w:rsidRDefault="001034BF" w:rsidP="001034BF">
      <w:pPr>
        <w:jc w:val="both"/>
        <w:rPr>
          <w:rFonts w:ascii="Times New Roman" w:eastAsia="Aptos" w:hAnsi="Times New Roman" w:cs="Times New Roman"/>
          <w:noProof/>
          <w:sz w:val="24"/>
          <w:szCs w:val="24"/>
          <w:lang w:val="en-GB"/>
        </w:rPr>
      </w:pPr>
      <w:r w:rsidRPr="001752EA">
        <w:rPr>
          <w:rFonts w:ascii="Times New Roman" w:eastAsia="Aptos" w:hAnsi="Times New Roman" w:cs="Times New Roman"/>
          <w:noProof/>
          <w:sz w:val="24"/>
          <w:szCs w:val="24"/>
          <w:lang w:val="en-GB"/>
        </w:rPr>
        <w:t xml:space="preserve">Therefore, the key objective of the </w:t>
      </w:r>
      <w:r w:rsidR="00534C0A">
        <w:rPr>
          <w:rFonts w:ascii="Times New Roman" w:eastAsia="Aptos" w:hAnsi="Times New Roman" w:cs="Times New Roman"/>
          <w:noProof/>
          <w:sz w:val="24"/>
          <w:szCs w:val="24"/>
          <w:lang w:val="en-GB"/>
        </w:rPr>
        <w:t>NPL</w:t>
      </w:r>
      <w:r w:rsidRPr="001752EA">
        <w:rPr>
          <w:rFonts w:ascii="Times New Roman" w:eastAsia="Aptos" w:hAnsi="Times New Roman" w:cs="Times New Roman"/>
          <w:noProof/>
          <w:sz w:val="24"/>
          <w:szCs w:val="24"/>
          <w:lang w:val="en-GB"/>
        </w:rPr>
        <w:t xml:space="preserve"> framework is to ensure the stability of </w:t>
      </w:r>
      <w:r w:rsidR="0038138C">
        <w:rPr>
          <w:rFonts w:ascii="Times New Roman" w:eastAsia="Aptos" w:hAnsi="Times New Roman" w:cs="Times New Roman"/>
          <w:noProof/>
          <w:sz w:val="24"/>
          <w:szCs w:val="24"/>
          <w:lang w:val="en-GB"/>
        </w:rPr>
        <w:t xml:space="preserve">both individual </w:t>
      </w:r>
      <w:r w:rsidRPr="001752EA">
        <w:rPr>
          <w:rFonts w:ascii="Times New Roman" w:eastAsia="Aptos" w:hAnsi="Times New Roman" w:cs="Times New Roman"/>
          <w:noProof/>
          <w:sz w:val="24"/>
          <w:szCs w:val="24"/>
          <w:lang w:val="en-GB"/>
        </w:rPr>
        <w:t xml:space="preserve">banks and the banking system </w:t>
      </w:r>
      <w:r w:rsidR="00772282">
        <w:rPr>
          <w:rFonts w:ascii="Times New Roman" w:eastAsia="Aptos" w:hAnsi="Times New Roman" w:cs="Times New Roman"/>
          <w:noProof/>
          <w:sz w:val="24"/>
          <w:szCs w:val="24"/>
          <w:lang w:val="en-GB"/>
        </w:rPr>
        <w:t xml:space="preserve">as a whole </w:t>
      </w:r>
      <w:r w:rsidRPr="001752EA">
        <w:rPr>
          <w:rFonts w:ascii="Times New Roman" w:eastAsia="Aptos" w:hAnsi="Times New Roman" w:cs="Times New Roman"/>
          <w:noProof/>
          <w:sz w:val="24"/>
          <w:szCs w:val="24"/>
          <w:lang w:val="en-GB"/>
        </w:rPr>
        <w:t>while preserving their ability to finance the economy in stressed scenarios.</w:t>
      </w:r>
    </w:p>
    <w:p w14:paraId="2E951A2E" w14:textId="4BBF4C94" w:rsidR="001034BF" w:rsidRPr="001752EA" w:rsidRDefault="001034BF" w:rsidP="001034BF">
      <w:pPr>
        <w:jc w:val="both"/>
        <w:rPr>
          <w:rFonts w:ascii="Times New Roman" w:eastAsia="Aptos" w:hAnsi="Times New Roman" w:cs="Times New Roman"/>
          <w:noProof/>
          <w:sz w:val="24"/>
          <w:szCs w:val="24"/>
          <w:lang w:val="en-GB"/>
        </w:rPr>
      </w:pPr>
      <w:r w:rsidRPr="001752EA">
        <w:rPr>
          <w:rFonts w:ascii="Times New Roman" w:eastAsia="Aptos" w:hAnsi="Times New Roman" w:cs="Times New Roman"/>
          <w:noProof/>
          <w:sz w:val="24"/>
          <w:szCs w:val="24"/>
          <w:lang w:val="en-GB"/>
        </w:rPr>
        <w:t>The EU has introduced a set of measures – both legislative</w:t>
      </w:r>
      <w:r w:rsidR="00863B13">
        <w:rPr>
          <w:rStyle w:val="FootnoteReference"/>
          <w:rFonts w:ascii="Times New Roman" w:eastAsia="Aptos" w:hAnsi="Times New Roman" w:cs="Times New Roman"/>
          <w:noProof/>
          <w:sz w:val="24"/>
          <w:szCs w:val="24"/>
          <w:lang w:val="en-GB"/>
        </w:rPr>
        <w:footnoteReference w:id="93"/>
      </w:r>
      <w:r w:rsidRPr="001752EA">
        <w:rPr>
          <w:rFonts w:ascii="Times New Roman" w:eastAsia="Aptos" w:hAnsi="Times New Roman" w:cs="Times New Roman"/>
          <w:noProof/>
          <w:sz w:val="24"/>
          <w:szCs w:val="24"/>
          <w:lang w:val="en-GB"/>
        </w:rPr>
        <w:t xml:space="preserve"> and non-legislative</w:t>
      </w:r>
      <w:r w:rsidR="00863B13">
        <w:rPr>
          <w:rStyle w:val="FootnoteReference"/>
          <w:rFonts w:ascii="Times New Roman" w:eastAsia="Aptos" w:hAnsi="Times New Roman" w:cs="Times New Roman"/>
          <w:noProof/>
          <w:sz w:val="24"/>
          <w:szCs w:val="24"/>
          <w:lang w:val="en-GB"/>
        </w:rPr>
        <w:footnoteReference w:id="94"/>
      </w:r>
      <w:r w:rsidRPr="001752EA">
        <w:rPr>
          <w:rFonts w:ascii="Times New Roman" w:eastAsia="Aptos" w:hAnsi="Times New Roman" w:cs="Times New Roman"/>
          <w:noProof/>
          <w:sz w:val="24"/>
          <w:szCs w:val="24"/>
          <w:lang w:val="en-GB"/>
        </w:rPr>
        <w:t xml:space="preserve"> – to tackle the </w:t>
      </w:r>
      <w:r w:rsidR="00095A4C">
        <w:rPr>
          <w:rFonts w:ascii="Times New Roman" w:eastAsia="Aptos" w:hAnsi="Times New Roman" w:cs="Times New Roman"/>
          <w:noProof/>
          <w:sz w:val="24"/>
          <w:szCs w:val="24"/>
          <w:lang w:val="en-GB"/>
        </w:rPr>
        <w:t xml:space="preserve">exceptional </w:t>
      </w:r>
      <w:r w:rsidRPr="001752EA">
        <w:rPr>
          <w:rFonts w:ascii="Times New Roman" w:eastAsia="Aptos" w:hAnsi="Times New Roman" w:cs="Times New Roman"/>
          <w:noProof/>
          <w:sz w:val="24"/>
          <w:szCs w:val="24"/>
          <w:lang w:val="en-GB"/>
        </w:rPr>
        <w:t xml:space="preserve">high level of NPLs </w:t>
      </w:r>
      <w:r w:rsidR="00C3102D">
        <w:rPr>
          <w:rFonts w:ascii="Times New Roman" w:eastAsia="Aptos" w:hAnsi="Times New Roman" w:cs="Times New Roman"/>
          <w:noProof/>
          <w:sz w:val="24"/>
          <w:szCs w:val="24"/>
          <w:lang w:val="en-GB"/>
        </w:rPr>
        <w:t xml:space="preserve">built up </w:t>
      </w:r>
      <w:r w:rsidRPr="001752EA">
        <w:rPr>
          <w:rFonts w:ascii="Times New Roman" w:eastAsia="Aptos" w:hAnsi="Times New Roman" w:cs="Times New Roman"/>
          <w:noProof/>
          <w:sz w:val="24"/>
          <w:szCs w:val="24"/>
          <w:lang w:val="en-GB"/>
        </w:rPr>
        <w:t>in the aftermath of the financial crisis</w:t>
      </w:r>
      <w:r w:rsidR="00BA068B">
        <w:rPr>
          <w:rFonts w:ascii="Times New Roman" w:eastAsia="Aptos" w:hAnsi="Times New Roman" w:cs="Times New Roman"/>
          <w:noProof/>
          <w:sz w:val="24"/>
          <w:szCs w:val="24"/>
          <w:lang w:val="en-GB"/>
        </w:rPr>
        <w:t xml:space="preserve"> and successive recessions</w:t>
      </w:r>
      <w:r w:rsidRPr="001752EA">
        <w:rPr>
          <w:rFonts w:ascii="Times New Roman" w:eastAsia="Aptos" w:hAnsi="Times New Roman" w:cs="Times New Roman"/>
          <w:noProof/>
          <w:sz w:val="24"/>
          <w:szCs w:val="24"/>
          <w:lang w:val="en-GB"/>
        </w:rPr>
        <w:t xml:space="preserve">, which </w:t>
      </w:r>
      <w:r w:rsidR="00BA068B">
        <w:rPr>
          <w:rFonts w:ascii="Times New Roman" w:eastAsia="Aptos" w:hAnsi="Times New Roman" w:cs="Times New Roman"/>
          <w:noProof/>
          <w:sz w:val="24"/>
          <w:szCs w:val="24"/>
          <w:lang w:val="en-GB"/>
        </w:rPr>
        <w:t xml:space="preserve">was negatively affecting </w:t>
      </w:r>
      <w:r w:rsidR="00234E89">
        <w:rPr>
          <w:rFonts w:ascii="Times New Roman" w:eastAsia="Aptos" w:hAnsi="Times New Roman" w:cs="Times New Roman"/>
          <w:noProof/>
          <w:sz w:val="24"/>
          <w:szCs w:val="24"/>
          <w:lang w:val="en-GB"/>
        </w:rPr>
        <w:t xml:space="preserve">their soundness and thus </w:t>
      </w:r>
      <w:r w:rsidR="00BA068B">
        <w:rPr>
          <w:rFonts w:ascii="Times New Roman" w:eastAsia="Aptos" w:hAnsi="Times New Roman" w:cs="Times New Roman"/>
          <w:noProof/>
          <w:sz w:val="24"/>
          <w:szCs w:val="24"/>
          <w:lang w:val="en-GB"/>
        </w:rPr>
        <w:t>the</w:t>
      </w:r>
      <w:r w:rsidR="00234E89">
        <w:rPr>
          <w:rFonts w:ascii="Times New Roman" w:eastAsia="Aptos" w:hAnsi="Times New Roman" w:cs="Times New Roman"/>
          <w:noProof/>
          <w:sz w:val="24"/>
          <w:szCs w:val="24"/>
          <w:lang w:val="en-GB"/>
        </w:rPr>
        <w:t>ir</w:t>
      </w:r>
      <w:r w:rsidR="00BA068B">
        <w:rPr>
          <w:rFonts w:ascii="Times New Roman" w:eastAsia="Aptos" w:hAnsi="Times New Roman" w:cs="Times New Roman"/>
          <w:noProof/>
          <w:sz w:val="24"/>
          <w:szCs w:val="24"/>
          <w:lang w:val="en-GB"/>
        </w:rPr>
        <w:t xml:space="preserve"> ability to provide credit to the economy. </w:t>
      </w:r>
      <w:r w:rsidR="002D524C">
        <w:rPr>
          <w:rFonts w:ascii="Times New Roman" w:eastAsia="Aptos" w:hAnsi="Times New Roman" w:cs="Times New Roman"/>
          <w:noProof/>
          <w:sz w:val="24"/>
          <w:szCs w:val="24"/>
          <w:lang w:val="en-GB"/>
        </w:rPr>
        <w:t xml:space="preserve">Such measures </w:t>
      </w:r>
      <w:r w:rsidR="00640086">
        <w:rPr>
          <w:rFonts w:ascii="Times New Roman" w:eastAsia="Aptos" w:hAnsi="Times New Roman" w:cs="Times New Roman"/>
          <w:noProof/>
          <w:sz w:val="24"/>
          <w:szCs w:val="24"/>
          <w:lang w:val="en-GB"/>
        </w:rPr>
        <w:t>have</w:t>
      </w:r>
      <w:r w:rsidRPr="001752EA">
        <w:rPr>
          <w:rFonts w:ascii="Times New Roman" w:eastAsia="Aptos" w:hAnsi="Times New Roman" w:cs="Times New Roman"/>
          <w:noProof/>
          <w:sz w:val="24"/>
          <w:szCs w:val="24"/>
          <w:lang w:val="en-GB"/>
        </w:rPr>
        <w:t xml:space="preserve"> </w:t>
      </w:r>
      <w:r w:rsidR="00640086">
        <w:rPr>
          <w:rFonts w:ascii="Times New Roman" w:eastAsia="Aptos" w:hAnsi="Times New Roman" w:cs="Times New Roman"/>
          <w:noProof/>
          <w:sz w:val="24"/>
          <w:szCs w:val="24"/>
          <w:lang w:val="en-GB"/>
        </w:rPr>
        <w:t>decisively contributed</w:t>
      </w:r>
      <w:r w:rsidRPr="001752EA">
        <w:rPr>
          <w:rFonts w:ascii="Times New Roman" w:eastAsia="Aptos" w:hAnsi="Times New Roman" w:cs="Times New Roman"/>
          <w:noProof/>
          <w:sz w:val="24"/>
          <w:szCs w:val="24"/>
          <w:lang w:val="en-GB"/>
        </w:rPr>
        <w:t xml:space="preserve"> to the current NPL ratio</w:t>
      </w:r>
      <w:r w:rsidR="00387E68">
        <w:rPr>
          <w:rFonts w:ascii="Times New Roman" w:eastAsia="Aptos" w:hAnsi="Times New Roman" w:cs="Times New Roman"/>
          <w:noProof/>
          <w:sz w:val="24"/>
          <w:szCs w:val="24"/>
          <w:lang w:val="en-GB"/>
        </w:rPr>
        <w:t>, which is</w:t>
      </w:r>
      <w:r w:rsidRPr="001752EA">
        <w:rPr>
          <w:rFonts w:ascii="Times New Roman" w:eastAsia="Aptos" w:hAnsi="Times New Roman" w:cs="Times New Roman"/>
          <w:noProof/>
          <w:sz w:val="24"/>
          <w:szCs w:val="24"/>
          <w:lang w:val="en-GB"/>
        </w:rPr>
        <w:t xml:space="preserve"> at low </w:t>
      </w:r>
      <w:r w:rsidR="00DD070B">
        <w:rPr>
          <w:rFonts w:ascii="Times New Roman" w:eastAsia="Aptos" w:hAnsi="Times New Roman" w:cs="Times New Roman"/>
          <w:noProof/>
          <w:sz w:val="24"/>
          <w:szCs w:val="24"/>
          <w:lang w:val="en-GB"/>
        </w:rPr>
        <w:t>levels</w:t>
      </w:r>
      <w:r w:rsidRPr="001752EA">
        <w:rPr>
          <w:rFonts w:ascii="Times New Roman" w:eastAsia="Aptos" w:hAnsi="Times New Roman" w:cs="Times New Roman"/>
          <w:noProof/>
          <w:sz w:val="24"/>
          <w:szCs w:val="24"/>
          <w:lang w:val="en-GB"/>
        </w:rPr>
        <w:t>.</w:t>
      </w:r>
    </w:p>
    <w:p w14:paraId="291A21F1" w14:textId="35947167" w:rsidR="001034BF" w:rsidRPr="001752EA" w:rsidRDefault="001034BF" w:rsidP="001034BF">
      <w:pPr>
        <w:jc w:val="both"/>
        <w:rPr>
          <w:rFonts w:ascii="Times New Roman" w:eastAsia="Aptos" w:hAnsi="Times New Roman" w:cs="Times New Roman"/>
          <w:noProof/>
          <w:sz w:val="24"/>
          <w:szCs w:val="24"/>
          <w:lang w:val="en-GB"/>
        </w:rPr>
      </w:pPr>
      <w:r w:rsidRPr="001752EA">
        <w:rPr>
          <w:rFonts w:ascii="Times New Roman" w:eastAsia="Aptos" w:hAnsi="Times New Roman" w:cs="Times New Roman"/>
          <w:noProof/>
          <w:sz w:val="24"/>
          <w:szCs w:val="24"/>
          <w:lang w:val="en-GB"/>
        </w:rPr>
        <w:t>From a micro-prudential perspective, the most significant measures have been the introduction of the NPL backstop</w:t>
      </w:r>
      <w:r w:rsidR="00863B13">
        <w:rPr>
          <w:rStyle w:val="FootnoteReference"/>
          <w:rFonts w:ascii="Times New Roman" w:eastAsia="Aptos" w:hAnsi="Times New Roman" w:cs="Times New Roman"/>
          <w:noProof/>
          <w:sz w:val="24"/>
          <w:szCs w:val="24"/>
          <w:lang w:val="en-GB"/>
        </w:rPr>
        <w:footnoteReference w:id="95"/>
      </w:r>
      <w:r w:rsidRPr="001752EA">
        <w:rPr>
          <w:rFonts w:ascii="Times New Roman" w:eastAsia="Aptos" w:hAnsi="Times New Roman" w:cs="Times New Roman"/>
          <w:noProof/>
          <w:sz w:val="24"/>
          <w:szCs w:val="24"/>
          <w:lang w:val="en-GB"/>
        </w:rPr>
        <w:t xml:space="preserve"> and the definition of default set by article 178 CRR as further specified by the EBA Guidelines on the Definition of Default</w:t>
      </w:r>
      <w:r w:rsidR="00863B13">
        <w:rPr>
          <w:rStyle w:val="FootnoteReference"/>
          <w:rFonts w:ascii="Times New Roman" w:eastAsia="Aptos" w:hAnsi="Times New Roman" w:cs="Times New Roman"/>
          <w:noProof/>
          <w:sz w:val="24"/>
          <w:szCs w:val="24"/>
          <w:lang w:val="en-GB"/>
        </w:rPr>
        <w:footnoteReference w:id="96"/>
      </w:r>
      <w:r w:rsidRPr="001752EA">
        <w:rPr>
          <w:rFonts w:ascii="Times New Roman" w:eastAsia="Aptos" w:hAnsi="Times New Roman" w:cs="Times New Roman"/>
          <w:noProof/>
          <w:sz w:val="24"/>
          <w:szCs w:val="24"/>
          <w:lang w:val="en-GB"/>
        </w:rPr>
        <w:t>. The former is a structural</w:t>
      </w:r>
      <w:r w:rsidR="008162AF">
        <w:rPr>
          <w:rFonts w:ascii="Times New Roman" w:eastAsia="Aptos" w:hAnsi="Times New Roman" w:cs="Times New Roman"/>
          <w:noProof/>
          <w:sz w:val="24"/>
          <w:szCs w:val="24"/>
          <w:lang w:val="en-GB"/>
        </w:rPr>
        <w:t>,</w:t>
      </w:r>
      <w:r w:rsidRPr="001752EA">
        <w:rPr>
          <w:rFonts w:ascii="Times New Roman" w:eastAsia="Aptos" w:hAnsi="Times New Roman" w:cs="Times New Roman"/>
          <w:noProof/>
          <w:sz w:val="24"/>
          <w:szCs w:val="24"/>
          <w:lang w:val="en-GB"/>
        </w:rPr>
        <w:t xml:space="preserve"> pillar 1 measure which forces banks to comply with minimum provisioning within certain deadlines if they incur into non-performing exposure</w:t>
      </w:r>
      <w:r w:rsidR="008162AF">
        <w:rPr>
          <w:rFonts w:ascii="Times New Roman" w:eastAsia="Aptos" w:hAnsi="Times New Roman" w:cs="Times New Roman"/>
          <w:noProof/>
          <w:sz w:val="24"/>
          <w:szCs w:val="24"/>
          <w:lang w:val="en-GB"/>
        </w:rPr>
        <w:t>s</w:t>
      </w:r>
      <w:r w:rsidRPr="001752EA">
        <w:rPr>
          <w:rFonts w:ascii="Times New Roman" w:eastAsia="Aptos" w:hAnsi="Times New Roman" w:cs="Times New Roman"/>
          <w:noProof/>
          <w:sz w:val="24"/>
          <w:szCs w:val="24"/>
          <w:lang w:val="en-GB"/>
        </w:rPr>
        <w:t xml:space="preserve"> (NPE</w:t>
      </w:r>
      <w:r w:rsidR="008162AF">
        <w:rPr>
          <w:rFonts w:ascii="Times New Roman" w:eastAsia="Aptos" w:hAnsi="Times New Roman" w:cs="Times New Roman"/>
          <w:noProof/>
          <w:sz w:val="24"/>
          <w:szCs w:val="24"/>
          <w:lang w:val="en-GB"/>
        </w:rPr>
        <w:t>s</w:t>
      </w:r>
      <w:r w:rsidRPr="001752EA">
        <w:rPr>
          <w:rFonts w:ascii="Times New Roman" w:eastAsia="Aptos" w:hAnsi="Times New Roman" w:cs="Times New Roman"/>
          <w:noProof/>
          <w:sz w:val="24"/>
          <w:szCs w:val="24"/>
          <w:lang w:val="en-GB"/>
        </w:rPr>
        <w:t>), whereas the latter clarifies when an exposure should be considered as defaulted for prudential purposes. Although the definition</w:t>
      </w:r>
      <w:r w:rsidR="00FB4521">
        <w:rPr>
          <w:rFonts w:ascii="Times New Roman" w:eastAsia="Aptos" w:hAnsi="Times New Roman" w:cs="Times New Roman"/>
          <w:noProof/>
          <w:sz w:val="24"/>
          <w:szCs w:val="24"/>
          <w:lang w:val="en-GB"/>
        </w:rPr>
        <w:t>s</w:t>
      </w:r>
      <w:r w:rsidRPr="001752EA">
        <w:rPr>
          <w:rFonts w:ascii="Times New Roman" w:eastAsia="Aptos" w:hAnsi="Times New Roman" w:cs="Times New Roman"/>
          <w:noProof/>
          <w:sz w:val="24"/>
          <w:szCs w:val="24"/>
          <w:lang w:val="en-GB"/>
        </w:rPr>
        <w:t xml:space="preserve"> of NPE and defaulted exposure are slightly different </w:t>
      </w:r>
      <w:r w:rsidR="00F9481C">
        <w:rPr>
          <w:rFonts w:ascii="Times New Roman" w:eastAsia="Aptos" w:hAnsi="Times New Roman" w:cs="Times New Roman"/>
          <w:noProof/>
          <w:sz w:val="24"/>
          <w:szCs w:val="24"/>
          <w:lang w:val="en-GB"/>
        </w:rPr>
        <w:t>(the former includ</w:t>
      </w:r>
      <w:r w:rsidR="00F43C1A">
        <w:rPr>
          <w:rFonts w:ascii="Times New Roman" w:eastAsia="Aptos" w:hAnsi="Times New Roman" w:cs="Times New Roman"/>
          <w:noProof/>
          <w:sz w:val="24"/>
          <w:szCs w:val="24"/>
          <w:lang w:val="en-GB"/>
        </w:rPr>
        <w:t xml:space="preserve">es </w:t>
      </w:r>
      <w:r w:rsidR="00F9481C">
        <w:rPr>
          <w:rFonts w:ascii="Times New Roman" w:eastAsia="Aptos" w:hAnsi="Times New Roman" w:cs="Times New Roman"/>
          <w:noProof/>
          <w:sz w:val="24"/>
          <w:szCs w:val="24"/>
          <w:lang w:val="en-GB"/>
        </w:rPr>
        <w:t>the latter)</w:t>
      </w:r>
      <w:r w:rsidRPr="001752EA">
        <w:rPr>
          <w:rFonts w:ascii="Times New Roman" w:eastAsia="Aptos" w:hAnsi="Times New Roman" w:cs="Times New Roman"/>
          <w:noProof/>
          <w:sz w:val="24"/>
          <w:szCs w:val="24"/>
          <w:lang w:val="en-GB"/>
        </w:rPr>
        <w:t xml:space="preserve"> </w:t>
      </w:r>
      <w:r w:rsidR="00F43C1A" w:rsidRPr="00E86A99">
        <w:rPr>
          <w:rFonts w:ascii="Times New Roman" w:eastAsia="Aptos" w:hAnsi="Times New Roman" w:cs="Times New Roman"/>
          <w:noProof/>
          <w:sz w:val="24"/>
          <w:szCs w:val="24"/>
          <w:lang w:val="en-GB"/>
        </w:rPr>
        <w:t>due to historical reasons</w:t>
      </w:r>
      <w:r w:rsidR="00F43C1A">
        <w:rPr>
          <w:rFonts w:ascii="Times New Roman" w:eastAsia="Aptos" w:hAnsi="Times New Roman" w:cs="Times New Roman"/>
          <w:noProof/>
          <w:sz w:val="24"/>
          <w:szCs w:val="24"/>
          <w:lang w:val="en-GB"/>
        </w:rPr>
        <w:t xml:space="preserve">, </w:t>
      </w:r>
      <w:r w:rsidRPr="001752EA">
        <w:rPr>
          <w:rFonts w:ascii="Times New Roman" w:eastAsia="Aptos" w:hAnsi="Times New Roman" w:cs="Times New Roman"/>
          <w:noProof/>
          <w:sz w:val="24"/>
          <w:szCs w:val="24"/>
          <w:lang w:val="en-GB"/>
        </w:rPr>
        <w:t>the</w:t>
      </w:r>
      <w:r w:rsidR="008162AF">
        <w:rPr>
          <w:rFonts w:ascii="Times New Roman" w:eastAsia="Aptos" w:hAnsi="Times New Roman" w:cs="Times New Roman"/>
          <w:noProof/>
          <w:sz w:val="24"/>
          <w:szCs w:val="24"/>
          <w:lang w:val="en-GB"/>
        </w:rPr>
        <w:t>y overlap to</w:t>
      </w:r>
      <w:r w:rsidR="00927212">
        <w:rPr>
          <w:rFonts w:ascii="Times New Roman" w:eastAsia="Aptos" w:hAnsi="Times New Roman" w:cs="Times New Roman"/>
          <w:noProof/>
          <w:sz w:val="24"/>
          <w:szCs w:val="24"/>
          <w:lang w:val="en-GB"/>
        </w:rPr>
        <w:t xml:space="preserve"> </w:t>
      </w:r>
      <w:r w:rsidR="00FB4521">
        <w:rPr>
          <w:rFonts w:ascii="Times New Roman" w:eastAsia="Aptos" w:hAnsi="Times New Roman" w:cs="Times New Roman"/>
          <w:noProof/>
          <w:sz w:val="24"/>
          <w:szCs w:val="24"/>
          <w:lang w:val="en-GB"/>
        </w:rPr>
        <w:t>such an extent</w:t>
      </w:r>
      <w:r w:rsidR="00927212">
        <w:rPr>
          <w:rFonts w:ascii="Times New Roman" w:eastAsia="Aptos" w:hAnsi="Times New Roman" w:cs="Times New Roman"/>
          <w:noProof/>
          <w:sz w:val="24"/>
          <w:szCs w:val="24"/>
          <w:lang w:val="en-GB"/>
        </w:rPr>
        <w:t xml:space="preserve"> </w:t>
      </w:r>
      <w:r w:rsidR="00FB4521">
        <w:rPr>
          <w:rFonts w:ascii="Times New Roman" w:eastAsia="Aptos" w:hAnsi="Times New Roman" w:cs="Times New Roman"/>
          <w:noProof/>
          <w:sz w:val="24"/>
          <w:szCs w:val="24"/>
          <w:lang w:val="en-GB"/>
        </w:rPr>
        <w:t>that the</w:t>
      </w:r>
      <w:r w:rsidRPr="001752EA">
        <w:rPr>
          <w:rFonts w:ascii="Times New Roman" w:eastAsia="Aptos" w:hAnsi="Times New Roman" w:cs="Times New Roman"/>
          <w:noProof/>
          <w:sz w:val="24"/>
          <w:szCs w:val="24"/>
          <w:lang w:val="en-GB"/>
        </w:rPr>
        <w:t xml:space="preserve"> relative difference between NPE and defaulted amounts is negligible in aggregate terms.</w:t>
      </w:r>
    </w:p>
    <w:p w14:paraId="6A94DC1C" w14:textId="66E92EF0" w:rsidR="001034BF" w:rsidRPr="00B05037" w:rsidRDefault="001034BF" w:rsidP="001034BF">
      <w:pPr>
        <w:jc w:val="both"/>
        <w:rPr>
          <w:rFonts w:ascii="Times New Roman" w:eastAsia="Aptos" w:hAnsi="Times New Roman" w:cs="Times New Roman"/>
          <w:noProof/>
          <w:sz w:val="24"/>
          <w:szCs w:val="24"/>
          <w:u w:val="single"/>
          <w:lang w:val="en-GB"/>
        </w:rPr>
      </w:pPr>
      <w:r w:rsidRPr="00B05037">
        <w:rPr>
          <w:rFonts w:ascii="Times New Roman" w:eastAsia="Aptos" w:hAnsi="Times New Roman" w:cs="Times New Roman"/>
          <w:noProof/>
          <w:sz w:val="24"/>
          <w:szCs w:val="24"/>
          <w:u w:val="single"/>
          <w:lang w:val="en-GB"/>
        </w:rPr>
        <w:t>Issues identified</w:t>
      </w:r>
      <w:r w:rsidR="00B05037">
        <w:rPr>
          <w:rFonts w:ascii="Times New Roman" w:eastAsia="Aptos" w:hAnsi="Times New Roman" w:cs="Times New Roman"/>
          <w:noProof/>
          <w:sz w:val="24"/>
          <w:szCs w:val="24"/>
          <w:u w:val="single"/>
          <w:lang w:val="en-GB"/>
        </w:rPr>
        <w:t>:</w:t>
      </w:r>
    </w:p>
    <w:p w14:paraId="18E3A201" w14:textId="4856092C" w:rsidR="00A227E8" w:rsidRDefault="001034BF" w:rsidP="00C02610">
      <w:pPr>
        <w:pStyle w:val="ListParagraph"/>
        <w:numPr>
          <w:ilvl w:val="0"/>
          <w:numId w:val="77"/>
        </w:numPr>
        <w:jc w:val="both"/>
        <w:rPr>
          <w:rFonts w:ascii="Times New Roman" w:eastAsia="Aptos" w:hAnsi="Times New Roman" w:cs="Times New Roman"/>
          <w:noProof/>
          <w:sz w:val="24"/>
          <w:szCs w:val="24"/>
          <w:lang w:val="en-GB"/>
        </w:rPr>
      </w:pPr>
      <w:r w:rsidRPr="001752EA">
        <w:rPr>
          <w:rFonts w:ascii="Times New Roman" w:eastAsia="Aptos" w:hAnsi="Times New Roman" w:cs="Times New Roman"/>
          <w:noProof/>
          <w:sz w:val="24"/>
          <w:szCs w:val="24"/>
          <w:lang w:val="en-GB"/>
        </w:rPr>
        <w:t xml:space="preserve">While </w:t>
      </w:r>
      <w:r w:rsidR="00B05037">
        <w:rPr>
          <w:rFonts w:ascii="Times New Roman" w:eastAsia="Aptos" w:hAnsi="Times New Roman" w:cs="Times New Roman"/>
          <w:noProof/>
          <w:sz w:val="24"/>
          <w:szCs w:val="24"/>
          <w:lang w:val="en-GB"/>
        </w:rPr>
        <w:t xml:space="preserve">it has proved </w:t>
      </w:r>
      <w:r w:rsidR="00BC3CC1">
        <w:rPr>
          <w:rFonts w:ascii="Times New Roman" w:eastAsia="Aptos" w:hAnsi="Times New Roman" w:cs="Times New Roman"/>
          <w:noProof/>
          <w:sz w:val="24"/>
          <w:szCs w:val="24"/>
          <w:lang w:val="en-GB"/>
        </w:rPr>
        <w:t>instrumental</w:t>
      </w:r>
      <w:r w:rsidRPr="001752EA">
        <w:rPr>
          <w:rFonts w:ascii="Times New Roman" w:eastAsia="Aptos" w:hAnsi="Times New Roman" w:cs="Times New Roman"/>
          <w:noProof/>
          <w:sz w:val="24"/>
          <w:szCs w:val="24"/>
          <w:lang w:val="en-GB"/>
        </w:rPr>
        <w:t xml:space="preserve"> to reduce the stock of NPL</w:t>
      </w:r>
      <w:r w:rsidR="00F9481C">
        <w:rPr>
          <w:rFonts w:ascii="Times New Roman" w:eastAsia="Aptos" w:hAnsi="Times New Roman" w:cs="Times New Roman"/>
          <w:noProof/>
          <w:sz w:val="24"/>
          <w:szCs w:val="24"/>
          <w:lang w:val="en-GB"/>
        </w:rPr>
        <w:t>s</w:t>
      </w:r>
      <w:r w:rsidRPr="001752EA">
        <w:rPr>
          <w:rFonts w:ascii="Times New Roman" w:eastAsia="Aptos" w:hAnsi="Times New Roman" w:cs="Times New Roman"/>
          <w:noProof/>
          <w:sz w:val="24"/>
          <w:szCs w:val="24"/>
          <w:lang w:val="en-GB"/>
        </w:rPr>
        <w:t xml:space="preserve"> in the EU </w:t>
      </w:r>
      <w:r w:rsidR="00BC3CC1">
        <w:rPr>
          <w:rFonts w:ascii="Times New Roman" w:eastAsia="Aptos" w:hAnsi="Times New Roman" w:cs="Times New Roman"/>
          <w:noProof/>
          <w:sz w:val="24"/>
          <w:szCs w:val="24"/>
          <w:lang w:val="en-GB"/>
        </w:rPr>
        <w:t xml:space="preserve">from </w:t>
      </w:r>
      <w:r w:rsidR="00AA1811">
        <w:rPr>
          <w:rFonts w:ascii="Times New Roman" w:eastAsia="Aptos" w:hAnsi="Times New Roman" w:cs="Times New Roman"/>
          <w:noProof/>
          <w:sz w:val="24"/>
          <w:szCs w:val="24"/>
          <w:lang w:val="en-GB"/>
        </w:rPr>
        <w:t>dangerously</w:t>
      </w:r>
      <w:r w:rsidR="00E87DB4">
        <w:rPr>
          <w:rFonts w:ascii="Times New Roman" w:eastAsia="Aptos" w:hAnsi="Times New Roman" w:cs="Times New Roman"/>
          <w:noProof/>
          <w:sz w:val="24"/>
          <w:szCs w:val="24"/>
          <w:lang w:val="en-GB"/>
        </w:rPr>
        <w:t xml:space="preserve"> high levels </w:t>
      </w:r>
      <w:r w:rsidRPr="001752EA">
        <w:rPr>
          <w:rFonts w:ascii="Times New Roman" w:eastAsia="Aptos" w:hAnsi="Times New Roman" w:cs="Times New Roman"/>
          <w:noProof/>
          <w:sz w:val="24"/>
          <w:szCs w:val="24"/>
          <w:lang w:val="en-GB"/>
        </w:rPr>
        <w:t>to historical low</w:t>
      </w:r>
      <w:r w:rsidR="00E87DB4">
        <w:rPr>
          <w:rFonts w:ascii="Times New Roman" w:eastAsia="Aptos" w:hAnsi="Times New Roman" w:cs="Times New Roman"/>
          <w:noProof/>
          <w:sz w:val="24"/>
          <w:szCs w:val="24"/>
          <w:lang w:val="en-GB"/>
        </w:rPr>
        <w:t>s</w:t>
      </w:r>
      <w:r w:rsidRPr="001752EA">
        <w:rPr>
          <w:rFonts w:ascii="Times New Roman" w:eastAsia="Aptos" w:hAnsi="Times New Roman" w:cs="Times New Roman"/>
          <w:noProof/>
          <w:sz w:val="24"/>
          <w:szCs w:val="24"/>
          <w:lang w:val="en-GB"/>
        </w:rPr>
        <w:t xml:space="preserve">, questions on the forward-looking nature of the </w:t>
      </w:r>
      <w:r w:rsidR="00F9481C">
        <w:rPr>
          <w:rFonts w:ascii="Times New Roman" w:eastAsia="Aptos" w:hAnsi="Times New Roman" w:cs="Times New Roman"/>
          <w:noProof/>
          <w:sz w:val="24"/>
          <w:szCs w:val="24"/>
          <w:lang w:val="en-GB"/>
        </w:rPr>
        <w:t xml:space="preserve">NPLs </w:t>
      </w:r>
      <w:r w:rsidRPr="001752EA">
        <w:rPr>
          <w:rFonts w:ascii="Times New Roman" w:eastAsia="Aptos" w:hAnsi="Times New Roman" w:cs="Times New Roman"/>
          <w:noProof/>
          <w:sz w:val="24"/>
          <w:szCs w:val="24"/>
          <w:lang w:val="en-GB"/>
        </w:rPr>
        <w:t>framework across cycles are legitimate. In particular, it is worth considering whether the current calibration of the NPL backstop and the definition of default excessively reduce the ability of banks to proactively engage with clients at an early stage even if there are grounded prospects of recovery, including in the presence of legislative moratoria.</w:t>
      </w:r>
    </w:p>
    <w:p w14:paraId="3633650A" w14:textId="77777777" w:rsidR="00927212" w:rsidRPr="001752EA" w:rsidRDefault="00927212" w:rsidP="001752EA">
      <w:pPr>
        <w:ind w:left="360"/>
        <w:jc w:val="both"/>
        <w:rPr>
          <w:rFonts w:ascii="Times New Roman" w:eastAsia="Aptos" w:hAnsi="Times New Roman" w:cs="Times New Roman"/>
          <w:noProof/>
          <w:sz w:val="24"/>
          <w:szCs w:val="24"/>
          <w:lang w:val="en-GB"/>
        </w:rPr>
      </w:pPr>
    </w:p>
    <w:p w14:paraId="46999418" w14:textId="6FBDF835" w:rsidR="00F75E48" w:rsidRPr="00D03AD8" w:rsidRDefault="00E7351E" w:rsidP="00D03AD8">
      <w:pPr>
        <w:pStyle w:val="ListParagraph"/>
        <w:numPr>
          <w:ilvl w:val="2"/>
          <w:numId w:val="11"/>
        </w:numPr>
        <w:spacing w:after="120"/>
        <w:ind w:left="1077"/>
        <w:contextualSpacing w:val="0"/>
        <w:outlineLvl w:val="2"/>
        <w:rPr>
          <w:rFonts w:ascii="Times New Roman" w:hAnsi="Times New Roman" w:cs="Times New Roman"/>
          <w:b/>
          <w:noProof/>
          <w:sz w:val="24"/>
          <w:szCs w:val="24"/>
          <w:lang w:val="fr-FR"/>
        </w:rPr>
      </w:pPr>
      <w:bookmarkStart w:id="49" w:name="_Toc234341746"/>
      <w:r w:rsidRPr="0036474B">
        <w:rPr>
          <w:rFonts w:ascii="Times New Roman" w:hAnsi="Times New Roman" w:cs="Times New Roman"/>
          <w:b/>
          <w:bCs/>
          <w:noProof/>
          <w:sz w:val="24"/>
          <w:szCs w:val="24"/>
          <w:lang w:val="en-GB"/>
        </w:rPr>
        <w:t>Crisis management</w:t>
      </w:r>
      <w:bookmarkEnd w:id="49"/>
    </w:p>
    <w:p w14:paraId="2031904E" w14:textId="5E3F89E2" w:rsidR="00E7351E" w:rsidRPr="0036474B" w:rsidRDefault="00E7351E" w:rsidP="00E7351E">
      <w:pPr>
        <w:pStyle w:val="ListParagraph"/>
        <w:numPr>
          <w:ilvl w:val="0"/>
          <w:numId w:val="21"/>
        </w:numPr>
        <w:rPr>
          <w:rFonts w:ascii="Times New Roman" w:hAnsi="Times New Roman" w:cs="Times New Roman"/>
          <w:b/>
          <w:noProof/>
          <w:sz w:val="24"/>
          <w:szCs w:val="24"/>
          <w:lang w:val="en-GB"/>
        </w:rPr>
      </w:pPr>
      <w:r w:rsidRPr="0036474B">
        <w:rPr>
          <w:rFonts w:ascii="Times New Roman" w:hAnsi="Times New Roman" w:cs="Times New Roman"/>
          <w:b/>
          <w:noProof/>
          <w:sz w:val="24"/>
          <w:szCs w:val="24"/>
          <w:lang w:val="en-GB"/>
        </w:rPr>
        <w:t>Loss-absorption requirements (MREL and TLAC)</w:t>
      </w:r>
    </w:p>
    <w:p w14:paraId="2879D47B" w14:textId="1E0A54CC" w:rsidR="00E7351E" w:rsidRPr="0036474B" w:rsidRDefault="00E7351E" w:rsidP="00E7351E">
      <w:pPr>
        <w:jc w:val="both"/>
        <w:rPr>
          <w:rFonts w:ascii="Times New Roman" w:eastAsia="Aptos" w:hAnsi="Times New Roman" w:cs="Times New Roman"/>
          <w:noProof/>
          <w:sz w:val="24"/>
          <w:szCs w:val="24"/>
          <w:lang w:val="en-GB"/>
        </w:rPr>
      </w:pPr>
      <w:r w:rsidRPr="0036474B">
        <w:rPr>
          <w:rFonts w:ascii="Times New Roman" w:eastAsia="Aptos" w:hAnsi="Times New Roman" w:cs="Times New Roman"/>
          <w:noProof/>
          <w:sz w:val="24"/>
          <w:szCs w:val="24"/>
          <w:lang w:val="en-GB"/>
        </w:rPr>
        <w:t xml:space="preserve">EU banks are required to hold a minimum amount of own funds and eligible liabilities (MREL) set by resolution authorities, to ensure that a failing bank can be resolved without resorting to taxpayers’ money. This requirement derives from the Total Loss-Absorbing Capacity (TLAC) requirement defined by the FSB and applicable to G-SIBs. The introduction of MREL requirements has significantly increased the resilience of EU banks ensuring that they have enough resources </w:t>
      </w:r>
      <w:r w:rsidRPr="0036474B">
        <w:rPr>
          <w:rFonts w:ascii="Times New Roman" w:eastAsia="Aptos" w:hAnsi="Times New Roman" w:cs="Times New Roman"/>
          <w:noProof/>
          <w:sz w:val="24"/>
          <w:szCs w:val="24"/>
        </w:rPr>
        <w:t xml:space="preserve">to absorb losses and to reopen after bail-in post resolution. </w:t>
      </w:r>
      <w:r w:rsidRPr="0036474B">
        <w:rPr>
          <w:rFonts w:ascii="Times New Roman" w:eastAsia="Aptos" w:hAnsi="Times New Roman" w:cs="Times New Roman"/>
          <w:noProof/>
          <w:sz w:val="24"/>
          <w:szCs w:val="24"/>
          <w:lang w:val="en-GB"/>
        </w:rPr>
        <w:t>However, the current design of the MREL requirement has proved to be unduly complex, duplicative and opaque and should be addressed in a revised framework.</w:t>
      </w:r>
    </w:p>
    <w:p w14:paraId="64D94BD9" w14:textId="7D04E7D3" w:rsidR="00E7351E" w:rsidRPr="0036474B" w:rsidRDefault="7725D73F" w:rsidP="474AD48D">
      <w:pPr>
        <w:jc w:val="both"/>
        <w:rPr>
          <w:rFonts w:ascii="Times New Roman" w:eastAsia="Aptos" w:hAnsi="Times New Roman" w:cs="Times New Roman"/>
          <w:noProof/>
          <w:sz w:val="24"/>
          <w:szCs w:val="24"/>
          <w:u w:val="single"/>
          <w:lang w:val="en-GB"/>
        </w:rPr>
      </w:pPr>
      <w:r w:rsidRPr="0036474B">
        <w:rPr>
          <w:rFonts w:ascii="Times New Roman" w:eastAsia="Aptos" w:hAnsi="Times New Roman" w:cs="Times New Roman"/>
          <w:noProof/>
          <w:sz w:val="24"/>
          <w:szCs w:val="24"/>
          <w:u w:val="single"/>
          <w:lang w:val="en-GB"/>
        </w:rPr>
        <w:t xml:space="preserve">Issues </w:t>
      </w:r>
      <w:r w:rsidR="3DF59E5A" w:rsidRPr="0036474B">
        <w:rPr>
          <w:rFonts w:ascii="Times New Roman" w:eastAsia="Aptos" w:hAnsi="Times New Roman" w:cs="Times New Roman"/>
          <w:noProof/>
          <w:sz w:val="24"/>
          <w:szCs w:val="24"/>
          <w:u w:val="single"/>
          <w:lang w:val="en-GB"/>
        </w:rPr>
        <w:t>identified:</w:t>
      </w:r>
    </w:p>
    <w:p w14:paraId="7F3FA383" w14:textId="4998D34F" w:rsidR="00E7351E" w:rsidRPr="0036474B" w:rsidRDefault="3DF59E5A" w:rsidP="00E7351E">
      <w:pPr>
        <w:pStyle w:val="ListParagraph"/>
        <w:numPr>
          <w:ilvl w:val="0"/>
          <w:numId w:val="14"/>
        </w:numPr>
        <w:spacing w:after="120"/>
        <w:ind w:left="714" w:hanging="357"/>
        <w:contextualSpacing w:val="0"/>
        <w:jc w:val="both"/>
        <w:rPr>
          <w:rFonts w:ascii="Times New Roman" w:eastAsia="Aptos" w:hAnsi="Times New Roman" w:cs="Times New Roman"/>
          <w:noProof/>
          <w:sz w:val="24"/>
          <w:szCs w:val="24"/>
          <w:lang w:val="en-GB"/>
        </w:rPr>
      </w:pPr>
      <w:r w:rsidRPr="0036474B">
        <w:rPr>
          <w:rFonts w:ascii="Times New Roman" w:eastAsia="Aptos" w:hAnsi="Times New Roman" w:cs="Times New Roman"/>
          <w:noProof/>
          <w:sz w:val="24"/>
          <w:szCs w:val="24"/>
          <w:lang w:val="en-GB"/>
        </w:rPr>
        <w:t>Duplication</w:t>
      </w:r>
      <w:r w:rsidR="691194E8" w:rsidRPr="0036474B">
        <w:rPr>
          <w:rFonts w:ascii="Times New Roman" w:eastAsia="Aptos" w:hAnsi="Times New Roman" w:cs="Times New Roman"/>
          <w:noProof/>
          <w:sz w:val="24"/>
          <w:szCs w:val="24"/>
          <w:lang w:val="en-GB"/>
        </w:rPr>
        <w:t xml:space="preserve"> </w:t>
      </w:r>
      <w:r w:rsidRPr="0036474B">
        <w:rPr>
          <w:rFonts w:ascii="Times New Roman" w:eastAsia="Aptos" w:hAnsi="Times New Roman" w:cs="Times New Roman"/>
          <w:noProof/>
          <w:sz w:val="24"/>
          <w:szCs w:val="24"/>
          <w:lang w:val="en-GB"/>
        </w:rPr>
        <w:t>of the capital stacks – MREL and TLAC do not use the same eligibility criteria for the instruments that can be used to comply, nor do they rely on the same calculation methods. This has resulted in a duplication of the capital stack required for globally systemic banks which need to meet both requirements separately.</w:t>
      </w:r>
    </w:p>
    <w:p w14:paraId="4770D712" w14:textId="77777777" w:rsidR="00E7351E" w:rsidRPr="0036474B" w:rsidRDefault="00E7351E" w:rsidP="00E7351E">
      <w:pPr>
        <w:pStyle w:val="ListParagraph"/>
        <w:numPr>
          <w:ilvl w:val="0"/>
          <w:numId w:val="14"/>
        </w:numPr>
        <w:jc w:val="both"/>
        <w:rPr>
          <w:rFonts w:ascii="Times New Roman" w:eastAsia="Aptos" w:hAnsi="Times New Roman" w:cs="Times New Roman"/>
          <w:noProof/>
          <w:sz w:val="24"/>
          <w:szCs w:val="24"/>
          <w:lang w:val="en-GB"/>
        </w:rPr>
      </w:pPr>
      <w:r w:rsidRPr="0036474B">
        <w:rPr>
          <w:rFonts w:ascii="Times New Roman" w:eastAsia="Aptos" w:hAnsi="Times New Roman" w:cs="Times New Roman"/>
          <w:noProof/>
          <w:sz w:val="24"/>
          <w:szCs w:val="24"/>
          <w:lang w:val="en-GB"/>
        </w:rPr>
        <w:t>Complex and discretionary rules – the current calibration of rules tries to anticipate per bank the amounts necessary for the absorption of losses and recapitalisation of banks after the resolution. The number of adjustments per bank (linked to their balance sheet, resolution strategy, etc.) have made the framework overly bank-specific which hinder its predictability and consistency and weaken the level playing field across banks.</w:t>
      </w:r>
    </w:p>
    <w:p w14:paraId="4EF79864" w14:textId="77777777" w:rsidR="00E7351E" w:rsidRPr="0036474B" w:rsidRDefault="00E7351E" w:rsidP="00E7351E">
      <w:pPr>
        <w:jc w:val="both"/>
        <w:rPr>
          <w:rFonts w:ascii="Times New Roman" w:eastAsia="Aptos" w:hAnsi="Times New Roman" w:cs="Times New Roman"/>
          <w:noProof/>
          <w:sz w:val="24"/>
          <w:szCs w:val="24"/>
          <w:lang w:val="en-GB"/>
        </w:rPr>
      </w:pPr>
    </w:p>
    <w:p w14:paraId="74142715" w14:textId="77777777" w:rsidR="00EE3BEB" w:rsidRPr="0036474B" w:rsidRDefault="00EE3BEB" w:rsidP="00E7351E">
      <w:pPr>
        <w:jc w:val="both"/>
        <w:rPr>
          <w:rFonts w:ascii="Times New Roman" w:eastAsia="Aptos" w:hAnsi="Times New Roman" w:cs="Times New Roman"/>
          <w:noProof/>
          <w:sz w:val="24"/>
          <w:szCs w:val="24"/>
          <w:lang w:val="en-GB"/>
        </w:rPr>
      </w:pPr>
    </w:p>
    <w:p w14:paraId="0B9E1FC7" w14:textId="77777777" w:rsidR="00E7351E" w:rsidRPr="0036474B" w:rsidRDefault="00E7351E" w:rsidP="00E7351E">
      <w:pPr>
        <w:pStyle w:val="ListParagraph"/>
        <w:numPr>
          <w:ilvl w:val="0"/>
          <w:numId w:val="21"/>
        </w:numPr>
        <w:rPr>
          <w:rFonts w:ascii="Times New Roman" w:hAnsi="Times New Roman" w:cs="Times New Roman"/>
          <w:b/>
          <w:noProof/>
          <w:sz w:val="24"/>
          <w:szCs w:val="24"/>
          <w:lang w:val="en-GB"/>
        </w:rPr>
      </w:pPr>
      <w:r w:rsidRPr="0036474B">
        <w:rPr>
          <w:rFonts w:ascii="Times New Roman" w:hAnsi="Times New Roman" w:cs="Times New Roman"/>
          <w:b/>
          <w:noProof/>
          <w:sz w:val="24"/>
          <w:szCs w:val="24"/>
          <w:lang w:val="en-GB"/>
        </w:rPr>
        <w:t>Buybacks and liability management</w:t>
      </w:r>
    </w:p>
    <w:p w14:paraId="4C35DAE7" w14:textId="43B7B61F" w:rsidR="00E7351E" w:rsidRPr="0036474B" w:rsidRDefault="00E7351E" w:rsidP="00E7351E">
      <w:pPr>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rPr>
        <w:t>The MREL framework also comes with ancillary provisions, inspired from the own funds requirements, that are sometimes unduly complex or do not deliver as expected which should be addressed as well. For example, prior to the early redemption of eligible liabilities instruments used towards compliance with MREL, banks are required to obtain the authorisation of the resolution authority.</w:t>
      </w:r>
      <w:r w:rsidR="0048419F" w:rsidRPr="0036474B">
        <w:rPr>
          <w:rFonts w:ascii="Times New Roman" w:hAnsi="Times New Roman" w:cs="Times New Roman"/>
          <w:noProof/>
          <w:sz w:val="24"/>
          <w:szCs w:val="24"/>
          <w:lang w:val="en-GB"/>
        </w:rPr>
        <w:t xml:space="preserve"> Th</w:t>
      </w:r>
      <w:r w:rsidR="00F25EF2" w:rsidRPr="0036474B">
        <w:rPr>
          <w:rFonts w:ascii="Times New Roman" w:hAnsi="Times New Roman" w:cs="Times New Roman"/>
          <w:noProof/>
          <w:sz w:val="24"/>
          <w:szCs w:val="24"/>
          <w:lang w:val="en-GB"/>
        </w:rPr>
        <w:t>is</w:t>
      </w:r>
      <w:r w:rsidR="0048419F" w:rsidRPr="0036474B">
        <w:rPr>
          <w:rFonts w:ascii="Times New Roman" w:hAnsi="Times New Roman" w:cs="Times New Roman"/>
          <w:noProof/>
          <w:sz w:val="24"/>
          <w:szCs w:val="24"/>
          <w:lang w:val="en-GB"/>
        </w:rPr>
        <w:t xml:space="preserve"> procedural burden </w:t>
      </w:r>
      <w:r w:rsidR="00F25EF2" w:rsidRPr="0036474B">
        <w:rPr>
          <w:rFonts w:ascii="Times New Roman" w:hAnsi="Times New Roman" w:cs="Times New Roman"/>
          <w:noProof/>
          <w:sz w:val="24"/>
          <w:szCs w:val="24"/>
          <w:lang w:val="en-GB"/>
        </w:rPr>
        <w:t xml:space="preserve">has direct implications on the ability of banks to refinance their </w:t>
      </w:r>
      <w:r w:rsidR="00CB77B6" w:rsidRPr="0036474B">
        <w:rPr>
          <w:rFonts w:ascii="Times New Roman" w:hAnsi="Times New Roman" w:cs="Times New Roman"/>
          <w:noProof/>
          <w:sz w:val="24"/>
          <w:szCs w:val="24"/>
          <w:lang w:val="en-GB"/>
        </w:rPr>
        <w:t xml:space="preserve">liabilities, in particular when market conditions would allow to </w:t>
      </w:r>
      <w:r w:rsidR="00ED30A1" w:rsidRPr="0036474B">
        <w:rPr>
          <w:rFonts w:ascii="Times New Roman" w:hAnsi="Times New Roman" w:cs="Times New Roman"/>
          <w:noProof/>
          <w:sz w:val="24"/>
          <w:szCs w:val="24"/>
          <w:lang w:val="en-GB"/>
        </w:rPr>
        <w:t>benefit from more competitive market rates</w:t>
      </w:r>
      <w:r w:rsidR="00911D78" w:rsidRPr="0036474B">
        <w:rPr>
          <w:rFonts w:ascii="Times New Roman" w:hAnsi="Times New Roman" w:cs="Times New Roman"/>
          <w:noProof/>
          <w:sz w:val="24"/>
          <w:szCs w:val="24"/>
          <w:lang w:val="en-GB"/>
        </w:rPr>
        <w:t>.</w:t>
      </w:r>
      <w:r w:rsidRPr="0036474B">
        <w:rPr>
          <w:rFonts w:ascii="Times New Roman" w:hAnsi="Times New Roman" w:cs="Times New Roman"/>
          <w:noProof/>
          <w:sz w:val="24"/>
          <w:szCs w:val="24"/>
          <w:lang w:val="en-GB"/>
        </w:rPr>
        <w:t xml:space="preserve"> </w:t>
      </w:r>
    </w:p>
    <w:p w14:paraId="491B9FF1" w14:textId="53578657" w:rsidR="00E7351E" w:rsidRPr="0036474B" w:rsidRDefault="00E7351E" w:rsidP="00E7351E">
      <w:pPr>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rPr>
        <w:t xml:space="preserve">The prior permission regime has been subject to a </w:t>
      </w:r>
      <w:r w:rsidR="008C2892" w:rsidRPr="0036474B">
        <w:rPr>
          <w:rFonts w:ascii="Times New Roman" w:hAnsi="Times New Roman" w:cs="Times New Roman"/>
          <w:noProof/>
          <w:sz w:val="24"/>
          <w:szCs w:val="24"/>
          <w:lang w:val="en-GB"/>
        </w:rPr>
        <w:t>few</w:t>
      </w:r>
      <w:r w:rsidRPr="0036474B">
        <w:rPr>
          <w:rFonts w:ascii="Times New Roman" w:hAnsi="Times New Roman" w:cs="Times New Roman"/>
          <w:noProof/>
          <w:sz w:val="24"/>
          <w:szCs w:val="24"/>
          <w:lang w:val="en-GB"/>
        </w:rPr>
        <w:t xml:space="preserve"> simplification initiatives, </w:t>
      </w:r>
      <w:r w:rsidR="008C2892" w:rsidRPr="0036474B">
        <w:rPr>
          <w:rFonts w:ascii="Times New Roman" w:hAnsi="Times New Roman" w:cs="Times New Roman"/>
          <w:noProof/>
          <w:sz w:val="24"/>
          <w:szCs w:val="24"/>
          <w:lang w:val="en-GB"/>
        </w:rPr>
        <w:t>within</w:t>
      </w:r>
      <w:r w:rsidRPr="0036474B">
        <w:rPr>
          <w:rFonts w:ascii="Times New Roman" w:hAnsi="Times New Roman" w:cs="Times New Roman"/>
          <w:noProof/>
          <w:sz w:val="24"/>
          <w:szCs w:val="24"/>
          <w:lang w:val="en-GB"/>
        </w:rPr>
        <w:t xml:space="preserve"> the limits of what CRR and the Delegated Regulation on own funds and eligible liabilities</w:t>
      </w:r>
      <w:r w:rsidRPr="0036474B">
        <w:rPr>
          <w:rStyle w:val="FootnoteReference"/>
          <w:rFonts w:ascii="Times New Roman" w:hAnsi="Times New Roman" w:cs="Times New Roman"/>
          <w:noProof/>
          <w:sz w:val="24"/>
          <w:szCs w:val="24"/>
          <w:lang w:val="en-GB"/>
        </w:rPr>
        <w:footnoteReference w:id="97"/>
      </w:r>
      <w:r w:rsidRPr="0036474B">
        <w:rPr>
          <w:rFonts w:ascii="Times New Roman" w:hAnsi="Times New Roman" w:cs="Times New Roman"/>
          <w:noProof/>
          <w:sz w:val="24"/>
          <w:szCs w:val="24"/>
          <w:lang w:val="en-GB"/>
        </w:rPr>
        <w:t xml:space="preserve"> allow. </w:t>
      </w:r>
      <w:r w:rsidR="00911D78" w:rsidRPr="0036474B">
        <w:rPr>
          <w:rFonts w:ascii="Times New Roman" w:hAnsi="Times New Roman" w:cs="Times New Roman"/>
          <w:noProof/>
          <w:sz w:val="24"/>
          <w:szCs w:val="24"/>
          <w:lang w:val="en-GB"/>
        </w:rPr>
        <w:t>In particular, t</w:t>
      </w:r>
      <w:r w:rsidRPr="0036474B">
        <w:rPr>
          <w:rFonts w:ascii="Times New Roman" w:hAnsi="Times New Roman" w:cs="Times New Roman"/>
          <w:noProof/>
          <w:sz w:val="24"/>
          <w:szCs w:val="24"/>
          <w:lang w:val="en-GB"/>
        </w:rPr>
        <w:t>he Single Resolution Board published on December 2025</w:t>
      </w:r>
      <w:r w:rsidRPr="0036474B">
        <w:rPr>
          <w:rStyle w:val="FootnoteReference"/>
          <w:rFonts w:ascii="Times New Roman" w:hAnsi="Times New Roman" w:cs="Times New Roman"/>
          <w:noProof/>
          <w:sz w:val="24"/>
          <w:szCs w:val="24"/>
          <w:lang w:val="en-GB"/>
        </w:rPr>
        <w:footnoteReference w:id="98"/>
      </w:r>
      <w:r w:rsidRPr="0036474B">
        <w:rPr>
          <w:rFonts w:ascii="Times New Roman" w:hAnsi="Times New Roman" w:cs="Times New Roman"/>
          <w:noProof/>
          <w:sz w:val="24"/>
          <w:szCs w:val="24"/>
          <w:lang w:val="en-GB"/>
        </w:rPr>
        <w:t xml:space="preserve"> a new approach to accelerate the process and ease the implementation of these provisions</w:t>
      </w:r>
      <w:r w:rsidRPr="0036474B" w:rsidDel="00C673C2">
        <w:rPr>
          <w:rFonts w:ascii="Times New Roman" w:hAnsi="Times New Roman" w:cs="Times New Roman"/>
          <w:noProof/>
          <w:sz w:val="24"/>
          <w:szCs w:val="24"/>
          <w:lang w:val="en-GB"/>
        </w:rPr>
        <w:t>.</w:t>
      </w:r>
      <w:r w:rsidRPr="0036474B">
        <w:rPr>
          <w:rFonts w:ascii="Times New Roman" w:hAnsi="Times New Roman" w:cs="Times New Roman"/>
          <w:noProof/>
          <w:sz w:val="24"/>
          <w:szCs w:val="24"/>
          <w:lang w:val="en-GB"/>
        </w:rPr>
        <w:t xml:space="preserve"> </w:t>
      </w:r>
      <w:r w:rsidR="008C2892" w:rsidRPr="0036474B">
        <w:rPr>
          <w:rFonts w:ascii="Times New Roman" w:hAnsi="Times New Roman" w:cs="Times New Roman"/>
          <w:noProof/>
          <w:sz w:val="24"/>
          <w:szCs w:val="24"/>
          <w:lang w:val="en-GB"/>
        </w:rPr>
        <w:t>However</w:t>
      </w:r>
      <w:r w:rsidRPr="0036474B">
        <w:rPr>
          <w:rFonts w:ascii="Times New Roman" w:hAnsi="Times New Roman" w:cs="Times New Roman"/>
          <w:noProof/>
          <w:sz w:val="24"/>
          <w:szCs w:val="24"/>
          <w:lang w:val="en-GB"/>
        </w:rPr>
        <w:t xml:space="preserve">, </w:t>
      </w:r>
      <w:r w:rsidR="00911D78" w:rsidRPr="0036474B">
        <w:rPr>
          <w:rFonts w:ascii="Times New Roman" w:hAnsi="Times New Roman" w:cs="Times New Roman"/>
          <w:noProof/>
          <w:sz w:val="24"/>
          <w:szCs w:val="24"/>
          <w:lang w:val="en-GB"/>
        </w:rPr>
        <w:t>these changes do not provide</w:t>
      </w:r>
      <w:r w:rsidRPr="0036474B">
        <w:rPr>
          <w:rFonts w:ascii="Times New Roman" w:hAnsi="Times New Roman" w:cs="Times New Roman"/>
          <w:noProof/>
          <w:sz w:val="24"/>
          <w:szCs w:val="24"/>
          <w:lang w:val="en-GB"/>
        </w:rPr>
        <w:t xml:space="preserve"> </w:t>
      </w:r>
      <w:r w:rsidR="008B1438" w:rsidRPr="0036474B">
        <w:rPr>
          <w:rFonts w:ascii="Times New Roman" w:hAnsi="Times New Roman" w:cs="Times New Roman"/>
          <w:noProof/>
          <w:sz w:val="24"/>
          <w:szCs w:val="24"/>
          <w:lang w:val="en-GB"/>
        </w:rPr>
        <w:t xml:space="preserve">meaningful relief for banks </w:t>
      </w:r>
      <w:r w:rsidR="005E151E" w:rsidRPr="0036474B">
        <w:rPr>
          <w:rFonts w:ascii="Times New Roman" w:hAnsi="Times New Roman" w:cs="Times New Roman"/>
          <w:noProof/>
          <w:sz w:val="24"/>
          <w:szCs w:val="24"/>
          <w:lang w:val="en-GB"/>
        </w:rPr>
        <w:t>operating in volatile market environments and still represent an important source of administrative burden for resolution authorities. A</w:t>
      </w:r>
      <w:r w:rsidRPr="0036474B">
        <w:rPr>
          <w:rFonts w:ascii="Times New Roman" w:hAnsi="Times New Roman" w:cs="Times New Roman"/>
          <w:noProof/>
          <w:sz w:val="24"/>
          <w:szCs w:val="24"/>
          <w:lang w:val="en-GB"/>
        </w:rPr>
        <w:t xml:space="preserve"> vast majority of respondents to the targeted consultation </w:t>
      </w:r>
      <w:r w:rsidR="005E151E" w:rsidRPr="0036474B">
        <w:rPr>
          <w:rFonts w:ascii="Times New Roman" w:hAnsi="Times New Roman" w:cs="Times New Roman"/>
          <w:noProof/>
          <w:sz w:val="24"/>
          <w:szCs w:val="24"/>
          <w:lang w:val="en-GB"/>
        </w:rPr>
        <w:t xml:space="preserve">also </w:t>
      </w:r>
      <w:r w:rsidRPr="0036474B">
        <w:rPr>
          <w:rFonts w:ascii="Times New Roman" w:hAnsi="Times New Roman" w:cs="Times New Roman"/>
          <w:noProof/>
          <w:sz w:val="24"/>
          <w:szCs w:val="24"/>
          <w:lang w:val="en-GB"/>
        </w:rPr>
        <w:t>recalled the importance of a speedy and unhampered process for the redemption of eligible liabilities when authorities consider there is no impact on financial stability.</w:t>
      </w:r>
    </w:p>
    <w:p w14:paraId="43D3BA17" w14:textId="0462168B" w:rsidR="00E7351E" w:rsidRPr="0036474B" w:rsidRDefault="005D3AC1" w:rsidP="00E7351E">
      <w:pPr>
        <w:jc w:val="both"/>
        <w:rPr>
          <w:rFonts w:ascii="Times New Roman" w:eastAsia="Aptos" w:hAnsi="Times New Roman" w:cs="Times New Roman"/>
          <w:noProof/>
          <w:sz w:val="24"/>
          <w:szCs w:val="24"/>
          <w:u w:val="single"/>
          <w:lang w:val="en-GB"/>
        </w:rPr>
      </w:pPr>
      <w:r w:rsidRPr="0036474B">
        <w:rPr>
          <w:rFonts w:ascii="Times New Roman" w:eastAsia="Aptos" w:hAnsi="Times New Roman" w:cs="Times New Roman"/>
          <w:noProof/>
          <w:sz w:val="24"/>
          <w:szCs w:val="24"/>
          <w:u w:val="single"/>
          <w:lang w:val="en-GB"/>
        </w:rPr>
        <w:t xml:space="preserve">Issues </w:t>
      </w:r>
      <w:r w:rsidR="00E7351E" w:rsidRPr="0036474B">
        <w:rPr>
          <w:rFonts w:ascii="Times New Roman" w:eastAsia="Aptos" w:hAnsi="Times New Roman" w:cs="Times New Roman"/>
          <w:noProof/>
          <w:sz w:val="24"/>
          <w:szCs w:val="24"/>
          <w:u w:val="single"/>
          <w:lang w:val="en-GB"/>
        </w:rPr>
        <w:t>identified:</w:t>
      </w:r>
    </w:p>
    <w:p w14:paraId="2C96E085" w14:textId="1827FFC4" w:rsidR="00E7351E" w:rsidRPr="0036474B" w:rsidRDefault="00E7351E" w:rsidP="00E7351E">
      <w:pPr>
        <w:pStyle w:val="ListParagraph"/>
        <w:numPr>
          <w:ilvl w:val="0"/>
          <w:numId w:val="52"/>
        </w:numPr>
        <w:jc w:val="both"/>
        <w:rPr>
          <w:rFonts w:ascii="Times New Roman" w:hAnsi="Times New Roman" w:cs="Times New Roman"/>
          <w:b/>
          <w:bCs/>
          <w:noProof/>
          <w:sz w:val="24"/>
          <w:szCs w:val="24"/>
          <w:lang w:val="en-GB"/>
        </w:rPr>
      </w:pPr>
      <w:r w:rsidRPr="0036474B">
        <w:rPr>
          <w:rFonts w:ascii="Times New Roman" w:hAnsi="Times New Roman" w:cs="Times New Roman"/>
          <w:noProof/>
          <w:sz w:val="24"/>
          <w:szCs w:val="24"/>
          <w:lang w:val="en-GB"/>
        </w:rPr>
        <w:t>While originally designed to safeguard the soundness and integrity of institutions’ loss-absorbing capacity, the prior permission regime has introduced unnecessary complexity and administrative burden on banks and resolution authorities</w:t>
      </w:r>
      <w:r w:rsidR="005E151E" w:rsidRPr="0036474B">
        <w:rPr>
          <w:rFonts w:ascii="Times New Roman" w:hAnsi="Times New Roman" w:cs="Times New Roman"/>
          <w:noProof/>
          <w:sz w:val="24"/>
          <w:szCs w:val="24"/>
          <w:lang w:val="en-GB"/>
        </w:rPr>
        <w:t>, for little added-value in terms of resilience and financial stability.</w:t>
      </w:r>
    </w:p>
    <w:p w14:paraId="1CD73525" w14:textId="77777777" w:rsidR="00E7351E" w:rsidRPr="0036474B" w:rsidRDefault="00E7351E" w:rsidP="00E7351E">
      <w:pPr>
        <w:pStyle w:val="ListParagraph"/>
        <w:jc w:val="both"/>
        <w:rPr>
          <w:rFonts w:ascii="Times New Roman" w:hAnsi="Times New Roman" w:cs="Times New Roman"/>
          <w:b/>
          <w:bCs/>
          <w:noProof/>
          <w:sz w:val="24"/>
          <w:szCs w:val="24"/>
          <w:lang w:val="en-GB"/>
        </w:rPr>
      </w:pPr>
    </w:p>
    <w:p w14:paraId="333011D4" w14:textId="77777777" w:rsidR="00E7351E" w:rsidRPr="0036474B" w:rsidRDefault="00E7351E" w:rsidP="00E7351E">
      <w:pPr>
        <w:pStyle w:val="ListParagraph"/>
        <w:numPr>
          <w:ilvl w:val="0"/>
          <w:numId w:val="21"/>
        </w:numPr>
        <w:rPr>
          <w:rFonts w:ascii="Times New Roman" w:hAnsi="Times New Roman" w:cs="Times New Roman"/>
          <w:b/>
          <w:noProof/>
          <w:sz w:val="24"/>
          <w:szCs w:val="24"/>
          <w:lang w:val="en-GB"/>
        </w:rPr>
      </w:pPr>
      <w:r w:rsidRPr="0036474B">
        <w:rPr>
          <w:rFonts w:ascii="Times New Roman" w:hAnsi="Times New Roman" w:cs="Times New Roman"/>
          <w:b/>
          <w:noProof/>
          <w:sz w:val="24"/>
          <w:szCs w:val="24"/>
          <w:lang w:val="en-GB"/>
        </w:rPr>
        <w:t>Resolution planning activities</w:t>
      </w:r>
    </w:p>
    <w:p w14:paraId="5628BEBE" w14:textId="4E7C6964" w:rsidR="00E7351E" w:rsidRPr="0036474B" w:rsidRDefault="00E7351E" w:rsidP="00E7351E">
      <w:pPr>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rPr>
        <w:t xml:space="preserve">Under the EU bank resolution framework, the SRB and National Resolution Authorities (NRAs) are required to develop and </w:t>
      </w:r>
      <w:r w:rsidRPr="0036474B">
        <w:rPr>
          <w:rFonts w:ascii="Times New Roman" w:hAnsi="Times New Roman" w:cs="Times New Roman"/>
          <w:noProof/>
          <w:sz w:val="24"/>
          <w:szCs w:val="24"/>
        </w:rPr>
        <w:t>draft resolution plans for the banks under their remit, with the aim of preparing to manage their orderly failure. Resolution plans are comprehensive documents, which describe the characteristics of a bank and outline the preferred resolution strategy and resolution tools to apply. The framework also specifies the frequency and the key steps of the resolution planning cycles, as well as the procedures to be followed for their preparation and adoption in cooperation with other relevant authorities.</w:t>
      </w:r>
      <w:r w:rsidRPr="0036474B">
        <w:rPr>
          <w:rFonts w:ascii="Times New Roman" w:hAnsi="Times New Roman" w:cs="Times New Roman"/>
          <w:noProof/>
          <w:sz w:val="24"/>
          <w:szCs w:val="24"/>
          <w:lang w:val="en-GB"/>
        </w:rPr>
        <w:t xml:space="preserve"> </w:t>
      </w:r>
    </w:p>
    <w:p w14:paraId="742A58DC" w14:textId="77777777" w:rsidR="00E7351E" w:rsidRPr="0036474B" w:rsidRDefault="00E7351E" w:rsidP="00E7351E">
      <w:pPr>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rPr>
        <w:t>Some respondents to the targeted consultation emphasised the importance of further harmonising data requirements to reduce duplication, inconsistencies, and operational burden, which can be achieved by enhancing the alignment between the resolution framework and supervisory reporting. Others advocated for enhanced cross-border cooperation through the expansion of joint testing, information-sharing mechanisms, and international coordinated drills, aiming to ensure the efficient and predictable operation of cross-jurisdictional crisis management.</w:t>
      </w:r>
    </w:p>
    <w:p w14:paraId="179FE7F6" w14:textId="7C8CD956" w:rsidR="00E7351E" w:rsidRPr="0036474B" w:rsidRDefault="005D3AC1" w:rsidP="00E7351E">
      <w:pPr>
        <w:jc w:val="both"/>
        <w:rPr>
          <w:rFonts w:ascii="Times New Roman" w:hAnsi="Times New Roman" w:cs="Times New Roman"/>
          <w:noProof/>
          <w:sz w:val="24"/>
          <w:szCs w:val="24"/>
          <w:u w:val="single"/>
        </w:rPr>
      </w:pPr>
      <w:r w:rsidRPr="0036474B">
        <w:rPr>
          <w:rFonts w:ascii="Times New Roman" w:hAnsi="Times New Roman" w:cs="Times New Roman"/>
          <w:noProof/>
          <w:sz w:val="24"/>
          <w:szCs w:val="24"/>
          <w:u w:val="single"/>
        </w:rPr>
        <w:t xml:space="preserve">Issues </w:t>
      </w:r>
      <w:r w:rsidR="00E7351E" w:rsidRPr="0036474B">
        <w:rPr>
          <w:rFonts w:ascii="Times New Roman" w:hAnsi="Times New Roman" w:cs="Times New Roman"/>
          <w:noProof/>
          <w:sz w:val="24"/>
          <w:szCs w:val="24"/>
          <w:u w:val="single"/>
        </w:rPr>
        <w:t>identified:</w:t>
      </w:r>
    </w:p>
    <w:p w14:paraId="6C927B8A" w14:textId="3CCCFAEB" w:rsidR="00E7351E" w:rsidRDefault="00E7351E" w:rsidP="00E7351E">
      <w:pPr>
        <w:pStyle w:val="ListParagraph"/>
        <w:numPr>
          <w:ilvl w:val="0"/>
          <w:numId w:val="14"/>
        </w:numPr>
        <w:spacing w:after="120"/>
        <w:ind w:left="714" w:hanging="357"/>
        <w:contextualSpacing w:val="0"/>
        <w:jc w:val="both"/>
        <w:rPr>
          <w:rFonts w:ascii="Times New Roman" w:hAnsi="Times New Roman" w:cs="Times New Roman"/>
          <w:noProof/>
          <w:sz w:val="24"/>
          <w:szCs w:val="24"/>
        </w:rPr>
      </w:pPr>
      <w:r w:rsidRPr="0036474B">
        <w:rPr>
          <w:rFonts w:ascii="Times New Roman" w:hAnsi="Times New Roman" w:cs="Times New Roman"/>
          <w:noProof/>
          <w:sz w:val="24"/>
          <w:szCs w:val="24"/>
        </w:rPr>
        <w:t>Despite the important steps to shorten and standardise resolution plans which have already been conducted by the SRB and by EBA with the revised RTS on resolution plans, the requirements in the Level 1 framework remain cumbersome as they constrain banks and resolution authorities to operate in rigid yearly planning cycles and do not always provide sufficient flexibility to resolution authorities to tailor their resolution planning to the specificities of each bank.</w:t>
      </w:r>
    </w:p>
    <w:p w14:paraId="7A12F368" w14:textId="77777777" w:rsidR="00AC2B0B" w:rsidRPr="00515B62" w:rsidRDefault="00AC2B0B" w:rsidP="00515B62">
      <w:pPr>
        <w:spacing w:after="120"/>
        <w:jc w:val="both"/>
        <w:rPr>
          <w:rFonts w:ascii="Times New Roman" w:hAnsi="Times New Roman" w:cs="Times New Roman"/>
          <w:noProof/>
          <w:sz w:val="24"/>
          <w:szCs w:val="24"/>
        </w:rPr>
      </w:pPr>
    </w:p>
    <w:p w14:paraId="755A2636" w14:textId="1C436718" w:rsidR="003D24D1" w:rsidRPr="0036474B" w:rsidRDefault="00D63E2D" w:rsidP="00B00C18">
      <w:pPr>
        <w:pStyle w:val="ListParagraph"/>
        <w:numPr>
          <w:ilvl w:val="2"/>
          <w:numId w:val="11"/>
        </w:numPr>
        <w:ind w:left="1276"/>
        <w:outlineLvl w:val="2"/>
        <w:rPr>
          <w:rFonts w:ascii="Times New Roman" w:hAnsi="Times New Roman" w:cs="Times New Roman"/>
          <w:b/>
          <w:bCs/>
          <w:noProof/>
          <w:sz w:val="24"/>
          <w:szCs w:val="24"/>
          <w:lang w:val="en-GB"/>
        </w:rPr>
      </w:pPr>
      <w:bookmarkStart w:id="50" w:name="_Toc234341747"/>
      <w:r w:rsidRPr="00B9CD08">
        <w:rPr>
          <w:rFonts w:ascii="Times New Roman" w:hAnsi="Times New Roman" w:cs="Times New Roman"/>
          <w:b/>
          <w:bCs/>
          <w:noProof/>
          <w:sz w:val="24"/>
          <w:szCs w:val="24"/>
          <w:lang w:val="en-GB"/>
        </w:rPr>
        <w:t>Macroprudential</w:t>
      </w:r>
      <w:bookmarkEnd w:id="50"/>
    </w:p>
    <w:p w14:paraId="299B5083" w14:textId="54AA1A95" w:rsidR="00685A55" w:rsidRPr="00A96EF6" w:rsidRDefault="5B262F39" w:rsidP="002A5949">
      <w:pPr>
        <w:jc w:val="both"/>
        <w:rPr>
          <w:rFonts w:ascii="Times New Roman" w:hAnsi="Times New Roman" w:cs="Times New Roman"/>
          <w:noProof/>
          <w:sz w:val="24"/>
          <w:szCs w:val="24"/>
        </w:rPr>
      </w:pPr>
      <w:r w:rsidRPr="00A96EF6">
        <w:rPr>
          <w:rFonts w:ascii="Times New Roman" w:hAnsi="Times New Roman" w:cs="Times New Roman"/>
          <w:noProof/>
          <w:sz w:val="24"/>
          <w:szCs w:val="24"/>
        </w:rPr>
        <w:t xml:space="preserve">The EU macroprudential framework for banks includes capital-based measures (capital buffers in the CRD and risk-weight tools in the CRR) which support banking sector resilience by enabling banks to absorb systemic shocks and maintain the provision of financial services and lending to the economy in periods of economic downturn. The current capital framework sets out five capital buffers which together form the combined buffer requirement: i) a capital conservation buffer (CCoB) to be set aside by all banks; ii) a countercyclical capital buffer (CCyB) and a systemic risk buffer (SyRB) to increase the resilience of the banking sector to cyclical and structural systemic risks; iii) a buffer for global systemically important institutions (G-SII buffer) applicable to the largest </w:t>
      </w:r>
      <w:r w:rsidR="41F8C839" w:rsidRPr="00A96EF6">
        <w:rPr>
          <w:rFonts w:ascii="Times New Roman" w:hAnsi="Times New Roman" w:cs="Times New Roman"/>
          <w:noProof/>
          <w:sz w:val="24"/>
          <w:szCs w:val="24"/>
        </w:rPr>
        <w:t xml:space="preserve">global </w:t>
      </w:r>
      <w:r w:rsidRPr="00A96EF6">
        <w:rPr>
          <w:rFonts w:ascii="Times New Roman" w:hAnsi="Times New Roman" w:cs="Times New Roman"/>
          <w:noProof/>
          <w:sz w:val="24"/>
          <w:szCs w:val="24"/>
        </w:rPr>
        <w:t xml:space="preserve">banks and a buffer for other (domestic) systemically important institutions (O-SII buffers) set to </w:t>
      </w:r>
      <w:r w:rsidR="2CCA0994" w:rsidRPr="00A96EF6">
        <w:rPr>
          <w:rFonts w:ascii="Times New Roman" w:hAnsi="Times New Roman" w:cs="Times New Roman"/>
          <w:noProof/>
          <w:sz w:val="24"/>
          <w:szCs w:val="24"/>
        </w:rPr>
        <w:t>lower the probability</w:t>
      </w:r>
      <w:r w:rsidRPr="00A96EF6">
        <w:rPr>
          <w:rFonts w:ascii="Times New Roman" w:hAnsi="Times New Roman" w:cs="Times New Roman"/>
          <w:noProof/>
          <w:sz w:val="24"/>
          <w:szCs w:val="24"/>
        </w:rPr>
        <w:t xml:space="preserve"> of </w:t>
      </w:r>
      <w:r w:rsidR="2CCA0994" w:rsidRPr="00A96EF6">
        <w:rPr>
          <w:rFonts w:ascii="Times New Roman" w:hAnsi="Times New Roman" w:cs="Times New Roman"/>
          <w:noProof/>
          <w:sz w:val="24"/>
          <w:szCs w:val="24"/>
        </w:rPr>
        <w:t xml:space="preserve">failures of the critical </w:t>
      </w:r>
      <w:r w:rsidR="0ED96F29" w:rsidRPr="00A96EF6">
        <w:rPr>
          <w:rFonts w:ascii="Times New Roman" w:hAnsi="Times New Roman" w:cs="Times New Roman"/>
          <w:noProof/>
          <w:sz w:val="24"/>
          <w:szCs w:val="24"/>
        </w:rPr>
        <w:t>entities in the financial system</w:t>
      </w:r>
      <w:r w:rsidRPr="00A96EF6">
        <w:rPr>
          <w:rFonts w:ascii="Times New Roman" w:hAnsi="Times New Roman" w:cs="Times New Roman"/>
          <w:noProof/>
          <w:sz w:val="24"/>
          <w:szCs w:val="24"/>
        </w:rPr>
        <w:t xml:space="preserve">. To tackle vulnerabilities stemming from specific exposures (e.g. real estate exposures), national macroprudential authorities can tighten risk-weights on these exposures (Art. 124 and </w:t>
      </w:r>
      <w:r w:rsidR="3AB41D5B" w:rsidRPr="00A96EF6">
        <w:rPr>
          <w:rFonts w:ascii="Times New Roman" w:hAnsi="Times New Roman" w:cs="Times New Roman"/>
          <w:noProof/>
          <w:sz w:val="24"/>
          <w:szCs w:val="24"/>
        </w:rPr>
        <w:t xml:space="preserve">Art. </w:t>
      </w:r>
      <w:r w:rsidRPr="00A96EF6">
        <w:rPr>
          <w:rFonts w:ascii="Times New Roman" w:hAnsi="Times New Roman" w:cs="Times New Roman"/>
          <w:noProof/>
          <w:sz w:val="24"/>
          <w:szCs w:val="24"/>
        </w:rPr>
        <w:t>458 CRR)</w:t>
      </w:r>
      <w:r w:rsidR="0ED96F29" w:rsidRPr="00A96EF6">
        <w:rPr>
          <w:rFonts w:ascii="Times New Roman" w:hAnsi="Times New Roman" w:cs="Times New Roman"/>
          <w:noProof/>
          <w:sz w:val="24"/>
          <w:szCs w:val="24"/>
        </w:rPr>
        <w:t xml:space="preserve"> or parameters in the risk weight calculation (Art. 164 CRR)</w:t>
      </w:r>
      <w:r w:rsidRPr="00A96EF6">
        <w:rPr>
          <w:rFonts w:ascii="Times New Roman" w:hAnsi="Times New Roman" w:cs="Times New Roman"/>
          <w:noProof/>
          <w:sz w:val="24"/>
          <w:szCs w:val="24"/>
        </w:rPr>
        <w:t>. While these capital measures have helped increase the resilience of the EU banking sector to systemic shocks in the aftermath of the euro area debt crisis, the</w:t>
      </w:r>
      <w:r w:rsidR="0CCFE005" w:rsidRPr="00A96EF6">
        <w:rPr>
          <w:rFonts w:ascii="Times New Roman" w:hAnsi="Times New Roman" w:cs="Times New Roman"/>
          <w:noProof/>
          <w:sz w:val="24"/>
          <w:szCs w:val="24"/>
        </w:rPr>
        <w:t xml:space="preserve"> </w:t>
      </w:r>
      <w:r w:rsidR="0397C03F" w:rsidRPr="00A96EF6">
        <w:rPr>
          <w:rFonts w:ascii="Times New Roman" w:hAnsi="Times New Roman" w:cs="Times New Roman"/>
          <w:noProof/>
          <w:sz w:val="24"/>
          <w:szCs w:val="24"/>
        </w:rPr>
        <w:t xml:space="preserve">macroprudential framework </w:t>
      </w:r>
      <w:r w:rsidR="07215825" w:rsidRPr="00A96EF6">
        <w:rPr>
          <w:rFonts w:ascii="Times New Roman" w:hAnsi="Times New Roman" w:cs="Times New Roman"/>
          <w:noProof/>
          <w:sz w:val="24"/>
          <w:szCs w:val="24"/>
        </w:rPr>
        <w:t xml:space="preserve">is perceived </w:t>
      </w:r>
      <w:r w:rsidR="54A2DCDB" w:rsidRPr="00A96EF6">
        <w:rPr>
          <w:rFonts w:ascii="Times New Roman" w:hAnsi="Times New Roman" w:cs="Times New Roman"/>
          <w:noProof/>
          <w:sz w:val="24"/>
          <w:szCs w:val="24"/>
        </w:rPr>
        <w:t>as unduly complex</w:t>
      </w:r>
      <w:r w:rsidRPr="00A96EF6">
        <w:rPr>
          <w:rFonts w:ascii="Times New Roman" w:hAnsi="Times New Roman" w:cs="Times New Roman"/>
          <w:noProof/>
          <w:sz w:val="24"/>
          <w:szCs w:val="24"/>
        </w:rPr>
        <w:t xml:space="preserve"> and </w:t>
      </w:r>
      <w:r w:rsidR="54A2DCDB" w:rsidRPr="00A96EF6">
        <w:rPr>
          <w:rFonts w:ascii="Times New Roman" w:hAnsi="Times New Roman" w:cs="Times New Roman"/>
          <w:noProof/>
          <w:sz w:val="24"/>
          <w:szCs w:val="24"/>
        </w:rPr>
        <w:t>raise</w:t>
      </w:r>
      <w:r w:rsidR="07215825" w:rsidRPr="00A96EF6">
        <w:rPr>
          <w:rFonts w:ascii="Times New Roman" w:hAnsi="Times New Roman" w:cs="Times New Roman"/>
          <w:noProof/>
          <w:sz w:val="24"/>
          <w:szCs w:val="24"/>
        </w:rPr>
        <w:t>s</w:t>
      </w:r>
      <w:r w:rsidR="54A2DCDB" w:rsidRPr="00A96EF6">
        <w:rPr>
          <w:rFonts w:ascii="Times New Roman" w:hAnsi="Times New Roman" w:cs="Times New Roman"/>
          <w:noProof/>
          <w:sz w:val="24"/>
          <w:szCs w:val="24"/>
        </w:rPr>
        <w:t xml:space="preserve"> the issues o</w:t>
      </w:r>
      <w:r w:rsidR="465F6B0F" w:rsidRPr="00A96EF6">
        <w:rPr>
          <w:rFonts w:ascii="Times New Roman" w:hAnsi="Times New Roman" w:cs="Times New Roman"/>
          <w:noProof/>
          <w:sz w:val="24"/>
          <w:szCs w:val="24"/>
        </w:rPr>
        <w:t xml:space="preserve">f </w:t>
      </w:r>
      <w:r w:rsidRPr="00A96EF6">
        <w:rPr>
          <w:rFonts w:ascii="Times New Roman" w:hAnsi="Times New Roman" w:cs="Times New Roman"/>
          <w:noProof/>
          <w:sz w:val="24"/>
          <w:szCs w:val="24"/>
        </w:rPr>
        <w:t xml:space="preserve">potential overlaps </w:t>
      </w:r>
      <w:r w:rsidR="465F6B0F" w:rsidRPr="00A96EF6">
        <w:rPr>
          <w:rFonts w:ascii="Times New Roman" w:hAnsi="Times New Roman" w:cs="Times New Roman"/>
          <w:noProof/>
          <w:sz w:val="24"/>
          <w:szCs w:val="24"/>
        </w:rPr>
        <w:t xml:space="preserve">between </w:t>
      </w:r>
      <w:r w:rsidR="13995915" w:rsidRPr="00A96EF6">
        <w:rPr>
          <w:rFonts w:ascii="Times New Roman" w:hAnsi="Times New Roman" w:cs="Times New Roman"/>
          <w:noProof/>
          <w:sz w:val="24"/>
          <w:szCs w:val="24"/>
        </w:rPr>
        <w:t>various buffers</w:t>
      </w:r>
      <w:r w:rsidRPr="00A96EF6">
        <w:rPr>
          <w:rFonts w:ascii="Times New Roman" w:hAnsi="Times New Roman" w:cs="Times New Roman"/>
          <w:noProof/>
          <w:sz w:val="24"/>
          <w:szCs w:val="24"/>
        </w:rPr>
        <w:t>. Moreover, the multilayered institutional framework for the implementation of macroprudential policies – involving both national and EU institutions</w:t>
      </w:r>
      <w:r w:rsidR="4443ABA9" w:rsidRPr="00A96EF6">
        <w:rPr>
          <w:rFonts w:ascii="Times New Roman" w:hAnsi="Times New Roman" w:cs="Times New Roman"/>
          <w:noProof/>
          <w:sz w:val="24"/>
          <w:szCs w:val="24"/>
        </w:rPr>
        <w:t>, with national authorities playing a central role</w:t>
      </w:r>
      <w:r w:rsidRPr="00A96EF6">
        <w:rPr>
          <w:rFonts w:ascii="Times New Roman" w:hAnsi="Times New Roman" w:cs="Times New Roman"/>
          <w:noProof/>
          <w:sz w:val="24"/>
          <w:szCs w:val="24"/>
        </w:rPr>
        <w:t xml:space="preserve"> – </w:t>
      </w:r>
      <w:r w:rsidR="4443ABA9" w:rsidRPr="00A96EF6">
        <w:rPr>
          <w:rFonts w:ascii="Times New Roman" w:hAnsi="Times New Roman" w:cs="Times New Roman"/>
          <w:noProof/>
          <w:sz w:val="24"/>
          <w:szCs w:val="24"/>
        </w:rPr>
        <w:t xml:space="preserve">leads sometimes </w:t>
      </w:r>
      <w:r w:rsidR="2C73FC17" w:rsidRPr="00A96EF6">
        <w:rPr>
          <w:rFonts w:ascii="Times New Roman" w:hAnsi="Times New Roman" w:cs="Times New Roman"/>
          <w:noProof/>
          <w:sz w:val="24"/>
          <w:szCs w:val="24"/>
        </w:rPr>
        <w:t xml:space="preserve">to </w:t>
      </w:r>
      <w:r w:rsidR="4443ABA9" w:rsidRPr="00A96EF6">
        <w:rPr>
          <w:rFonts w:ascii="Times New Roman" w:hAnsi="Times New Roman" w:cs="Times New Roman"/>
          <w:noProof/>
          <w:sz w:val="24"/>
          <w:szCs w:val="24"/>
        </w:rPr>
        <w:t>inconsistent policy responses</w:t>
      </w:r>
      <w:r w:rsidRPr="00A96EF6">
        <w:rPr>
          <w:rFonts w:ascii="Times New Roman" w:hAnsi="Times New Roman" w:cs="Times New Roman"/>
          <w:noProof/>
          <w:sz w:val="24"/>
          <w:szCs w:val="24"/>
        </w:rPr>
        <w:t xml:space="preserve">. </w:t>
      </w:r>
    </w:p>
    <w:p w14:paraId="7D931DEF" w14:textId="172A5543" w:rsidR="00A57E42" w:rsidRPr="00A96EF6" w:rsidRDefault="00A57E42" w:rsidP="00685A55">
      <w:pPr>
        <w:jc w:val="both"/>
        <w:rPr>
          <w:rFonts w:ascii="Times New Roman" w:hAnsi="Times New Roman" w:cs="Times New Roman"/>
          <w:noProof/>
          <w:sz w:val="24"/>
          <w:szCs w:val="24"/>
        </w:rPr>
      </w:pPr>
      <w:r w:rsidRPr="00A96EF6">
        <w:rPr>
          <w:rFonts w:ascii="Times New Roman" w:hAnsi="Times New Roman" w:cs="Times New Roman"/>
          <w:noProof/>
          <w:sz w:val="24"/>
          <w:szCs w:val="24"/>
        </w:rPr>
        <w:t>The CCoB, CCyB</w:t>
      </w:r>
      <w:r w:rsidR="00D34569" w:rsidRPr="00A96EF6">
        <w:rPr>
          <w:rFonts w:ascii="Times New Roman" w:hAnsi="Times New Roman" w:cs="Times New Roman"/>
          <w:noProof/>
          <w:sz w:val="24"/>
          <w:szCs w:val="24"/>
        </w:rPr>
        <w:t xml:space="preserve">, </w:t>
      </w:r>
      <w:r w:rsidRPr="00A96EF6">
        <w:rPr>
          <w:rFonts w:ascii="Times New Roman" w:hAnsi="Times New Roman" w:cs="Times New Roman"/>
          <w:noProof/>
          <w:sz w:val="24"/>
          <w:szCs w:val="24"/>
        </w:rPr>
        <w:t xml:space="preserve">G-SII </w:t>
      </w:r>
      <w:r w:rsidR="00D34569" w:rsidRPr="00A96EF6">
        <w:rPr>
          <w:rFonts w:ascii="Times New Roman" w:hAnsi="Times New Roman" w:cs="Times New Roman"/>
          <w:noProof/>
          <w:sz w:val="24"/>
          <w:szCs w:val="24"/>
        </w:rPr>
        <w:t xml:space="preserve">and O-SII </w:t>
      </w:r>
      <w:r w:rsidRPr="00A96EF6">
        <w:rPr>
          <w:rFonts w:ascii="Times New Roman" w:hAnsi="Times New Roman" w:cs="Times New Roman"/>
          <w:noProof/>
          <w:sz w:val="24"/>
          <w:szCs w:val="24"/>
        </w:rPr>
        <w:t xml:space="preserve">buffers are </w:t>
      </w:r>
      <w:r w:rsidR="00D34569" w:rsidRPr="00A96EF6">
        <w:rPr>
          <w:rFonts w:ascii="Times New Roman" w:hAnsi="Times New Roman" w:cs="Times New Roman"/>
          <w:noProof/>
          <w:sz w:val="24"/>
          <w:szCs w:val="24"/>
        </w:rPr>
        <w:t>transposed into EU rules f</w:t>
      </w:r>
      <w:r w:rsidR="00A64E2B" w:rsidRPr="00A96EF6">
        <w:rPr>
          <w:rFonts w:ascii="Times New Roman" w:hAnsi="Times New Roman" w:cs="Times New Roman"/>
          <w:noProof/>
          <w:sz w:val="24"/>
          <w:szCs w:val="24"/>
        </w:rPr>
        <w:t>rom</w:t>
      </w:r>
      <w:r w:rsidR="00D34569" w:rsidRPr="00A96EF6">
        <w:rPr>
          <w:rFonts w:ascii="Times New Roman" w:hAnsi="Times New Roman" w:cs="Times New Roman"/>
          <w:noProof/>
          <w:sz w:val="24"/>
          <w:szCs w:val="24"/>
        </w:rPr>
        <w:t xml:space="preserve"> the Basel framework while the SyRB is an EU specificity. The </w:t>
      </w:r>
      <w:r w:rsidR="004C6D45" w:rsidRPr="00A96EF6">
        <w:rPr>
          <w:rFonts w:ascii="Times New Roman" w:hAnsi="Times New Roman" w:cs="Times New Roman"/>
          <w:noProof/>
          <w:sz w:val="24"/>
          <w:szCs w:val="24"/>
        </w:rPr>
        <w:t>O-SII framework represents the EU implementation of the Basel domestic systemically important institutions (D-SIB) framework</w:t>
      </w:r>
      <w:r w:rsidR="00FE2CCF" w:rsidRPr="00A96EF6">
        <w:rPr>
          <w:rFonts w:ascii="Times New Roman" w:hAnsi="Times New Roman" w:cs="Times New Roman"/>
          <w:noProof/>
          <w:sz w:val="24"/>
          <w:szCs w:val="24"/>
        </w:rPr>
        <w:t xml:space="preserve">, which provides discretion to set-up the calibration in function of each jurisdiction’s specificities. </w:t>
      </w:r>
      <w:r w:rsidR="008E0A5A" w:rsidRPr="00A96EF6">
        <w:rPr>
          <w:rFonts w:ascii="Times New Roman" w:hAnsi="Times New Roman" w:cs="Times New Roman"/>
          <w:noProof/>
          <w:sz w:val="24"/>
          <w:szCs w:val="24"/>
        </w:rPr>
        <w:t xml:space="preserve">In the EU, the O-SII </w:t>
      </w:r>
      <w:r w:rsidR="00AC2B0B" w:rsidRPr="00A96EF6">
        <w:rPr>
          <w:rFonts w:ascii="Times New Roman" w:hAnsi="Times New Roman" w:cs="Times New Roman"/>
          <w:noProof/>
          <w:sz w:val="24"/>
          <w:szCs w:val="24"/>
        </w:rPr>
        <w:t>designation is</w:t>
      </w:r>
      <w:r w:rsidR="008E0A5A" w:rsidRPr="00A96EF6">
        <w:rPr>
          <w:rFonts w:ascii="Times New Roman" w:hAnsi="Times New Roman" w:cs="Times New Roman"/>
          <w:noProof/>
          <w:sz w:val="24"/>
          <w:szCs w:val="24"/>
        </w:rPr>
        <w:t xml:space="preserve"> </w:t>
      </w:r>
      <w:r w:rsidR="00E709A2" w:rsidRPr="00A96EF6">
        <w:rPr>
          <w:rFonts w:ascii="Times New Roman" w:hAnsi="Times New Roman" w:cs="Times New Roman"/>
          <w:noProof/>
          <w:sz w:val="24"/>
          <w:szCs w:val="24"/>
        </w:rPr>
        <w:t xml:space="preserve">following </w:t>
      </w:r>
      <w:r w:rsidR="004864C3" w:rsidRPr="00A96EF6">
        <w:rPr>
          <w:rFonts w:ascii="Times New Roman" w:hAnsi="Times New Roman" w:cs="Times New Roman"/>
          <w:noProof/>
          <w:sz w:val="24"/>
          <w:szCs w:val="24"/>
        </w:rPr>
        <w:t>the 2014</w:t>
      </w:r>
      <w:r w:rsidR="00E709A2" w:rsidRPr="00A96EF6">
        <w:rPr>
          <w:rFonts w:ascii="Times New Roman" w:hAnsi="Times New Roman" w:cs="Times New Roman"/>
          <w:noProof/>
          <w:sz w:val="24"/>
          <w:szCs w:val="24"/>
        </w:rPr>
        <w:t xml:space="preserve"> EBA Guideline</w:t>
      </w:r>
      <w:r w:rsidR="004864C3" w:rsidRPr="00A96EF6">
        <w:rPr>
          <w:rFonts w:ascii="Times New Roman" w:hAnsi="Times New Roman" w:cs="Times New Roman"/>
          <w:noProof/>
          <w:sz w:val="24"/>
          <w:szCs w:val="24"/>
        </w:rPr>
        <w:t>s</w:t>
      </w:r>
      <w:r w:rsidR="00E709A2" w:rsidRPr="00A96EF6">
        <w:rPr>
          <w:rFonts w:ascii="Times New Roman" w:hAnsi="Times New Roman" w:cs="Times New Roman"/>
          <w:noProof/>
          <w:sz w:val="24"/>
          <w:szCs w:val="24"/>
        </w:rPr>
        <w:t xml:space="preserve"> </w:t>
      </w:r>
      <w:r w:rsidR="000142E8" w:rsidRPr="00A96EF6">
        <w:rPr>
          <w:rFonts w:ascii="Times New Roman" w:hAnsi="Times New Roman" w:cs="Times New Roman"/>
          <w:noProof/>
          <w:sz w:val="24"/>
          <w:szCs w:val="24"/>
        </w:rPr>
        <w:t>(</w:t>
      </w:r>
      <w:r w:rsidR="008C437F" w:rsidRPr="00A96EF6">
        <w:rPr>
          <w:rFonts w:ascii="Times New Roman" w:hAnsi="Times New Roman" w:cs="Times New Roman"/>
          <w:noProof/>
          <w:sz w:val="24"/>
          <w:szCs w:val="24"/>
        </w:rPr>
        <w:t xml:space="preserve">EBA/GL/2014/10) </w:t>
      </w:r>
      <w:r w:rsidR="00E709A2" w:rsidRPr="00A96EF6">
        <w:rPr>
          <w:rFonts w:ascii="Times New Roman" w:hAnsi="Times New Roman" w:cs="Times New Roman"/>
          <w:noProof/>
          <w:sz w:val="24"/>
          <w:szCs w:val="24"/>
        </w:rPr>
        <w:t>based on a scoring methodology</w:t>
      </w:r>
      <w:r w:rsidR="004C618B" w:rsidRPr="00A96EF6">
        <w:rPr>
          <w:rFonts w:ascii="Times New Roman" w:hAnsi="Times New Roman" w:cs="Times New Roman"/>
          <w:noProof/>
          <w:sz w:val="24"/>
          <w:szCs w:val="24"/>
        </w:rPr>
        <w:t xml:space="preserve"> for the determination of </w:t>
      </w:r>
      <w:r w:rsidR="00444D2C" w:rsidRPr="00A96EF6">
        <w:rPr>
          <w:rFonts w:ascii="Times New Roman" w:hAnsi="Times New Roman" w:cs="Times New Roman"/>
          <w:noProof/>
          <w:sz w:val="24"/>
          <w:szCs w:val="24"/>
        </w:rPr>
        <w:t>systemic importanc</w:t>
      </w:r>
      <w:r w:rsidR="00C605C3" w:rsidRPr="00A96EF6">
        <w:rPr>
          <w:rFonts w:ascii="Times New Roman" w:hAnsi="Times New Roman" w:cs="Times New Roman"/>
          <w:noProof/>
          <w:sz w:val="24"/>
          <w:szCs w:val="24"/>
        </w:rPr>
        <w:t>e.</w:t>
      </w:r>
      <w:r w:rsidR="00AC2B0B" w:rsidRPr="00A96EF6">
        <w:rPr>
          <w:rFonts w:ascii="Times New Roman" w:hAnsi="Times New Roman" w:cs="Times New Roman"/>
          <w:noProof/>
          <w:sz w:val="24"/>
          <w:szCs w:val="24"/>
        </w:rPr>
        <w:t xml:space="preserve"> </w:t>
      </w:r>
      <w:r w:rsidR="00D94858" w:rsidRPr="00A96EF6">
        <w:rPr>
          <w:rFonts w:ascii="Times New Roman" w:hAnsi="Times New Roman" w:cs="Times New Roman"/>
          <w:noProof/>
          <w:sz w:val="24"/>
          <w:szCs w:val="24"/>
        </w:rPr>
        <w:t>T</w:t>
      </w:r>
      <w:r w:rsidR="00E709A2" w:rsidRPr="00A96EF6">
        <w:rPr>
          <w:rFonts w:ascii="Times New Roman" w:hAnsi="Times New Roman" w:cs="Times New Roman"/>
          <w:noProof/>
          <w:sz w:val="24"/>
          <w:szCs w:val="24"/>
        </w:rPr>
        <w:t xml:space="preserve">he </w:t>
      </w:r>
      <w:r w:rsidR="00213CC1" w:rsidRPr="00A96EF6">
        <w:rPr>
          <w:rFonts w:ascii="Times New Roman" w:hAnsi="Times New Roman" w:cs="Times New Roman"/>
          <w:noProof/>
          <w:sz w:val="24"/>
          <w:szCs w:val="24"/>
        </w:rPr>
        <w:t>calibration of</w:t>
      </w:r>
      <w:r w:rsidR="00E709A2" w:rsidRPr="00A96EF6">
        <w:rPr>
          <w:rFonts w:ascii="Times New Roman" w:hAnsi="Times New Roman" w:cs="Times New Roman"/>
          <w:noProof/>
          <w:sz w:val="24"/>
          <w:szCs w:val="24"/>
        </w:rPr>
        <w:t xml:space="preserve"> </w:t>
      </w:r>
      <w:r w:rsidR="00D94858" w:rsidRPr="00A96EF6">
        <w:rPr>
          <w:rFonts w:ascii="Times New Roman" w:hAnsi="Times New Roman" w:cs="Times New Roman"/>
          <w:noProof/>
          <w:sz w:val="24"/>
          <w:szCs w:val="24"/>
        </w:rPr>
        <w:t>O-SII</w:t>
      </w:r>
      <w:r w:rsidR="00E709A2" w:rsidRPr="00A96EF6">
        <w:rPr>
          <w:rFonts w:ascii="Times New Roman" w:hAnsi="Times New Roman" w:cs="Times New Roman"/>
          <w:noProof/>
          <w:sz w:val="24"/>
          <w:szCs w:val="24"/>
        </w:rPr>
        <w:t xml:space="preserve"> buffer rates </w:t>
      </w:r>
      <w:r w:rsidR="00A35E2A" w:rsidRPr="00A96EF6">
        <w:rPr>
          <w:rFonts w:ascii="Times New Roman" w:hAnsi="Times New Roman" w:cs="Times New Roman"/>
          <w:noProof/>
          <w:sz w:val="24"/>
          <w:szCs w:val="24"/>
        </w:rPr>
        <w:t xml:space="preserve">is not based on an EU harmonised </w:t>
      </w:r>
      <w:r w:rsidR="00D53C91" w:rsidRPr="00A96EF6">
        <w:rPr>
          <w:rFonts w:ascii="Times New Roman" w:hAnsi="Times New Roman" w:cs="Times New Roman"/>
          <w:noProof/>
          <w:sz w:val="24"/>
          <w:szCs w:val="24"/>
        </w:rPr>
        <w:t>methodology</w:t>
      </w:r>
      <w:r w:rsidR="00EC7DD3" w:rsidRPr="00A96EF6">
        <w:rPr>
          <w:rFonts w:ascii="Times New Roman" w:hAnsi="Times New Roman" w:cs="Times New Roman"/>
          <w:noProof/>
          <w:sz w:val="24"/>
          <w:szCs w:val="24"/>
        </w:rPr>
        <w:t xml:space="preserve">, but </w:t>
      </w:r>
      <w:r w:rsidR="00AC2B0B" w:rsidRPr="00A96EF6">
        <w:rPr>
          <w:rFonts w:ascii="Times New Roman" w:hAnsi="Times New Roman" w:cs="Times New Roman"/>
          <w:noProof/>
          <w:sz w:val="24"/>
          <w:szCs w:val="24"/>
        </w:rPr>
        <w:t>on national</w:t>
      </w:r>
      <w:r w:rsidR="00BE43BB" w:rsidRPr="00A96EF6">
        <w:rPr>
          <w:rFonts w:ascii="Times New Roman" w:hAnsi="Times New Roman" w:cs="Times New Roman"/>
          <w:noProof/>
          <w:sz w:val="24"/>
          <w:szCs w:val="24"/>
        </w:rPr>
        <w:t xml:space="preserve"> </w:t>
      </w:r>
      <w:r w:rsidR="00EC7DD3" w:rsidRPr="00A96EF6">
        <w:rPr>
          <w:rFonts w:ascii="Times New Roman" w:hAnsi="Times New Roman" w:cs="Times New Roman"/>
          <w:noProof/>
          <w:sz w:val="24"/>
          <w:szCs w:val="24"/>
        </w:rPr>
        <w:t>approaches</w:t>
      </w:r>
      <w:r w:rsidR="00BE43BB" w:rsidRPr="00A96EF6">
        <w:rPr>
          <w:rFonts w:ascii="Times New Roman" w:hAnsi="Times New Roman" w:cs="Times New Roman"/>
          <w:noProof/>
          <w:sz w:val="24"/>
          <w:szCs w:val="24"/>
        </w:rPr>
        <w:t xml:space="preserve">. </w:t>
      </w:r>
      <w:r w:rsidR="008C437F" w:rsidRPr="00A96EF6">
        <w:rPr>
          <w:rFonts w:ascii="Times New Roman" w:hAnsi="Times New Roman" w:cs="Times New Roman"/>
          <w:noProof/>
          <w:sz w:val="24"/>
          <w:szCs w:val="24"/>
        </w:rPr>
        <w:t xml:space="preserve">In 2025, </w:t>
      </w:r>
      <w:r w:rsidR="0034635C" w:rsidRPr="00A96EF6">
        <w:rPr>
          <w:rFonts w:ascii="Times New Roman" w:hAnsi="Times New Roman" w:cs="Times New Roman"/>
          <w:noProof/>
          <w:sz w:val="24"/>
          <w:szCs w:val="24"/>
        </w:rPr>
        <w:t>national macroprudential authorities</w:t>
      </w:r>
      <w:r w:rsidR="008C437F" w:rsidRPr="00A96EF6">
        <w:rPr>
          <w:rFonts w:ascii="Times New Roman" w:hAnsi="Times New Roman" w:cs="Times New Roman"/>
          <w:noProof/>
          <w:sz w:val="24"/>
          <w:szCs w:val="24"/>
        </w:rPr>
        <w:t xml:space="preserve"> designated </w:t>
      </w:r>
      <w:r w:rsidR="00AE339C" w:rsidRPr="00A96EF6">
        <w:rPr>
          <w:rFonts w:ascii="Times New Roman" w:hAnsi="Times New Roman" w:cs="Times New Roman"/>
          <w:noProof/>
          <w:sz w:val="24"/>
          <w:szCs w:val="24"/>
        </w:rPr>
        <w:t>17</w:t>
      </w:r>
      <w:r w:rsidR="002F2E17" w:rsidRPr="00A96EF6">
        <w:rPr>
          <w:rFonts w:ascii="Times New Roman" w:hAnsi="Times New Roman" w:cs="Times New Roman"/>
          <w:noProof/>
          <w:sz w:val="24"/>
          <w:szCs w:val="24"/>
        </w:rPr>
        <w:t>2</w:t>
      </w:r>
      <w:r w:rsidR="00AE339C" w:rsidRPr="00A96EF6">
        <w:rPr>
          <w:rFonts w:ascii="Times New Roman" w:hAnsi="Times New Roman" w:cs="Times New Roman"/>
          <w:noProof/>
          <w:sz w:val="24"/>
          <w:szCs w:val="24"/>
        </w:rPr>
        <w:t xml:space="preserve"> </w:t>
      </w:r>
      <w:r w:rsidR="00C4716C" w:rsidRPr="00A96EF6">
        <w:rPr>
          <w:rFonts w:ascii="Times New Roman" w:hAnsi="Times New Roman" w:cs="Times New Roman"/>
          <w:noProof/>
          <w:sz w:val="24"/>
          <w:szCs w:val="24"/>
        </w:rPr>
        <w:t>institutions as O-SIIs</w:t>
      </w:r>
      <w:r w:rsidR="0034635C" w:rsidRPr="00A96EF6">
        <w:rPr>
          <w:rFonts w:ascii="Times New Roman" w:hAnsi="Times New Roman" w:cs="Times New Roman"/>
          <w:noProof/>
          <w:sz w:val="24"/>
          <w:szCs w:val="24"/>
        </w:rPr>
        <w:t xml:space="preserve"> and set buffer </w:t>
      </w:r>
      <w:r w:rsidR="00034410" w:rsidRPr="00A96EF6">
        <w:rPr>
          <w:rFonts w:ascii="Times New Roman" w:hAnsi="Times New Roman" w:cs="Times New Roman"/>
          <w:noProof/>
          <w:sz w:val="24"/>
          <w:szCs w:val="24"/>
        </w:rPr>
        <w:t xml:space="preserve">rates </w:t>
      </w:r>
      <w:r w:rsidR="0034635C" w:rsidRPr="00A96EF6">
        <w:rPr>
          <w:rFonts w:ascii="Times New Roman" w:hAnsi="Times New Roman" w:cs="Times New Roman"/>
          <w:noProof/>
          <w:sz w:val="24"/>
          <w:szCs w:val="24"/>
        </w:rPr>
        <w:t xml:space="preserve">ranging </w:t>
      </w:r>
      <w:r w:rsidR="00AC2B0B" w:rsidRPr="00A96EF6">
        <w:rPr>
          <w:rFonts w:ascii="Times New Roman" w:hAnsi="Times New Roman" w:cs="Times New Roman"/>
          <w:noProof/>
          <w:sz w:val="24"/>
          <w:szCs w:val="24"/>
        </w:rPr>
        <w:t>between 0.25</w:t>
      </w:r>
      <w:r w:rsidR="0034635C" w:rsidRPr="00A96EF6">
        <w:rPr>
          <w:rFonts w:ascii="Times New Roman" w:hAnsi="Times New Roman" w:cs="Times New Roman"/>
          <w:noProof/>
          <w:sz w:val="24"/>
          <w:szCs w:val="24"/>
        </w:rPr>
        <w:t xml:space="preserve">% </w:t>
      </w:r>
      <w:r w:rsidR="00DD7596" w:rsidRPr="00A96EF6">
        <w:rPr>
          <w:rFonts w:ascii="Times New Roman" w:hAnsi="Times New Roman" w:cs="Times New Roman"/>
          <w:noProof/>
          <w:sz w:val="24"/>
          <w:szCs w:val="24"/>
        </w:rPr>
        <w:t>and</w:t>
      </w:r>
      <w:r w:rsidR="0034635C" w:rsidRPr="00A96EF6">
        <w:rPr>
          <w:rFonts w:ascii="Times New Roman" w:hAnsi="Times New Roman" w:cs="Times New Roman"/>
          <w:noProof/>
          <w:sz w:val="24"/>
          <w:szCs w:val="24"/>
        </w:rPr>
        <w:t xml:space="preserve"> 3% </w:t>
      </w:r>
      <w:r w:rsidR="00753568" w:rsidRPr="00A96EF6">
        <w:rPr>
          <w:rFonts w:ascii="Times New Roman" w:hAnsi="Times New Roman" w:cs="Times New Roman"/>
          <w:noProof/>
          <w:sz w:val="24"/>
          <w:szCs w:val="24"/>
        </w:rPr>
        <w:t xml:space="preserve">of </w:t>
      </w:r>
      <w:r w:rsidR="0034635C" w:rsidRPr="00A96EF6">
        <w:rPr>
          <w:rFonts w:ascii="Times New Roman" w:hAnsi="Times New Roman" w:cs="Times New Roman"/>
          <w:noProof/>
          <w:sz w:val="24"/>
          <w:szCs w:val="24"/>
        </w:rPr>
        <w:t>RWA</w:t>
      </w:r>
      <w:r w:rsidR="00C4716C" w:rsidRPr="00A96EF6">
        <w:rPr>
          <w:rFonts w:ascii="Times New Roman" w:hAnsi="Times New Roman" w:cs="Times New Roman"/>
          <w:noProof/>
          <w:sz w:val="24"/>
          <w:szCs w:val="24"/>
        </w:rPr>
        <w:t xml:space="preserve">. </w:t>
      </w:r>
      <w:r w:rsidR="00BE43BB" w:rsidRPr="00A96EF6">
        <w:rPr>
          <w:rFonts w:ascii="Times New Roman" w:hAnsi="Times New Roman" w:cs="Times New Roman"/>
          <w:noProof/>
          <w:sz w:val="24"/>
          <w:szCs w:val="24"/>
        </w:rPr>
        <w:t xml:space="preserve">In the UK, 13 institutions and </w:t>
      </w:r>
      <w:r w:rsidR="000142E8" w:rsidRPr="00A96EF6">
        <w:rPr>
          <w:rFonts w:ascii="Times New Roman" w:hAnsi="Times New Roman" w:cs="Times New Roman"/>
          <w:noProof/>
          <w:sz w:val="24"/>
          <w:szCs w:val="24"/>
        </w:rPr>
        <w:t xml:space="preserve">building societies are identified as O-SIIs with </w:t>
      </w:r>
      <w:r w:rsidR="00AC2B0B" w:rsidRPr="00A96EF6">
        <w:rPr>
          <w:rFonts w:ascii="Times New Roman" w:hAnsi="Times New Roman" w:cs="Times New Roman"/>
          <w:noProof/>
          <w:sz w:val="24"/>
          <w:szCs w:val="24"/>
        </w:rPr>
        <w:t>the maximum</w:t>
      </w:r>
      <w:r w:rsidR="000142E8" w:rsidRPr="00A96EF6">
        <w:rPr>
          <w:rFonts w:ascii="Times New Roman" w:hAnsi="Times New Roman" w:cs="Times New Roman"/>
          <w:noProof/>
          <w:sz w:val="24"/>
          <w:szCs w:val="24"/>
        </w:rPr>
        <w:t xml:space="preserve"> buffer rate reaching </w:t>
      </w:r>
      <w:r w:rsidR="00CA6403" w:rsidRPr="00A96EF6">
        <w:rPr>
          <w:rFonts w:ascii="Times New Roman" w:hAnsi="Times New Roman" w:cs="Times New Roman"/>
          <w:noProof/>
          <w:sz w:val="24"/>
          <w:szCs w:val="24"/>
        </w:rPr>
        <w:t>2</w:t>
      </w:r>
      <w:r w:rsidR="000142E8" w:rsidRPr="00A96EF6">
        <w:rPr>
          <w:rFonts w:ascii="Times New Roman" w:hAnsi="Times New Roman" w:cs="Times New Roman"/>
          <w:noProof/>
          <w:sz w:val="24"/>
          <w:szCs w:val="24"/>
        </w:rPr>
        <w:t xml:space="preserve">% RWA. </w:t>
      </w:r>
      <w:r w:rsidR="0034635C" w:rsidRPr="00A96EF6">
        <w:rPr>
          <w:rFonts w:ascii="Times New Roman" w:hAnsi="Times New Roman" w:cs="Times New Roman"/>
          <w:noProof/>
          <w:sz w:val="24"/>
          <w:szCs w:val="24"/>
        </w:rPr>
        <w:t xml:space="preserve">In the US, </w:t>
      </w:r>
      <w:r w:rsidR="00FF3537" w:rsidRPr="00A96EF6">
        <w:rPr>
          <w:rFonts w:ascii="Times New Roman" w:hAnsi="Times New Roman" w:cs="Times New Roman"/>
          <w:noProof/>
          <w:sz w:val="24"/>
          <w:szCs w:val="24"/>
        </w:rPr>
        <w:t xml:space="preserve">banks over 100 USD bn in assets are subject to tailored </w:t>
      </w:r>
      <w:r w:rsidR="00EB5498" w:rsidRPr="00A96EF6">
        <w:rPr>
          <w:rFonts w:ascii="Times New Roman" w:hAnsi="Times New Roman" w:cs="Times New Roman"/>
          <w:noProof/>
          <w:sz w:val="24"/>
          <w:szCs w:val="24"/>
        </w:rPr>
        <w:t>risk-based capital requirements</w:t>
      </w:r>
      <w:r w:rsidR="004D542E" w:rsidRPr="00A96EF6">
        <w:rPr>
          <w:rFonts w:ascii="Times New Roman" w:hAnsi="Times New Roman" w:cs="Times New Roman"/>
          <w:noProof/>
          <w:sz w:val="24"/>
          <w:szCs w:val="24"/>
        </w:rPr>
        <w:t xml:space="preserve">. </w:t>
      </w:r>
      <w:r w:rsidR="001800F4" w:rsidRPr="00A96EF6">
        <w:rPr>
          <w:rFonts w:ascii="Times New Roman" w:hAnsi="Times New Roman" w:cs="Times New Roman"/>
          <w:noProof/>
          <w:sz w:val="24"/>
          <w:szCs w:val="24"/>
        </w:rPr>
        <w:t xml:space="preserve">The </w:t>
      </w:r>
      <w:r w:rsidR="009931DF" w:rsidRPr="00A96EF6">
        <w:rPr>
          <w:rFonts w:ascii="Times New Roman" w:hAnsi="Times New Roman" w:cs="Times New Roman"/>
          <w:noProof/>
          <w:sz w:val="24"/>
          <w:szCs w:val="24"/>
        </w:rPr>
        <w:t>FED</w:t>
      </w:r>
      <w:r w:rsidR="003A28D0" w:rsidRPr="00A96EF6">
        <w:rPr>
          <w:rFonts w:ascii="Times New Roman" w:hAnsi="Times New Roman" w:cs="Times New Roman"/>
          <w:noProof/>
          <w:sz w:val="24"/>
          <w:szCs w:val="24"/>
        </w:rPr>
        <w:t xml:space="preserve"> tailoring framework </w:t>
      </w:r>
      <w:r w:rsidR="00CC4295" w:rsidRPr="00A96EF6">
        <w:rPr>
          <w:rFonts w:ascii="Times New Roman" w:hAnsi="Times New Roman" w:cs="Times New Roman"/>
          <w:noProof/>
          <w:sz w:val="24"/>
          <w:szCs w:val="24"/>
        </w:rPr>
        <w:t>groups</w:t>
      </w:r>
      <w:r w:rsidR="002833CE" w:rsidRPr="00A96EF6">
        <w:rPr>
          <w:rFonts w:ascii="Times New Roman" w:hAnsi="Times New Roman" w:cs="Times New Roman"/>
          <w:noProof/>
          <w:sz w:val="24"/>
          <w:szCs w:val="24"/>
        </w:rPr>
        <w:t xml:space="preserve"> currently</w:t>
      </w:r>
      <w:r w:rsidR="001800F4" w:rsidRPr="00A96EF6">
        <w:rPr>
          <w:rFonts w:ascii="Times New Roman" w:hAnsi="Times New Roman" w:cs="Times New Roman"/>
          <w:noProof/>
          <w:sz w:val="24"/>
          <w:szCs w:val="24"/>
        </w:rPr>
        <w:t xml:space="preserve"> </w:t>
      </w:r>
      <w:r w:rsidR="004D542E" w:rsidRPr="00A96EF6">
        <w:rPr>
          <w:rFonts w:ascii="Times New Roman" w:hAnsi="Times New Roman" w:cs="Times New Roman"/>
          <w:noProof/>
          <w:sz w:val="24"/>
          <w:szCs w:val="24"/>
        </w:rPr>
        <w:t xml:space="preserve">24 large banking organisations in </w:t>
      </w:r>
      <w:r w:rsidR="00F00EDE" w:rsidRPr="00A96EF6">
        <w:rPr>
          <w:rFonts w:ascii="Times New Roman" w:hAnsi="Times New Roman" w:cs="Times New Roman"/>
          <w:noProof/>
          <w:sz w:val="24"/>
          <w:szCs w:val="24"/>
        </w:rPr>
        <w:t xml:space="preserve">the </w:t>
      </w:r>
      <w:r w:rsidR="00EB5498" w:rsidRPr="00A96EF6">
        <w:rPr>
          <w:rFonts w:ascii="Times New Roman" w:hAnsi="Times New Roman" w:cs="Times New Roman"/>
          <w:noProof/>
          <w:sz w:val="24"/>
          <w:szCs w:val="24"/>
        </w:rPr>
        <w:t>categories II, III and IV</w:t>
      </w:r>
      <w:r w:rsidR="00C4366D" w:rsidRPr="00A96EF6">
        <w:rPr>
          <w:rFonts w:ascii="Times New Roman" w:hAnsi="Times New Roman" w:cs="Times New Roman"/>
          <w:noProof/>
          <w:sz w:val="24"/>
          <w:szCs w:val="24"/>
        </w:rPr>
        <w:t xml:space="preserve"> (non G-SIBs)</w:t>
      </w:r>
      <w:r w:rsidR="00EB5498" w:rsidRPr="00A96EF6">
        <w:rPr>
          <w:rFonts w:ascii="Times New Roman" w:hAnsi="Times New Roman" w:cs="Times New Roman"/>
          <w:noProof/>
          <w:sz w:val="24"/>
          <w:szCs w:val="24"/>
        </w:rPr>
        <w:t xml:space="preserve">. </w:t>
      </w:r>
      <w:r w:rsidR="00361DA5" w:rsidRPr="00A96EF6">
        <w:rPr>
          <w:rFonts w:ascii="Times New Roman" w:hAnsi="Times New Roman" w:cs="Times New Roman"/>
          <w:noProof/>
          <w:sz w:val="24"/>
          <w:szCs w:val="24"/>
        </w:rPr>
        <w:t>Banks includ</w:t>
      </w:r>
      <w:r w:rsidR="006E4822" w:rsidRPr="00A96EF6">
        <w:rPr>
          <w:rFonts w:ascii="Times New Roman" w:hAnsi="Times New Roman" w:cs="Times New Roman"/>
          <w:noProof/>
          <w:sz w:val="24"/>
          <w:szCs w:val="24"/>
        </w:rPr>
        <w:t>ed</w:t>
      </w:r>
      <w:r w:rsidR="00361DA5" w:rsidRPr="00A96EF6">
        <w:rPr>
          <w:rFonts w:ascii="Times New Roman" w:hAnsi="Times New Roman" w:cs="Times New Roman"/>
          <w:noProof/>
          <w:sz w:val="24"/>
          <w:szCs w:val="24"/>
        </w:rPr>
        <w:t xml:space="preserve"> in these categories based on t</w:t>
      </w:r>
      <w:r w:rsidR="004F2EC2" w:rsidRPr="00A96EF6">
        <w:rPr>
          <w:rFonts w:ascii="Times New Roman" w:hAnsi="Times New Roman" w:cs="Times New Roman"/>
          <w:noProof/>
          <w:sz w:val="24"/>
          <w:szCs w:val="24"/>
        </w:rPr>
        <w:t xml:space="preserve">heir risk profile </w:t>
      </w:r>
      <w:r w:rsidR="00F17935" w:rsidRPr="00A96EF6">
        <w:rPr>
          <w:rFonts w:ascii="Times New Roman" w:hAnsi="Times New Roman" w:cs="Times New Roman"/>
          <w:noProof/>
          <w:sz w:val="24"/>
          <w:szCs w:val="24"/>
        </w:rPr>
        <w:t>are subject to enhanced prudential requirements.</w:t>
      </w:r>
      <w:r w:rsidR="004F2EC2" w:rsidRPr="00A96EF6">
        <w:rPr>
          <w:rFonts w:ascii="Times New Roman" w:hAnsi="Times New Roman" w:cs="Times New Roman"/>
          <w:noProof/>
          <w:sz w:val="24"/>
          <w:szCs w:val="24"/>
        </w:rPr>
        <w:t xml:space="preserve"> </w:t>
      </w:r>
      <w:r w:rsidR="00EB5498" w:rsidRPr="00A96EF6">
        <w:rPr>
          <w:rFonts w:ascii="Times New Roman" w:hAnsi="Times New Roman" w:cs="Times New Roman"/>
          <w:noProof/>
          <w:sz w:val="24"/>
          <w:szCs w:val="24"/>
        </w:rPr>
        <w:t>T</w:t>
      </w:r>
      <w:r w:rsidR="0034635C" w:rsidRPr="00A96EF6">
        <w:rPr>
          <w:rFonts w:ascii="Times New Roman" w:hAnsi="Times New Roman" w:cs="Times New Roman"/>
          <w:noProof/>
          <w:sz w:val="24"/>
          <w:szCs w:val="24"/>
        </w:rPr>
        <w:t xml:space="preserve">he </w:t>
      </w:r>
      <w:r w:rsidR="003C1932" w:rsidRPr="00A96EF6">
        <w:rPr>
          <w:rFonts w:ascii="Times New Roman" w:hAnsi="Times New Roman" w:cs="Times New Roman"/>
          <w:noProof/>
          <w:sz w:val="24"/>
          <w:szCs w:val="24"/>
        </w:rPr>
        <w:t xml:space="preserve">US implemented the Basel buffer framework via the </w:t>
      </w:r>
      <w:r w:rsidR="00254F2B" w:rsidRPr="00A96EF6">
        <w:rPr>
          <w:rFonts w:ascii="Times New Roman" w:hAnsi="Times New Roman" w:cs="Times New Roman"/>
          <w:noProof/>
          <w:sz w:val="24"/>
          <w:szCs w:val="24"/>
        </w:rPr>
        <w:t xml:space="preserve">Stress Capital Buffer </w:t>
      </w:r>
      <w:r w:rsidR="005732CF" w:rsidRPr="00A96EF6">
        <w:rPr>
          <w:rFonts w:ascii="Times New Roman" w:hAnsi="Times New Roman" w:cs="Times New Roman"/>
          <w:noProof/>
          <w:sz w:val="24"/>
          <w:szCs w:val="24"/>
        </w:rPr>
        <w:t xml:space="preserve">which is floored at 2.5% RWA and includes the CCoB and </w:t>
      </w:r>
      <w:r w:rsidR="00015EEC" w:rsidRPr="00A96EF6">
        <w:rPr>
          <w:rFonts w:ascii="Times New Roman" w:hAnsi="Times New Roman" w:cs="Times New Roman"/>
          <w:noProof/>
          <w:sz w:val="24"/>
          <w:szCs w:val="24"/>
        </w:rPr>
        <w:t xml:space="preserve">an additional </w:t>
      </w:r>
      <w:r w:rsidR="005732CF" w:rsidRPr="00A96EF6">
        <w:rPr>
          <w:rFonts w:ascii="Times New Roman" w:hAnsi="Times New Roman" w:cs="Times New Roman"/>
          <w:noProof/>
          <w:sz w:val="24"/>
          <w:szCs w:val="24"/>
        </w:rPr>
        <w:t xml:space="preserve">buffer </w:t>
      </w:r>
      <w:r w:rsidR="007D24B0" w:rsidRPr="00A96EF6">
        <w:rPr>
          <w:rFonts w:ascii="Times New Roman" w:hAnsi="Times New Roman" w:cs="Times New Roman"/>
          <w:noProof/>
          <w:sz w:val="24"/>
          <w:szCs w:val="24"/>
        </w:rPr>
        <w:t>for systemic importance, w</w:t>
      </w:r>
      <w:r w:rsidR="005732CF" w:rsidRPr="00A96EF6">
        <w:rPr>
          <w:rFonts w:ascii="Times New Roman" w:hAnsi="Times New Roman" w:cs="Times New Roman"/>
          <w:noProof/>
          <w:sz w:val="24"/>
          <w:szCs w:val="24"/>
        </w:rPr>
        <w:t>hich is set on a bank</w:t>
      </w:r>
      <w:r w:rsidR="001C13D1" w:rsidRPr="00A96EF6">
        <w:rPr>
          <w:rFonts w:ascii="Times New Roman" w:hAnsi="Times New Roman" w:cs="Times New Roman"/>
          <w:noProof/>
          <w:sz w:val="24"/>
          <w:szCs w:val="24"/>
        </w:rPr>
        <w:t>-</w:t>
      </w:r>
      <w:r w:rsidR="005732CF" w:rsidRPr="00A96EF6">
        <w:rPr>
          <w:rFonts w:ascii="Times New Roman" w:hAnsi="Times New Roman" w:cs="Times New Roman"/>
          <w:noProof/>
          <w:sz w:val="24"/>
          <w:szCs w:val="24"/>
        </w:rPr>
        <w:t>b</w:t>
      </w:r>
      <w:r w:rsidR="007D24B0" w:rsidRPr="00A96EF6">
        <w:rPr>
          <w:rFonts w:ascii="Times New Roman" w:hAnsi="Times New Roman" w:cs="Times New Roman"/>
          <w:noProof/>
          <w:sz w:val="24"/>
          <w:szCs w:val="24"/>
        </w:rPr>
        <w:t>y</w:t>
      </w:r>
      <w:r w:rsidR="001C13D1" w:rsidRPr="00A96EF6">
        <w:rPr>
          <w:rFonts w:ascii="Times New Roman" w:hAnsi="Times New Roman" w:cs="Times New Roman"/>
          <w:noProof/>
          <w:sz w:val="24"/>
          <w:szCs w:val="24"/>
        </w:rPr>
        <w:t>-</w:t>
      </w:r>
      <w:r w:rsidR="005732CF" w:rsidRPr="00A96EF6">
        <w:rPr>
          <w:rFonts w:ascii="Times New Roman" w:hAnsi="Times New Roman" w:cs="Times New Roman"/>
          <w:noProof/>
          <w:sz w:val="24"/>
          <w:szCs w:val="24"/>
        </w:rPr>
        <w:t xml:space="preserve">bank basis based on the results of stress tests. </w:t>
      </w:r>
      <w:r w:rsidR="006957C3" w:rsidRPr="00A96EF6">
        <w:rPr>
          <w:rFonts w:ascii="Times New Roman" w:hAnsi="Times New Roman" w:cs="Times New Roman"/>
          <w:noProof/>
          <w:sz w:val="24"/>
          <w:szCs w:val="24"/>
        </w:rPr>
        <w:t>Overall</w:t>
      </w:r>
      <w:r w:rsidR="00731B88" w:rsidRPr="00A96EF6">
        <w:rPr>
          <w:rFonts w:ascii="Times New Roman" w:hAnsi="Times New Roman" w:cs="Times New Roman"/>
          <w:noProof/>
          <w:sz w:val="24"/>
          <w:szCs w:val="24"/>
        </w:rPr>
        <w:t>,</w:t>
      </w:r>
      <w:r w:rsidR="006957C3" w:rsidRPr="00A96EF6">
        <w:rPr>
          <w:rFonts w:ascii="Times New Roman" w:hAnsi="Times New Roman" w:cs="Times New Roman"/>
          <w:noProof/>
          <w:sz w:val="24"/>
          <w:szCs w:val="24"/>
        </w:rPr>
        <w:t xml:space="preserve"> the Stress </w:t>
      </w:r>
      <w:r w:rsidR="003C1932" w:rsidRPr="00A96EF6">
        <w:rPr>
          <w:rFonts w:ascii="Times New Roman" w:hAnsi="Times New Roman" w:cs="Times New Roman"/>
          <w:noProof/>
          <w:sz w:val="24"/>
          <w:szCs w:val="24"/>
        </w:rPr>
        <w:t xml:space="preserve">Capital </w:t>
      </w:r>
      <w:r w:rsidR="006957C3" w:rsidRPr="00A96EF6">
        <w:rPr>
          <w:rFonts w:ascii="Times New Roman" w:hAnsi="Times New Roman" w:cs="Times New Roman"/>
          <w:noProof/>
          <w:sz w:val="24"/>
          <w:szCs w:val="24"/>
        </w:rPr>
        <w:t xml:space="preserve">Buffer </w:t>
      </w:r>
      <w:r w:rsidR="00731B88" w:rsidRPr="00A96EF6">
        <w:rPr>
          <w:rFonts w:ascii="Times New Roman" w:hAnsi="Times New Roman" w:cs="Times New Roman"/>
          <w:noProof/>
          <w:sz w:val="24"/>
          <w:szCs w:val="24"/>
        </w:rPr>
        <w:t xml:space="preserve">for individual large domestic banks </w:t>
      </w:r>
      <w:r w:rsidR="003C1932" w:rsidRPr="00A96EF6">
        <w:rPr>
          <w:rFonts w:ascii="Times New Roman" w:hAnsi="Times New Roman" w:cs="Times New Roman"/>
          <w:noProof/>
          <w:sz w:val="24"/>
          <w:szCs w:val="24"/>
        </w:rPr>
        <w:t xml:space="preserve">ranges </w:t>
      </w:r>
      <w:r w:rsidR="007D24B0" w:rsidRPr="00A96EF6">
        <w:rPr>
          <w:rFonts w:ascii="Times New Roman" w:hAnsi="Times New Roman" w:cs="Times New Roman"/>
          <w:noProof/>
          <w:sz w:val="24"/>
          <w:szCs w:val="24"/>
        </w:rPr>
        <w:t>between</w:t>
      </w:r>
      <w:r w:rsidR="003C1932" w:rsidRPr="00A96EF6">
        <w:rPr>
          <w:rFonts w:ascii="Times New Roman" w:hAnsi="Times New Roman" w:cs="Times New Roman"/>
          <w:noProof/>
          <w:sz w:val="24"/>
          <w:szCs w:val="24"/>
        </w:rPr>
        <w:t xml:space="preserve"> 2.5-6% RWA</w:t>
      </w:r>
      <w:r w:rsidR="00731B88" w:rsidRPr="00A96EF6">
        <w:rPr>
          <w:rFonts w:ascii="Times New Roman" w:hAnsi="Times New Roman" w:cs="Times New Roman"/>
          <w:noProof/>
          <w:sz w:val="24"/>
          <w:szCs w:val="24"/>
        </w:rPr>
        <w:t xml:space="preserve">. </w:t>
      </w:r>
      <w:r w:rsidR="003F3478" w:rsidRPr="00A96EF6">
        <w:rPr>
          <w:rFonts w:ascii="Times New Roman" w:hAnsi="Times New Roman" w:cs="Times New Roman"/>
          <w:noProof/>
          <w:sz w:val="24"/>
          <w:szCs w:val="24"/>
        </w:rPr>
        <w:t>Recently</w:t>
      </w:r>
      <w:r w:rsidR="009931DF" w:rsidRPr="00A96EF6">
        <w:rPr>
          <w:rFonts w:ascii="Times New Roman" w:hAnsi="Times New Roman" w:cs="Times New Roman"/>
          <w:noProof/>
          <w:sz w:val="24"/>
          <w:szCs w:val="24"/>
        </w:rPr>
        <w:t>,</w:t>
      </w:r>
      <w:r w:rsidR="003F3478" w:rsidRPr="00A96EF6">
        <w:rPr>
          <w:rFonts w:ascii="Times New Roman" w:hAnsi="Times New Roman" w:cs="Times New Roman"/>
          <w:noProof/>
          <w:sz w:val="24"/>
          <w:szCs w:val="24"/>
        </w:rPr>
        <w:t xml:space="preserve"> the FED froze the calculated Stress Capital Buffer through to 2027, while regulators </w:t>
      </w:r>
      <w:r w:rsidR="007D24B0" w:rsidRPr="00A96EF6">
        <w:rPr>
          <w:rFonts w:ascii="Times New Roman" w:hAnsi="Times New Roman" w:cs="Times New Roman"/>
          <w:noProof/>
          <w:sz w:val="24"/>
          <w:szCs w:val="24"/>
        </w:rPr>
        <w:t>are reassessing the framework</w:t>
      </w:r>
      <w:r w:rsidR="00C96E1C" w:rsidRPr="00A96EF6">
        <w:rPr>
          <w:rFonts w:ascii="Times New Roman" w:hAnsi="Times New Roman" w:cs="Times New Roman"/>
          <w:noProof/>
          <w:sz w:val="24"/>
          <w:szCs w:val="24"/>
        </w:rPr>
        <w:t xml:space="preserve">. </w:t>
      </w:r>
    </w:p>
    <w:p w14:paraId="51FADFED" w14:textId="01096F8E" w:rsidR="00D716F7" w:rsidRPr="00A96EF6" w:rsidRDefault="00D716F7" w:rsidP="00D716F7">
      <w:pPr>
        <w:jc w:val="both"/>
        <w:rPr>
          <w:rFonts w:ascii="Times New Roman" w:hAnsi="Times New Roman" w:cs="Times New Roman"/>
          <w:noProof/>
          <w:sz w:val="24"/>
          <w:szCs w:val="24"/>
        </w:rPr>
      </w:pPr>
      <w:r w:rsidRPr="00A96EF6">
        <w:rPr>
          <w:rFonts w:ascii="Times New Roman" w:hAnsi="Times New Roman" w:cs="Times New Roman"/>
          <w:noProof/>
          <w:sz w:val="24"/>
          <w:szCs w:val="24"/>
        </w:rPr>
        <w:t>A recent study</w:t>
      </w:r>
      <w:r w:rsidRPr="000A4CC3">
        <w:rPr>
          <w:rFonts w:ascii="Times New Roman" w:hAnsi="Times New Roman" w:cs="Times New Roman"/>
          <w:noProof/>
          <w:sz w:val="24"/>
          <w:szCs w:val="24"/>
          <w:vertAlign w:val="superscript"/>
        </w:rPr>
        <w:footnoteReference w:id="99"/>
      </w:r>
      <w:r w:rsidRPr="000A4CC3">
        <w:rPr>
          <w:rFonts w:ascii="Times New Roman" w:hAnsi="Times New Roman" w:cs="Times New Roman"/>
          <w:noProof/>
          <w:sz w:val="24"/>
          <w:szCs w:val="24"/>
          <w:vertAlign w:val="superscript"/>
        </w:rPr>
        <w:t xml:space="preserve"> </w:t>
      </w:r>
      <w:r w:rsidRPr="00A96EF6">
        <w:rPr>
          <w:rFonts w:ascii="Times New Roman" w:hAnsi="Times New Roman" w:cs="Times New Roman"/>
          <w:noProof/>
          <w:sz w:val="24"/>
          <w:szCs w:val="24"/>
        </w:rPr>
        <w:t>included in the replies to the targeted Commission consultation focusing on national practices in setting capital requirements for O-SII and covering six EU Member States (Belgium, Denmark, Germany, Netherlands, Poland, Sweden) and Norway, offers inter alia insights into the O-SII identification methodologies in these countries and their alignment with</w:t>
      </w:r>
      <w:r w:rsidR="00931B1D" w:rsidRPr="00A96EF6">
        <w:rPr>
          <w:rFonts w:ascii="Times New Roman" w:hAnsi="Times New Roman" w:cs="Times New Roman"/>
          <w:noProof/>
          <w:sz w:val="24"/>
          <w:szCs w:val="24"/>
        </w:rPr>
        <w:t>,</w:t>
      </w:r>
      <w:r w:rsidRPr="00A96EF6">
        <w:rPr>
          <w:rFonts w:ascii="Times New Roman" w:hAnsi="Times New Roman" w:cs="Times New Roman"/>
          <w:noProof/>
          <w:sz w:val="24"/>
          <w:szCs w:val="24"/>
        </w:rPr>
        <w:t xml:space="preserve"> or deviation from the EBA Guidelines on O-SII identification. Moreover, the 2024 data provided on O-SII scores and buffers (page 24) allows drawing a few takeaways regarding the way O-SII scores in these countries are mapped into O-SII buffer rates. Consistent with previous analysis </w:t>
      </w:r>
      <w:r w:rsidR="00F46807" w:rsidRPr="00A96EF6">
        <w:rPr>
          <w:rFonts w:ascii="Times New Roman" w:hAnsi="Times New Roman" w:cs="Times New Roman"/>
          <w:noProof/>
          <w:sz w:val="24"/>
          <w:szCs w:val="24"/>
        </w:rPr>
        <w:t>(</w:t>
      </w:r>
      <w:r w:rsidRPr="00A96EF6">
        <w:rPr>
          <w:rFonts w:ascii="Times New Roman" w:hAnsi="Times New Roman" w:cs="Times New Roman"/>
          <w:noProof/>
          <w:sz w:val="24"/>
          <w:szCs w:val="24"/>
        </w:rPr>
        <w:t>by the EBA</w:t>
      </w:r>
      <w:r w:rsidR="00F46807" w:rsidRPr="00A96EF6">
        <w:rPr>
          <w:rFonts w:ascii="Times New Roman" w:hAnsi="Times New Roman" w:cs="Times New Roman"/>
          <w:noProof/>
          <w:sz w:val="24"/>
          <w:szCs w:val="24"/>
        </w:rPr>
        <w:t>)</w:t>
      </w:r>
      <w:r w:rsidR="0025353C" w:rsidRPr="00A96EF6">
        <w:rPr>
          <w:rFonts w:ascii="Times New Roman" w:hAnsi="Times New Roman" w:cs="Times New Roman"/>
          <w:noProof/>
          <w:sz w:val="24"/>
          <w:szCs w:val="24"/>
        </w:rPr>
        <w:t xml:space="preserve"> </w:t>
      </w:r>
      <w:r w:rsidRPr="00A96EF6">
        <w:rPr>
          <w:rFonts w:ascii="Times New Roman" w:hAnsi="Times New Roman" w:cs="Times New Roman"/>
          <w:noProof/>
          <w:sz w:val="24"/>
          <w:szCs w:val="24"/>
        </w:rPr>
        <w:t>on the heterogeneity of O-SII buffer rates in the EU, the data for the countries included in the scope of the analysis shows that similar O-SII scores can lead to materially different O-SII buffers across Member States. Denmark applies higher O-SII buffer rates for moderate O-SII scores, as banks with systemic scores between 300-1000 basis points (bp) receive buffer rates around 1.5%. The Netherlands also applies relatively high buffers, particularly for banks with higher systemic scores. Dutch banks with scores above roughly 1,500 bp receive buffers between 1.25% and 2.25%. In Poland, many banks with scores up to roughly 2,000 bp have O-SII rates ranging between 0.25% and 1.0%, with only limited movement toward higher buckets. In Sweden, banks with scores between around 1,500 and 2,700 bp receive O-SII buffers close to 1.0%. Belgium and Germany are placed somewhere in between, with more standardi</w:t>
      </w:r>
      <w:r w:rsidR="00531A34" w:rsidRPr="00A96EF6">
        <w:rPr>
          <w:rFonts w:ascii="Times New Roman" w:hAnsi="Times New Roman" w:cs="Times New Roman"/>
          <w:noProof/>
          <w:sz w:val="24"/>
          <w:szCs w:val="24"/>
        </w:rPr>
        <w:t>s</w:t>
      </w:r>
      <w:r w:rsidRPr="00A96EF6">
        <w:rPr>
          <w:rFonts w:ascii="Times New Roman" w:hAnsi="Times New Roman" w:cs="Times New Roman"/>
          <w:noProof/>
          <w:sz w:val="24"/>
          <w:szCs w:val="24"/>
        </w:rPr>
        <w:t>ed or bucket-based approaches. In Germany, for instance, the buffer rates of banks with lower systemic scores range between 0.5% and 1.0%, while banks with higher scores get buffers close to 2%.</w:t>
      </w:r>
    </w:p>
    <w:p w14:paraId="206D7B3D" w14:textId="3B14E39D" w:rsidR="00D716F7" w:rsidRPr="00A96EF6" w:rsidRDefault="00D716F7" w:rsidP="00D716F7">
      <w:pPr>
        <w:jc w:val="both"/>
        <w:rPr>
          <w:rFonts w:ascii="Times New Roman" w:hAnsi="Times New Roman" w:cs="Times New Roman"/>
          <w:noProof/>
          <w:sz w:val="24"/>
          <w:szCs w:val="24"/>
        </w:rPr>
      </w:pPr>
      <w:r w:rsidRPr="00A96EF6">
        <w:rPr>
          <w:rFonts w:ascii="Times New Roman" w:hAnsi="Times New Roman" w:cs="Times New Roman"/>
          <w:noProof/>
          <w:sz w:val="24"/>
          <w:szCs w:val="24"/>
        </w:rPr>
        <w:t>Evidence gathered from the targeted consultation indicates that the O-SII identification methodology reflects the structural role of banks in the banking sector without capturing forward-looking or climate-related risk drivers. O-SII buffer rates measure the static systemic footprint of banks but do not create dynamic incentives to reduce climate-related exposures over time, consistent with prudential objectives. Moreover, the assessment of systemic importance does not appropriately capture the use of derivatives as risk mitigation tools, by moving away from a purely notional-based approach in the complexity category and considering netting arrangements. In addition, resolution strategies, particularly multiple point of entry approaches, are not considered when assessing systemic relevance under the “interconnectedness” and “complexity” O-SII identification criteria.</w:t>
      </w:r>
    </w:p>
    <w:p w14:paraId="231D9B78" w14:textId="360686C5" w:rsidR="00D716F7" w:rsidRPr="00A96EF6" w:rsidRDefault="00D716F7" w:rsidP="00D716F7">
      <w:pPr>
        <w:jc w:val="both"/>
        <w:rPr>
          <w:rFonts w:ascii="Times New Roman" w:hAnsi="Times New Roman" w:cs="Times New Roman"/>
          <w:noProof/>
          <w:sz w:val="24"/>
          <w:szCs w:val="24"/>
        </w:rPr>
      </w:pPr>
      <w:r w:rsidRPr="00A96EF6">
        <w:rPr>
          <w:rFonts w:ascii="Times New Roman" w:hAnsi="Times New Roman" w:cs="Times New Roman"/>
          <w:noProof/>
          <w:sz w:val="24"/>
          <w:szCs w:val="24"/>
          <w:lang w:val="en-GB"/>
        </w:rPr>
        <w:t xml:space="preserve">Responses also provide evidence that the current approach to O-SII identification led to the designation as O-SII of 30 banks (based on 2024 data) which have total assets below EUR 10 billion, out of which 13 banks have assets below EUR 5 billion. </w:t>
      </w:r>
      <w:r w:rsidRPr="00A96EF6">
        <w:rPr>
          <w:rFonts w:ascii="Times New Roman" w:hAnsi="Times New Roman" w:cs="Times New Roman"/>
          <w:noProof/>
          <w:sz w:val="24"/>
          <w:szCs w:val="24"/>
        </w:rPr>
        <w:t xml:space="preserve">These 30 smallest O-SIIs were identified in 11 Member States with the smallest banking sectors. Meanwhile, a few of these banks are not considered critical enough to be earmarked for resolution under the resolution and recovery framework. Moreover, some O-SII identification indicators display significant differences across Member States raising questions on whether a pre-determined weight for such indicators is feasible for all Member States. For instance, estimates of the Debt securities indicator (as percentage of the domestic GDP) in the period Q1 2015 – Q4 2024 using ECB data, show that the total stock of debt securities did not breach the 5% GDP threshold in 10 Member States, did not exceed 50% of GDP in 12 Member States in this period, while in other </w:t>
      </w:r>
      <w:r w:rsidR="00822A58" w:rsidRPr="00A96EF6">
        <w:rPr>
          <w:rFonts w:ascii="Times New Roman" w:hAnsi="Times New Roman" w:cs="Times New Roman"/>
          <w:noProof/>
          <w:sz w:val="24"/>
          <w:szCs w:val="24"/>
        </w:rPr>
        <w:t>five</w:t>
      </w:r>
      <w:r w:rsidRPr="00A96EF6">
        <w:rPr>
          <w:rFonts w:ascii="Times New Roman" w:hAnsi="Times New Roman" w:cs="Times New Roman"/>
          <w:noProof/>
          <w:sz w:val="24"/>
          <w:szCs w:val="24"/>
        </w:rPr>
        <w:t xml:space="preserve"> Member States it almost reached– in few cases - the 150% of GDP mark. </w:t>
      </w:r>
    </w:p>
    <w:p w14:paraId="466C795F" w14:textId="47FDEDF6" w:rsidR="00EC7FBA" w:rsidRPr="0036474B" w:rsidRDefault="65822EF4" w:rsidP="474AD48D">
      <w:pPr>
        <w:spacing w:after="120"/>
        <w:jc w:val="both"/>
        <w:rPr>
          <w:rStyle w:val="normaltextrun"/>
          <w:rFonts w:ascii="Times New Roman" w:hAnsi="Times New Roman" w:cs="Times New Roman"/>
          <w:noProof/>
          <w:color w:val="000000"/>
          <w:sz w:val="24"/>
          <w:szCs w:val="24"/>
          <w:u w:val="single"/>
          <w:shd w:val="clear" w:color="auto" w:fill="FFFFFF"/>
        </w:rPr>
      </w:pPr>
      <w:r w:rsidRPr="0036474B">
        <w:rPr>
          <w:rStyle w:val="normaltextrun"/>
          <w:rFonts w:ascii="Times New Roman" w:hAnsi="Times New Roman" w:cs="Times New Roman"/>
          <w:noProof/>
          <w:color w:val="000000" w:themeColor="text1"/>
          <w:sz w:val="24"/>
          <w:szCs w:val="24"/>
          <w:u w:val="single"/>
        </w:rPr>
        <w:t xml:space="preserve">Issues </w:t>
      </w:r>
      <w:r w:rsidR="1BE5EBB6" w:rsidRPr="0036474B">
        <w:rPr>
          <w:rStyle w:val="normaltextrun"/>
          <w:rFonts w:ascii="Times New Roman" w:hAnsi="Times New Roman" w:cs="Times New Roman"/>
          <w:noProof/>
          <w:color w:val="000000"/>
          <w:sz w:val="24"/>
          <w:szCs w:val="24"/>
          <w:u w:val="single"/>
          <w:shd w:val="clear" w:color="auto" w:fill="FFFFFF"/>
        </w:rPr>
        <w:t>identified:</w:t>
      </w:r>
    </w:p>
    <w:p w14:paraId="4A790BCD" w14:textId="02EBD4FF" w:rsidR="00685A55" w:rsidRPr="0036474B" w:rsidRDefault="00685A55" w:rsidP="000C646F">
      <w:pPr>
        <w:pStyle w:val="ListParagraph"/>
        <w:numPr>
          <w:ilvl w:val="0"/>
          <w:numId w:val="30"/>
        </w:numPr>
        <w:spacing w:after="120"/>
        <w:contextualSpacing w:val="0"/>
        <w:jc w:val="both"/>
        <w:rPr>
          <w:rStyle w:val="normaltextrun"/>
          <w:rFonts w:ascii="Times New Roman" w:hAnsi="Times New Roman" w:cs="Times New Roman"/>
          <w:noProof/>
          <w:color w:val="000000"/>
          <w:sz w:val="24"/>
          <w:szCs w:val="24"/>
          <w:shd w:val="clear" w:color="auto" w:fill="FFFFFF"/>
        </w:rPr>
      </w:pPr>
      <w:r w:rsidRPr="0036474B">
        <w:rPr>
          <w:rStyle w:val="normaltextrun"/>
          <w:rFonts w:ascii="Times New Roman" w:hAnsi="Times New Roman" w:cs="Times New Roman"/>
          <w:noProof/>
          <w:color w:val="000000"/>
          <w:sz w:val="24"/>
          <w:szCs w:val="24"/>
          <w:shd w:val="clear" w:color="auto" w:fill="FFFFFF"/>
        </w:rPr>
        <w:t xml:space="preserve">Capital stack: the design of the macroprudential capital buffer framework includes </w:t>
      </w:r>
      <w:r w:rsidR="00402916" w:rsidRPr="0036474B">
        <w:rPr>
          <w:rStyle w:val="normaltextrun"/>
          <w:rFonts w:ascii="Times New Roman" w:hAnsi="Times New Roman" w:cs="Times New Roman"/>
          <w:noProof/>
          <w:color w:val="000000"/>
          <w:sz w:val="24"/>
          <w:szCs w:val="24"/>
          <w:shd w:val="clear" w:color="auto" w:fill="FFFFFF"/>
        </w:rPr>
        <w:t xml:space="preserve">five </w:t>
      </w:r>
      <w:r w:rsidR="00C65FD3" w:rsidRPr="0036474B">
        <w:rPr>
          <w:rStyle w:val="normaltextrun"/>
          <w:rFonts w:ascii="Times New Roman" w:hAnsi="Times New Roman" w:cs="Times New Roman"/>
          <w:noProof/>
          <w:color w:val="000000"/>
          <w:sz w:val="24"/>
          <w:szCs w:val="24"/>
          <w:shd w:val="clear" w:color="auto" w:fill="FFFFFF"/>
        </w:rPr>
        <w:t xml:space="preserve">different </w:t>
      </w:r>
      <w:r w:rsidRPr="0036474B">
        <w:rPr>
          <w:rStyle w:val="normaltextrun"/>
          <w:rFonts w:ascii="Times New Roman" w:hAnsi="Times New Roman" w:cs="Times New Roman"/>
          <w:noProof/>
          <w:color w:val="000000"/>
          <w:sz w:val="24"/>
          <w:szCs w:val="24"/>
          <w:shd w:val="clear" w:color="auto" w:fill="FFFFFF"/>
        </w:rPr>
        <w:t xml:space="preserve">buffers which can be used by </w:t>
      </w:r>
      <w:r w:rsidR="287A28A1" w:rsidRPr="0036474B">
        <w:rPr>
          <w:rStyle w:val="normaltextrun"/>
          <w:rFonts w:ascii="Times New Roman" w:hAnsi="Times New Roman" w:cs="Times New Roman"/>
          <w:noProof/>
          <w:color w:val="000000"/>
          <w:sz w:val="24"/>
          <w:szCs w:val="24"/>
          <w:shd w:val="clear" w:color="auto" w:fill="FFFFFF"/>
        </w:rPr>
        <w:t xml:space="preserve">authorities in </w:t>
      </w:r>
      <w:r w:rsidRPr="0036474B">
        <w:rPr>
          <w:rStyle w:val="normaltextrun"/>
          <w:rFonts w:ascii="Times New Roman" w:hAnsi="Times New Roman" w:cs="Times New Roman"/>
          <w:noProof/>
          <w:color w:val="000000"/>
          <w:sz w:val="24"/>
          <w:szCs w:val="24"/>
          <w:shd w:val="clear" w:color="auto" w:fill="FFFFFF"/>
        </w:rPr>
        <w:t>Member States for tackling systemic risks</w:t>
      </w:r>
      <w:r w:rsidR="00C65FD3" w:rsidRPr="0036474B">
        <w:rPr>
          <w:rStyle w:val="normaltextrun"/>
          <w:rFonts w:ascii="Times New Roman" w:hAnsi="Times New Roman" w:cs="Times New Roman"/>
          <w:noProof/>
          <w:color w:val="000000"/>
          <w:sz w:val="24"/>
          <w:szCs w:val="24"/>
          <w:shd w:val="clear" w:color="auto" w:fill="FFFFFF"/>
        </w:rPr>
        <w:t xml:space="preserve">. The </w:t>
      </w:r>
      <w:r w:rsidR="002804E0" w:rsidRPr="0036474B">
        <w:rPr>
          <w:rStyle w:val="normaltextrun"/>
          <w:rFonts w:ascii="Times New Roman" w:hAnsi="Times New Roman" w:cs="Times New Roman"/>
          <w:noProof/>
          <w:color w:val="000000"/>
          <w:sz w:val="24"/>
          <w:szCs w:val="24"/>
          <w:shd w:val="clear" w:color="auto" w:fill="FFFFFF"/>
        </w:rPr>
        <w:t>boundaries between the</w:t>
      </w:r>
      <w:r w:rsidR="00DA6331" w:rsidRPr="0036474B">
        <w:rPr>
          <w:rStyle w:val="normaltextrun"/>
          <w:rFonts w:ascii="Times New Roman" w:hAnsi="Times New Roman" w:cs="Times New Roman"/>
          <w:noProof/>
          <w:color w:val="000000"/>
          <w:sz w:val="24"/>
          <w:szCs w:val="24"/>
          <w:shd w:val="clear" w:color="auto" w:fill="FFFFFF"/>
        </w:rPr>
        <w:t>ses</w:t>
      </w:r>
      <w:r w:rsidR="002804E0" w:rsidRPr="0036474B">
        <w:rPr>
          <w:rStyle w:val="normaltextrun"/>
          <w:rFonts w:ascii="Times New Roman" w:hAnsi="Times New Roman" w:cs="Times New Roman"/>
          <w:noProof/>
          <w:color w:val="000000"/>
          <w:sz w:val="24"/>
          <w:szCs w:val="24"/>
          <w:shd w:val="clear" w:color="auto" w:fill="FFFFFF"/>
        </w:rPr>
        <w:t xml:space="preserve"> buffer are not always well understood, which may </w:t>
      </w:r>
      <w:r w:rsidRPr="0036474B">
        <w:rPr>
          <w:rStyle w:val="normaltextrun"/>
          <w:rFonts w:ascii="Times New Roman" w:hAnsi="Times New Roman" w:cs="Times New Roman"/>
          <w:noProof/>
          <w:color w:val="000000"/>
          <w:sz w:val="24"/>
          <w:szCs w:val="24"/>
          <w:shd w:val="clear" w:color="auto" w:fill="FFFFFF"/>
        </w:rPr>
        <w:t xml:space="preserve">lead to overlaps and different application </w:t>
      </w:r>
      <w:r w:rsidR="00B522AA" w:rsidRPr="0036474B">
        <w:rPr>
          <w:rStyle w:val="normaltextrun"/>
          <w:rFonts w:ascii="Times New Roman" w:hAnsi="Times New Roman" w:cs="Times New Roman"/>
          <w:noProof/>
          <w:color w:val="000000"/>
          <w:sz w:val="24"/>
          <w:szCs w:val="24"/>
          <w:shd w:val="clear" w:color="auto" w:fill="FFFFFF"/>
        </w:rPr>
        <w:t>across</w:t>
      </w:r>
      <w:r w:rsidRPr="0036474B">
        <w:rPr>
          <w:rStyle w:val="normaltextrun"/>
          <w:rFonts w:ascii="Times New Roman" w:hAnsi="Times New Roman" w:cs="Times New Roman"/>
          <w:noProof/>
          <w:color w:val="000000"/>
          <w:sz w:val="24"/>
          <w:szCs w:val="24"/>
          <w:shd w:val="clear" w:color="auto" w:fill="FFFFFF"/>
        </w:rPr>
        <w:t xml:space="preserve"> Member States. For instance, some Member States are using a </w:t>
      </w:r>
      <w:r w:rsidR="005F0726" w:rsidRPr="0036474B">
        <w:rPr>
          <w:rStyle w:val="normaltextrun"/>
          <w:rFonts w:ascii="Times New Roman" w:hAnsi="Times New Roman" w:cs="Times New Roman"/>
          <w:noProof/>
          <w:color w:val="000000"/>
          <w:sz w:val="24"/>
          <w:szCs w:val="24"/>
          <w:shd w:val="clear" w:color="auto" w:fill="FFFFFF"/>
        </w:rPr>
        <w:t xml:space="preserve">broad-based SyRB to </w:t>
      </w:r>
      <w:r w:rsidR="00DA6331" w:rsidRPr="0036474B">
        <w:rPr>
          <w:rStyle w:val="normaltextrun"/>
          <w:rFonts w:ascii="Times New Roman" w:hAnsi="Times New Roman" w:cs="Times New Roman"/>
          <w:noProof/>
          <w:color w:val="000000"/>
          <w:sz w:val="24"/>
          <w:szCs w:val="24"/>
          <w:shd w:val="clear" w:color="auto" w:fill="FFFFFF"/>
        </w:rPr>
        <w:t>tackle</w:t>
      </w:r>
      <w:r w:rsidR="004B5B4E" w:rsidRPr="0036474B">
        <w:rPr>
          <w:rStyle w:val="normaltextrun"/>
          <w:rFonts w:ascii="Times New Roman" w:hAnsi="Times New Roman" w:cs="Times New Roman"/>
          <w:noProof/>
          <w:color w:val="000000"/>
          <w:sz w:val="24"/>
          <w:szCs w:val="24"/>
          <w:shd w:val="clear" w:color="auto" w:fill="FFFFFF"/>
        </w:rPr>
        <w:t xml:space="preserve"> </w:t>
      </w:r>
      <w:r w:rsidR="005F0726" w:rsidRPr="0036474B">
        <w:rPr>
          <w:rStyle w:val="normaltextrun"/>
          <w:rFonts w:ascii="Times New Roman" w:hAnsi="Times New Roman" w:cs="Times New Roman"/>
          <w:noProof/>
          <w:color w:val="000000"/>
          <w:sz w:val="24"/>
          <w:szCs w:val="24"/>
          <w:shd w:val="clear" w:color="auto" w:fill="FFFFFF"/>
        </w:rPr>
        <w:t>structural</w:t>
      </w:r>
      <w:r w:rsidR="001D7545" w:rsidRPr="0036474B">
        <w:rPr>
          <w:rStyle w:val="normaltextrun"/>
          <w:rFonts w:ascii="Times New Roman" w:hAnsi="Times New Roman" w:cs="Times New Roman"/>
          <w:noProof/>
          <w:color w:val="000000"/>
          <w:sz w:val="24"/>
          <w:szCs w:val="24"/>
          <w:shd w:val="clear" w:color="auto" w:fill="FFFFFF"/>
        </w:rPr>
        <w:t xml:space="preserve"> risks not yet el</w:t>
      </w:r>
      <w:r w:rsidR="000F54FC" w:rsidRPr="0036474B">
        <w:rPr>
          <w:rStyle w:val="normaltextrun"/>
          <w:rFonts w:ascii="Times New Roman" w:hAnsi="Times New Roman" w:cs="Times New Roman"/>
          <w:noProof/>
          <w:color w:val="000000"/>
          <w:sz w:val="24"/>
          <w:szCs w:val="24"/>
          <w:shd w:val="clear" w:color="auto" w:fill="FFFFFF"/>
        </w:rPr>
        <w:t>evated</w:t>
      </w:r>
      <w:r w:rsidRPr="0036474B">
        <w:rPr>
          <w:rStyle w:val="normaltextrun"/>
          <w:rFonts w:ascii="Times New Roman" w:hAnsi="Times New Roman" w:cs="Times New Roman"/>
          <w:noProof/>
          <w:color w:val="000000"/>
          <w:sz w:val="24"/>
          <w:szCs w:val="24"/>
          <w:shd w:val="clear" w:color="auto" w:fill="FFFFFF"/>
        </w:rPr>
        <w:t xml:space="preserve"> to tackle similar risks. </w:t>
      </w:r>
    </w:p>
    <w:p w14:paraId="20C68C98" w14:textId="6B9DE4F9" w:rsidR="00685A55" w:rsidRPr="0036474B" w:rsidRDefault="67241073" w:rsidP="000C646F">
      <w:pPr>
        <w:pStyle w:val="ListParagraph"/>
        <w:numPr>
          <w:ilvl w:val="0"/>
          <w:numId w:val="30"/>
        </w:numPr>
        <w:spacing w:after="120"/>
        <w:contextualSpacing w:val="0"/>
        <w:jc w:val="both"/>
        <w:rPr>
          <w:rStyle w:val="normaltextrun"/>
          <w:rFonts w:ascii="Times New Roman" w:hAnsi="Times New Roman" w:cs="Times New Roman"/>
          <w:noProof/>
          <w:color w:val="000000"/>
          <w:sz w:val="24"/>
          <w:szCs w:val="24"/>
          <w:shd w:val="clear" w:color="auto" w:fill="FFFFFF"/>
        </w:rPr>
      </w:pPr>
      <w:r w:rsidRPr="0036474B">
        <w:rPr>
          <w:rStyle w:val="normaltextrun"/>
          <w:rFonts w:ascii="Times New Roman" w:hAnsi="Times New Roman" w:cs="Times New Roman"/>
          <w:noProof/>
          <w:color w:val="000000"/>
          <w:sz w:val="24"/>
          <w:szCs w:val="24"/>
          <w:shd w:val="clear" w:color="auto" w:fill="FFFFFF"/>
        </w:rPr>
        <w:t>Buffer calibration: the lack of a harmoni</w:t>
      </w:r>
      <w:r w:rsidR="00E5777E">
        <w:rPr>
          <w:rStyle w:val="normaltextrun"/>
          <w:rFonts w:ascii="Times New Roman" w:hAnsi="Times New Roman" w:cs="Times New Roman"/>
          <w:noProof/>
          <w:color w:val="000000"/>
          <w:sz w:val="24"/>
          <w:szCs w:val="24"/>
          <w:shd w:val="clear" w:color="auto" w:fill="FFFFFF"/>
        </w:rPr>
        <w:t>s</w:t>
      </w:r>
      <w:r w:rsidRPr="0036474B">
        <w:rPr>
          <w:rStyle w:val="normaltextrun"/>
          <w:rFonts w:ascii="Times New Roman" w:hAnsi="Times New Roman" w:cs="Times New Roman"/>
          <w:noProof/>
          <w:color w:val="000000"/>
          <w:sz w:val="24"/>
          <w:szCs w:val="24"/>
          <w:shd w:val="clear" w:color="auto" w:fill="FFFFFF"/>
        </w:rPr>
        <w:t>ed calibration methodology at EU level for certain capital buffers (e.g. the calibration of the SyRB</w:t>
      </w:r>
      <w:r w:rsidR="11461C62" w:rsidRPr="0036474B">
        <w:rPr>
          <w:rStyle w:val="normaltextrun"/>
          <w:rFonts w:ascii="Times New Roman" w:hAnsi="Times New Roman" w:cs="Times New Roman"/>
          <w:noProof/>
          <w:color w:val="000000"/>
          <w:sz w:val="24"/>
          <w:szCs w:val="24"/>
          <w:shd w:val="clear" w:color="auto" w:fill="FFFFFF"/>
        </w:rPr>
        <w:t xml:space="preserve">, </w:t>
      </w:r>
      <w:r w:rsidRPr="0036474B">
        <w:rPr>
          <w:rStyle w:val="normaltextrun"/>
          <w:rFonts w:ascii="Times New Roman" w:hAnsi="Times New Roman" w:cs="Times New Roman"/>
          <w:noProof/>
          <w:color w:val="000000"/>
          <w:sz w:val="24"/>
          <w:szCs w:val="24"/>
          <w:shd w:val="clear" w:color="auto" w:fill="FFFFFF"/>
        </w:rPr>
        <w:t>the O-SII buffer</w:t>
      </w:r>
      <w:r w:rsidR="11461C62" w:rsidRPr="0036474B">
        <w:rPr>
          <w:rStyle w:val="normaltextrun"/>
          <w:rFonts w:ascii="Times New Roman" w:hAnsi="Times New Roman" w:cs="Times New Roman"/>
          <w:noProof/>
          <w:color w:val="000000"/>
          <w:sz w:val="24"/>
          <w:szCs w:val="24"/>
          <w:shd w:val="clear" w:color="auto" w:fill="FFFFFF"/>
        </w:rPr>
        <w:t xml:space="preserve"> and the CCyB</w:t>
      </w:r>
      <w:r w:rsidRPr="0036474B">
        <w:rPr>
          <w:rStyle w:val="normaltextrun"/>
          <w:rFonts w:ascii="Times New Roman" w:hAnsi="Times New Roman" w:cs="Times New Roman"/>
          <w:noProof/>
          <w:color w:val="000000"/>
          <w:sz w:val="24"/>
          <w:szCs w:val="24"/>
          <w:shd w:val="clear" w:color="auto" w:fill="FFFFFF"/>
        </w:rPr>
        <w:t>) coupled with the decentralised macroprudential policy implementation leads to heterogenous capital levels across Member States</w:t>
      </w:r>
      <w:r w:rsidR="021E9B4F" w:rsidRPr="0036474B">
        <w:rPr>
          <w:rStyle w:val="normaltextrun"/>
          <w:rFonts w:ascii="Times New Roman" w:hAnsi="Times New Roman" w:cs="Times New Roman"/>
          <w:noProof/>
          <w:color w:val="000000"/>
          <w:sz w:val="24"/>
          <w:szCs w:val="24"/>
          <w:shd w:val="clear" w:color="auto" w:fill="FFFFFF"/>
        </w:rPr>
        <w:t>, which</w:t>
      </w:r>
      <w:r w:rsidR="654FBC3D" w:rsidRPr="0036474B">
        <w:rPr>
          <w:rStyle w:val="normaltextrun"/>
          <w:rFonts w:ascii="Times New Roman" w:hAnsi="Times New Roman" w:cs="Times New Roman"/>
          <w:noProof/>
          <w:color w:val="000000"/>
          <w:sz w:val="24"/>
          <w:szCs w:val="24"/>
          <w:shd w:val="clear" w:color="auto" w:fill="FFFFFF"/>
        </w:rPr>
        <w:t xml:space="preserve"> cannot be fully explained by economic fundamentals.</w:t>
      </w:r>
    </w:p>
    <w:p w14:paraId="7C0C63E1" w14:textId="04136729" w:rsidR="00685A55" w:rsidRPr="0036474B" w:rsidRDefault="67241073" w:rsidP="000C646F">
      <w:pPr>
        <w:pStyle w:val="ListParagraph"/>
        <w:numPr>
          <w:ilvl w:val="0"/>
          <w:numId w:val="30"/>
        </w:numPr>
        <w:spacing w:after="120"/>
        <w:contextualSpacing w:val="0"/>
        <w:jc w:val="both"/>
        <w:rPr>
          <w:rStyle w:val="normaltextrun"/>
          <w:rFonts w:ascii="Times New Roman" w:hAnsi="Times New Roman" w:cs="Times New Roman"/>
          <w:noProof/>
          <w:color w:val="000000"/>
          <w:sz w:val="24"/>
          <w:szCs w:val="24"/>
          <w:shd w:val="clear" w:color="auto" w:fill="FFFFFF"/>
        </w:rPr>
      </w:pPr>
      <w:r w:rsidRPr="0036474B">
        <w:rPr>
          <w:rStyle w:val="normaltextrun"/>
          <w:rFonts w:ascii="Times New Roman" w:hAnsi="Times New Roman" w:cs="Times New Roman"/>
          <w:noProof/>
          <w:color w:val="000000"/>
          <w:sz w:val="24"/>
          <w:szCs w:val="24"/>
          <w:shd w:val="clear" w:color="auto" w:fill="FFFFFF"/>
        </w:rPr>
        <w:t>Countercyclical resources: although many Member States have tightened macroprudential policy in the aftermath of the C</w:t>
      </w:r>
      <w:r w:rsidR="61E0D5A1" w:rsidRPr="0036474B">
        <w:rPr>
          <w:rStyle w:val="normaltextrun"/>
          <w:rFonts w:ascii="Times New Roman" w:hAnsi="Times New Roman" w:cs="Times New Roman"/>
          <w:noProof/>
          <w:color w:val="000000"/>
          <w:sz w:val="24"/>
          <w:szCs w:val="24"/>
          <w:shd w:val="clear" w:color="auto" w:fill="FFFFFF"/>
        </w:rPr>
        <w:t>OVID</w:t>
      </w:r>
      <w:r w:rsidRPr="0036474B">
        <w:rPr>
          <w:rStyle w:val="normaltextrun"/>
          <w:rFonts w:ascii="Times New Roman" w:hAnsi="Times New Roman" w:cs="Times New Roman"/>
          <w:noProof/>
          <w:color w:val="000000"/>
          <w:sz w:val="24"/>
          <w:szCs w:val="24"/>
          <w:shd w:val="clear" w:color="auto" w:fill="FFFFFF"/>
        </w:rPr>
        <w:t>-19 pandemic, the share of the releasable buffers (in the total combined buffer requirements) which can be freed up by macroprudential authorities to help banks to absorb potential losses in periods of downturn has remained relatively low</w:t>
      </w:r>
      <w:r w:rsidR="7739876F" w:rsidRPr="0036474B">
        <w:rPr>
          <w:rStyle w:val="normaltextrun"/>
          <w:rFonts w:ascii="Times New Roman" w:hAnsi="Times New Roman" w:cs="Times New Roman"/>
          <w:noProof/>
          <w:color w:val="000000"/>
          <w:sz w:val="24"/>
          <w:szCs w:val="24"/>
          <w:shd w:val="clear" w:color="auto" w:fill="FFFFFF"/>
        </w:rPr>
        <w:t>. S</w:t>
      </w:r>
      <w:r w:rsidR="654FBC3D" w:rsidRPr="0036474B">
        <w:rPr>
          <w:rStyle w:val="normaltextrun"/>
          <w:rFonts w:ascii="Times New Roman" w:hAnsi="Times New Roman" w:cs="Times New Roman"/>
          <w:noProof/>
          <w:color w:val="000000"/>
          <w:sz w:val="24"/>
          <w:szCs w:val="24"/>
          <w:shd w:val="clear" w:color="auto" w:fill="FFFFFF"/>
        </w:rPr>
        <w:t>ome Member States may still lack sufficient macroprudential space</w:t>
      </w:r>
      <w:r w:rsidRPr="0036474B">
        <w:rPr>
          <w:rStyle w:val="normaltextrun"/>
          <w:rFonts w:ascii="Times New Roman" w:hAnsi="Times New Roman" w:cs="Times New Roman"/>
          <w:noProof/>
          <w:color w:val="000000"/>
          <w:sz w:val="24"/>
          <w:szCs w:val="24"/>
          <w:shd w:val="clear" w:color="auto" w:fill="FFFFFF"/>
        </w:rPr>
        <w:t xml:space="preserve">. </w:t>
      </w:r>
    </w:p>
    <w:p w14:paraId="33C80808" w14:textId="13B7F21D" w:rsidR="00685A55" w:rsidRPr="00AC2B0B" w:rsidRDefault="67241073" w:rsidP="00934523">
      <w:pPr>
        <w:pStyle w:val="ListParagraph"/>
        <w:numPr>
          <w:ilvl w:val="0"/>
          <w:numId w:val="30"/>
        </w:numPr>
        <w:spacing w:after="120"/>
        <w:contextualSpacing w:val="0"/>
        <w:jc w:val="both"/>
        <w:rPr>
          <w:rFonts w:ascii="Times New Roman" w:hAnsi="Times New Roman" w:cs="Times New Roman"/>
          <w:noProof/>
          <w:color w:val="000000"/>
          <w:sz w:val="24"/>
          <w:szCs w:val="24"/>
          <w:shd w:val="clear" w:color="auto" w:fill="FFFFFF"/>
        </w:rPr>
      </w:pPr>
      <w:r w:rsidRPr="0036474B">
        <w:rPr>
          <w:rStyle w:val="normaltextrun"/>
          <w:rFonts w:ascii="Times New Roman" w:hAnsi="Times New Roman" w:cs="Times New Roman"/>
          <w:noProof/>
          <w:color w:val="000000"/>
          <w:sz w:val="24"/>
          <w:szCs w:val="24"/>
          <w:shd w:val="clear" w:color="auto" w:fill="FFFFFF"/>
        </w:rPr>
        <w:t>Governance: the complex macroprudential governance framework</w:t>
      </w:r>
      <w:r w:rsidR="2FC9EEF9" w:rsidRPr="0036474B">
        <w:rPr>
          <w:rStyle w:val="normaltextrun"/>
          <w:rFonts w:ascii="Times New Roman" w:hAnsi="Times New Roman" w:cs="Times New Roman"/>
          <w:noProof/>
          <w:color w:val="000000"/>
          <w:sz w:val="24"/>
          <w:szCs w:val="24"/>
          <w:shd w:val="clear" w:color="auto" w:fill="FFFFFF"/>
        </w:rPr>
        <w:t>,</w:t>
      </w:r>
      <w:r w:rsidRPr="0036474B">
        <w:rPr>
          <w:rStyle w:val="normaltextrun"/>
          <w:rFonts w:ascii="Times New Roman" w:hAnsi="Times New Roman" w:cs="Times New Roman"/>
          <w:noProof/>
          <w:color w:val="000000"/>
          <w:sz w:val="24"/>
          <w:szCs w:val="24"/>
          <w:shd w:val="clear" w:color="auto" w:fill="FFFFFF"/>
        </w:rPr>
        <w:t xml:space="preserve"> which provides a prominent role to the national macroprudential authorities</w:t>
      </w:r>
      <w:r w:rsidR="3C216901" w:rsidRPr="0036474B">
        <w:rPr>
          <w:rStyle w:val="normaltextrun"/>
          <w:rFonts w:ascii="Times New Roman" w:hAnsi="Times New Roman" w:cs="Times New Roman"/>
          <w:noProof/>
          <w:color w:val="000000"/>
          <w:sz w:val="24"/>
          <w:szCs w:val="24"/>
          <w:shd w:val="clear" w:color="auto" w:fill="FFFFFF"/>
        </w:rPr>
        <w:t>,</w:t>
      </w:r>
      <w:r w:rsidRPr="0036474B">
        <w:rPr>
          <w:rStyle w:val="normaltextrun"/>
          <w:rFonts w:ascii="Times New Roman" w:hAnsi="Times New Roman" w:cs="Times New Roman"/>
          <w:noProof/>
          <w:color w:val="000000"/>
          <w:sz w:val="24"/>
          <w:szCs w:val="24"/>
          <w:shd w:val="clear" w:color="auto" w:fill="FFFFFF"/>
        </w:rPr>
        <w:t xml:space="preserve"> </w:t>
      </w:r>
      <w:r w:rsidRPr="0036474B">
        <w:rPr>
          <w:rFonts w:ascii="Times New Roman" w:hAnsi="Times New Roman" w:cs="Times New Roman"/>
          <w:noProof/>
          <w:sz w:val="24"/>
          <w:szCs w:val="24"/>
        </w:rPr>
        <w:t xml:space="preserve">is often a source of cross-country heterogeneity in the application of macroprudential policy tools and has an unwarranted impact on the level playing field among banks. </w:t>
      </w:r>
    </w:p>
    <w:p w14:paraId="459C21AA" w14:textId="77777777" w:rsidR="00AC2B0B" w:rsidRPr="0036474B" w:rsidRDefault="00AC2B0B" w:rsidP="00AC2B0B">
      <w:pPr>
        <w:pStyle w:val="ListParagraph"/>
        <w:spacing w:after="120"/>
        <w:contextualSpacing w:val="0"/>
        <w:jc w:val="both"/>
        <w:rPr>
          <w:rStyle w:val="normaltextrun"/>
          <w:rFonts w:ascii="Times New Roman" w:hAnsi="Times New Roman" w:cs="Times New Roman"/>
          <w:noProof/>
          <w:color w:val="000000"/>
          <w:sz w:val="24"/>
          <w:szCs w:val="24"/>
          <w:shd w:val="clear" w:color="auto" w:fill="FFFFFF"/>
        </w:rPr>
      </w:pPr>
    </w:p>
    <w:p w14:paraId="214FEC04" w14:textId="6ABBA5BF" w:rsidR="00D63E2D" w:rsidRPr="0036474B" w:rsidRDefault="00D63E2D" w:rsidP="00B00C18">
      <w:pPr>
        <w:pStyle w:val="ListParagraph"/>
        <w:numPr>
          <w:ilvl w:val="2"/>
          <w:numId w:val="11"/>
        </w:numPr>
        <w:spacing w:after="120"/>
        <w:ind w:left="1077"/>
        <w:contextualSpacing w:val="0"/>
        <w:outlineLvl w:val="2"/>
        <w:rPr>
          <w:rFonts w:ascii="Times New Roman" w:hAnsi="Times New Roman" w:cs="Times New Roman"/>
          <w:b/>
          <w:bCs/>
          <w:noProof/>
          <w:sz w:val="24"/>
          <w:szCs w:val="24"/>
          <w:lang w:val="en-GB"/>
        </w:rPr>
      </w:pPr>
      <w:bookmarkStart w:id="51" w:name="_Toc234341748"/>
      <w:r w:rsidRPr="0036474B">
        <w:rPr>
          <w:rFonts w:ascii="Times New Roman" w:hAnsi="Times New Roman" w:cs="Times New Roman"/>
          <w:b/>
          <w:bCs/>
          <w:noProof/>
          <w:sz w:val="24"/>
          <w:szCs w:val="24"/>
          <w:lang w:val="en-GB"/>
        </w:rPr>
        <w:t>Transversal issues</w:t>
      </w:r>
      <w:r w:rsidR="00111423" w:rsidRPr="0036474B">
        <w:rPr>
          <w:rFonts w:ascii="Times New Roman" w:hAnsi="Times New Roman" w:cs="Times New Roman"/>
          <w:b/>
          <w:bCs/>
          <w:noProof/>
          <w:sz w:val="24"/>
          <w:szCs w:val="24"/>
          <w:lang w:val="en-GB"/>
        </w:rPr>
        <w:t xml:space="preserve"> related to capital stack</w:t>
      </w:r>
      <w:bookmarkEnd w:id="51"/>
    </w:p>
    <w:p w14:paraId="45F853F0" w14:textId="77777777" w:rsidR="00C17C6C" w:rsidRPr="0036474B" w:rsidRDefault="00C17C6C" w:rsidP="00022822">
      <w:pPr>
        <w:pStyle w:val="ListParagraph"/>
        <w:numPr>
          <w:ilvl w:val="0"/>
          <w:numId w:val="22"/>
        </w:numPr>
        <w:rPr>
          <w:rFonts w:ascii="Times New Roman" w:hAnsi="Times New Roman" w:cs="Times New Roman"/>
          <w:b/>
          <w:noProof/>
          <w:sz w:val="24"/>
          <w:szCs w:val="24"/>
          <w:lang w:val="en-GB"/>
        </w:rPr>
      </w:pPr>
      <w:r w:rsidRPr="0036474B">
        <w:rPr>
          <w:rFonts w:ascii="Times New Roman" w:hAnsi="Times New Roman" w:cs="Times New Roman"/>
          <w:b/>
          <w:noProof/>
          <w:sz w:val="24"/>
          <w:szCs w:val="24"/>
          <w:lang w:val="en-GB"/>
        </w:rPr>
        <w:t>Buffer usability</w:t>
      </w:r>
    </w:p>
    <w:p w14:paraId="13E7BBD8" w14:textId="564C4A41" w:rsidR="00664179" w:rsidRPr="0036474B" w:rsidRDefault="00664179" w:rsidP="00903465">
      <w:pPr>
        <w:jc w:val="both"/>
        <w:rPr>
          <w:rFonts w:ascii="Times New Roman" w:hAnsi="Times New Roman" w:cs="Times New Roman"/>
          <w:bCs/>
          <w:noProof/>
          <w:sz w:val="24"/>
          <w:szCs w:val="24"/>
          <w:lang w:val="en-GB"/>
        </w:rPr>
      </w:pPr>
      <w:r w:rsidRPr="0036474B">
        <w:rPr>
          <w:rFonts w:ascii="Times New Roman" w:hAnsi="Times New Roman" w:cs="Times New Roman"/>
          <w:bCs/>
          <w:noProof/>
          <w:sz w:val="24"/>
          <w:szCs w:val="24"/>
          <w:lang w:val="en-GB"/>
        </w:rPr>
        <w:t>Capital buffers—unlike minimum requirements—are not intended to function as hard constraints. Banks are allowed to draw them down, subject to restrictions on distributions to prevent undue capital depletion. In practice, however, banks may be reluctant or unable to use these buffers as intended</w:t>
      </w:r>
      <w:r w:rsidR="00554F3C" w:rsidRPr="0036474B">
        <w:rPr>
          <w:rFonts w:ascii="Times New Roman" w:hAnsi="Times New Roman" w:cs="Times New Roman"/>
          <w:bCs/>
          <w:noProof/>
          <w:sz w:val="24"/>
          <w:szCs w:val="24"/>
          <w:lang w:val="en-GB"/>
        </w:rPr>
        <w:t>.</w:t>
      </w:r>
    </w:p>
    <w:p w14:paraId="65875C0D" w14:textId="0EAA70A1" w:rsidR="00664179" w:rsidRPr="0036474B" w:rsidRDefault="56091DD0" w:rsidP="00903465">
      <w:pPr>
        <w:jc w:val="both"/>
        <w:rPr>
          <w:rFonts w:ascii="Times New Roman" w:hAnsi="Times New Roman" w:cs="Times New Roman"/>
          <w:bCs/>
          <w:noProof/>
          <w:sz w:val="24"/>
          <w:szCs w:val="24"/>
          <w:lang w:val="en-GB"/>
        </w:rPr>
      </w:pPr>
      <w:r w:rsidRPr="0036474B">
        <w:rPr>
          <w:rFonts w:ascii="Times New Roman" w:hAnsi="Times New Roman" w:cs="Times New Roman"/>
          <w:noProof/>
          <w:sz w:val="24"/>
          <w:szCs w:val="24"/>
          <w:lang w:val="en-GB"/>
        </w:rPr>
        <w:t>Numerous reports</w:t>
      </w:r>
      <w:r w:rsidR="00664179" w:rsidRPr="0036474B">
        <w:rPr>
          <w:rStyle w:val="FootnoteReference"/>
          <w:rFonts w:ascii="Times New Roman" w:hAnsi="Times New Roman" w:cs="Times New Roman"/>
          <w:noProof/>
          <w:sz w:val="24"/>
          <w:szCs w:val="24"/>
          <w:lang w:val="en-GB"/>
        </w:rPr>
        <w:footnoteReference w:id="100"/>
      </w:r>
      <w:r w:rsidRPr="0036474B">
        <w:rPr>
          <w:rFonts w:ascii="Times New Roman" w:hAnsi="Times New Roman" w:cs="Times New Roman"/>
          <w:noProof/>
          <w:sz w:val="24"/>
          <w:szCs w:val="24"/>
          <w:lang w:val="en-GB"/>
        </w:rPr>
        <w:t xml:space="preserve"> have noted that</w:t>
      </w:r>
      <w:r w:rsidR="54367046" w:rsidRPr="0036474B">
        <w:rPr>
          <w:rFonts w:ascii="Times New Roman" w:hAnsi="Times New Roman" w:cs="Times New Roman"/>
          <w:noProof/>
          <w:sz w:val="24"/>
          <w:szCs w:val="24"/>
          <w:lang w:val="en-GB"/>
        </w:rPr>
        <w:t xml:space="preserve"> banks </w:t>
      </w:r>
      <w:r w:rsidRPr="0036474B">
        <w:rPr>
          <w:rFonts w:ascii="Times New Roman" w:hAnsi="Times New Roman" w:cs="Times New Roman"/>
          <w:noProof/>
          <w:sz w:val="24"/>
          <w:szCs w:val="24"/>
          <w:lang w:val="en-GB"/>
        </w:rPr>
        <w:t xml:space="preserve">may be constrained from </w:t>
      </w:r>
      <w:r w:rsidR="54367046" w:rsidRPr="0036474B">
        <w:rPr>
          <w:rFonts w:ascii="Times New Roman" w:hAnsi="Times New Roman" w:cs="Times New Roman"/>
          <w:noProof/>
          <w:sz w:val="24"/>
          <w:szCs w:val="24"/>
          <w:lang w:val="en-GB"/>
        </w:rPr>
        <w:t xml:space="preserve">dipping into buffers </w:t>
      </w:r>
      <w:r w:rsidRPr="0036474B">
        <w:rPr>
          <w:rFonts w:ascii="Times New Roman" w:hAnsi="Times New Roman" w:cs="Times New Roman"/>
          <w:noProof/>
          <w:sz w:val="24"/>
          <w:szCs w:val="24"/>
          <w:lang w:val="en-GB"/>
        </w:rPr>
        <w:t>because doing so could lead to breaches of other requirements—</w:t>
      </w:r>
      <w:r w:rsidR="54367046" w:rsidRPr="0036474B">
        <w:rPr>
          <w:rFonts w:ascii="Times New Roman" w:hAnsi="Times New Roman" w:cs="Times New Roman"/>
          <w:noProof/>
          <w:sz w:val="24"/>
          <w:szCs w:val="24"/>
          <w:lang w:val="en-GB"/>
        </w:rPr>
        <w:t>t</w:t>
      </w:r>
      <w:r w:rsidRPr="0036474B">
        <w:rPr>
          <w:rFonts w:ascii="Times New Roman" w:hAnsi="Times New Roman" w:cs="Times New Roman"/>
          <w:noProof/>
          <w:sz w:val="24"/>
          <w:szCs w:val="24"/>
          <w:lang w:val="en-GB"/>
        </w:rPr>
        <w:t>he leverage ratio or MREL—that apply in parallel. This issue reflects the fact that different layers of the regulatory framework were developed in isolation, without fully considering their interaction.</w:t>
      </w:r>
    </w:p>
    <w:p w14:paraId="6E0EA630" w14:textId="3C8F02C1" w:rsidR="00664179" w:rsidRPr="0036474B" w:rsidRDefault="00554F3C" w:rsidP="00903465">
      <w:pPr>
        <w:jc w:val="both"/>
        <w:rPr>
          <w:rFonts w:ascii="Times New Roman" w:hAnsi="Times New Roman" w:cs="Times New Roman"/>
          <w:bCs/>
          <w:noProof/>
          <w:sz w:val="24"/>
          <w:szCs w:val="24"/>
          <w:lang w:val="en-GB"/>
        </w:rPr>
      </w:pPr>
      <w:r w:rsidRPr="0036474B">
        <w:rPr>
          <w:rFonts w:ascii="Times New Roman" w:hAnsi="Times New Roman" w:cs="Times New Roman"/>
          <w:bCs/>
          <w:noProof/>
          <w:sz w:val="24"/>
          <w:szCs w:val="24"/>
          <w:lang w:val="en-GB"/>
        </w:rPr>
        <w:t xml:space="preserve">The root cause of limited buffer usability is that </w:t>
      </w:r>
      <w:r w:rsidR="00664179" w:rsidRPr="0036474B">
        <w:rPr>
          <w:rFonts w:ascii="Times New Roman" w:hAnsi="Times New Roman" w:cs="Times New Roman"/>
          <w:bCs/>
          <w:noProof/>
          <w:sz w:val="24"/>
          <w:szCs w:val="24"/>
          <w:lang w:val="en-GB"/>
        </w:rPr>
        <w:t>risk-based minimum capital requirements—on top of which buffers are built—are not always the binding constraint</w:t>
      </w:r>
      <w:r w:rsidRPr="0036474B">
        <w:rPr>
          <w:rFonts w:ascii="Times New Roman" w:hAnsi="Times New Roman" w:cs="Times New Roman"/>
          <w:bCs/>
          <w:noProof/>
          <w:sz w:val="24"/>
          <w:szCs w:val="24"/>
          <w:lang w:val="en-GB"/>
        </w:rPr>
        <w:t xml:space="preserve"> for every bank</w:t>
      </w:r>
      <w:r w:rsidR="00664179" w:rsidRPr="0036474B">
        <w:rPr>
          <w:rFonts w:ascii="Times New Roman" w:hAnsi="Times New Roman" w:cs="Times New Roman"/>
          <w:bCs/>
          <w:noProof/>
          <w:sz w:val="24"/>
          <w:szCs w:val="24"/>
          <w:lang w:val="en-GB"/>
        </w:rPr>
        <w:t xml:space="preserve">. Where a bank’s risk-weight density is sufficiently low, the leverage ratio may become the binding requirement. Similarly, where resolution requirements exceed prudential requirements and banks lack sufficient eligible liabilities, MREL may become the effective constraint. In such cases, the usability of capital buffers is </w:t>
      </w:r>
      <w:r w:rsidR="00EB6E28" w:rsidRPr="0036474B">
        <w:rPr>
          <w:rFonts w:ascii="Times New Roman" w:hAnsi="Times New Roman" w:cs="Times New Roman"/>
          <w:bCs/>
          <w:noProof/>
          <w:sz w:val="24"/>
          <w:szCs w:val="24"/>
          <w:lang w:val="en-GB"/>
        </w:rPr>
        <w:t xml:space="preserve">fully or partially </w:t>
      </w:r>
      <w:r w:rsidR="00664179" w:rsidRPr="0036474B">
        <w:rPr>
          <w:rFonts w:ascii="Times New Roman" w:hAnsi="Times New Roman" w:cs="Times New Roman"/>
          <w:bCs/>
          <w:noProof/>
          <w:sz w:val="24"/>
          <w:szCs w:val="24"/>
          <w:lang w:val="en-GB"/>
        </w:rPr>
        <w:t>reduced.</w:t>
      </w:r>
    </w:p>
    <w:p w14:paraId="00577BCD" w14:textId="7879E9A5" w:rsidR="00664179" w:rsidRPr="0036474B" w:rsidRDefault="00664179" w:rsidP="00903465">
      <w:pPr>
        <w:jc w:val="both"/>
        <w:rPr>
          <w:rFonts w:ascii="Times New Roman" w:hAnsi="Times New Roman" w:cs="Times New Roman"/>
          <w:bCs/>
          <w:noProof/>
          <w:sz w:val="24"/>
          <w:szCs w:val="24"/>
          <w:lang w:val="en-GB"/>
        </w:rPr>
      </w:pPr>
      <w:r w:rsidRPr="0036474B">
        <w:rPr>
          <w:rFonts w:ascii="Times New Roman" w:hAnsi="Times New Roman" w:cs="Times New Roman"/>
          <w:bCs/>
          <w:noProof/>
          <w:sz w:val="24"/>
          <w:szCs w:val="24"/>
          <w:lang w:val="en-GB"/>
        </w:rPr>
        <w:t xml:space="preserve">Limited buffer usability has several adverse consequences. First, it undermines the countercyclical role of buffers: banks may be unable to draw them down in stress, and instead reduce lending to preserve capital, thereby amplifying the economic downturn through tighter credit conditions for households and firms. Second, changes in buffer requirements may have limited impact </w:t>
      </w:r>
      <w:r w:rsidR="00EB6E28" w:rsidRPr="0036474B">
        <w:rPr>
          <w:rFonts w:ascii="Times New Roman" w:hAnsi="Times New Roman" w:cs="Times New Roman"/>
          <w:bCs/>
          <w:noProof/>
          <w:sz w:val="24"/>
          <w:szCs w:val="24"/>
          <w:lang w:val="en-GB"/>
        </w:rPr>
        <w:t xml:space="preserve">on bank risk taking </w:t>
      </w:r>
      <w:r w:rsidRPr="0036474B">
        <w:rPr>
          <w:rFonts w:ascii="Times New Roman" w:hAnsi="Times New Roman" w:cs="Times New Roman"/>
          <w:bCs/>
          <w:noProof/>
          <w:sz w:val="24"/>
          <w:szCs w:val="24"/>
          <w:lang w:val="en-GB"/>
        </w:rPr>
        <w:t>if buffers are not usable. Third, reduced buffer usability implies a smaller effective distance to breaching minimum requirements than would be the case if buffers were fully usable. Finally, from a regulatory design perspective, unusable buffers represent a</w:t>
      </w:r>
      <w:r w:rsidR="006952B8" w:rsidRPr="0036474B">
        <w:rPr>
          <w:rFonts w:ascii="Times New Roman" w:hAnsi="Times New Roman" w:cs="Times New Roman"/>
          <w:bCs/>
          <w:noProof/>
          <w:sz w:val="24"/>
          <w:szCs w:val="24"/>
          <w:lang w:val="en-GB"/>
        </w:rPr>
        <w:t xml:space="preserve"> redundancy </w:t>
      </w:r>
      <w:r w:rsidRPr="0036474B">
        <w:rPr>
          <w:rFonts w:ascii="Times New Roman" w:hAnsi="Times New Roman" w:cs="Times New Roman"/>
          <w:bCs/>
          <w:noProof/>
          <w:sz w:val="24"/>
          <w:szCs w:val="24"/>
          <w:lang w:val="en-GB"/>
        </w:rPr>
        <w:t>in the framework.</w:t>
      </w:r>
    </w:p>
    <w:p w14:paraId="7BD926F2" w14:textId="6E816660" w:rsidR="007421D1" w:rsidRPr="0036474B" w:rsidRDefault="00B82DE8" w:rsidP="007421D1">
      <w:pPr>
        <w:spacing w:after="120"/>
        <w:jc w:val="both"/>
        <w:rPr>
          <w:rStyle w:val="normaltextrun"/>
          <w:rFonts w:ascii="Times New Roman" w:hAnsi="Times New Roman" w:cs="Times New Roman"/>
          <w:noProof/>
          <w:color w:val="000000"/>
          <w:sz w:val="24"/>
          <w:szCs w:val="24"/>
          <w:u w:val="single"/>
          <w:shd w:val="clear" w:color="auto" w:fill="FFFFFF"/>
        </w:rPr>
      </w:pPr>
      <w:r w:rsidRPr="0036474B">
        <w:rPr>
          <w:rStyle w:val="normaltextrun"/>
          <w:rFonts w:ascii="Times New Roman" w:hAnsi="Times New Roman" w:cs="Times New Roman"/>
          <w:noProof/>
          <w:color w:val="000000"/>
          <w:sz w:val="24"/>
          <w:szCs w:val="24"/>
          <w:u w:val="single"/>
          <w:shd w:val="clear" w:color="auto" w:fill="FFFFFF"/>
        </w:rPr>
        <w:t>Issues</w:t>
      </w:r>
      <w:r w:rsidR="007421D1" w:rsidRPr="0036474B">
        <w:rPr>
          <w:rStyle w:val="normaltextrun"/>
          <w:rFonts w:ascii="Times New Roman" w:hAnsi="Times New Roman" w:cs="Times New Roman"/>
          <w:noProof/>
          <w:color w:val="000000"/>
          <w:sz w:val="24"/>
          <w:szCs w:val="24"/>
          <w:u w:val="single"/>
          <w:shd w:val="clear" w:color="auto" w:fill="FFFFFF"/>
        </w:rPr>
        <w:t xml:space="preserve"> identified:</w:t>
      </w:r>
    </w:p>
    <w:p w14:paraId="057E519E" w14:textId="19BF785C" w:rsidR="007421D1" w:rsidRPr="0036474B" w:rsidRDefault="007421D1" w:rsidP="007421D1">
      <w:pPr>
        <w:pStyle w:val="ListParagraph"/>
        <w:numPr>
          <w:ilvl w:val="0"/>
          <w:numId w:val="30"/>
        </w:numPr>
        <w:spacing w:after="120"/>
        <w:contextualSpacing w:val="0"/>
        <w:jc w:val="both"/>
        <w:rPr>
          <w:rFonts w:ascii="Times New Roman" w:hAnsi="Times New Roman" w:cs="Times New Roman"/>
          <w:bCs/>
          <w:noProof/>
          <w:sz w:val="24"/>
          <w:szCs w:val="24"/>
          <w:lang w:val="en-GB"/>
        </w:rPr>
      </w:pPr>
      <w:r w:rsidRPr="0036474B">
        <w:rPr>
          <w:rFonts w:ascii="Times New Roman" w:hAnsi="Times New Roman" w:cs="Times New Roman"/>
          <w:bCs/>
          <w:noProof/>
          <w:sz w:val="24"/>
          <w:szCs w:val="24"/>
          <w:lang w:val="en-GB"/>
        </w:rPr>
        <w:t xml:space="preserve">Limited buffer usability mainly due to double counting of CET1 instruments at the same time towards compliance with the combined buffer requirements and with other minimum requirements (MREL, leverage ratio). </w:t>
      </w:r>
    </w:p>
    <w:p w14:paraId="51B1BE84" w14:textId="2BB4B099" w:rsidR="00CA168B" w:rsidRDefault="00CA168B" w:rsidP="2A178702">
      <w:pPr>
        <w:pStyle w:val="ListParagraph"/>
        <w:numPr>
          <w:ilvl w:val="0"/>
          <w:numId w:val="30"/>
        </w:numPr>
        <w:spacing w:after="120"/>
        <w:contextualSpacing w:val="0"/>
        <w:jc w:val="both"/>
        <w:rPr>
          <w:rFonts w:ascii="Times New Roman" w:hAnsi="Times New Roman" w:cs="Times New Roman"/>
          <w:bCs/>
          <w:noProof/>
          <w:sz w:val="24"/>
          <w:szCs w:val="24"/>
          <w:lang w:val="en-GB"/>
        </w:rPr>
      </w:pPr>
      <w:r w:rsidRPr="0036474B">
        <w:rPr>
          <w:rFonts w:ascii="Times New Roman" w:hAnsi="Times New Roman" w:cs="Times New Roman"/>
          <w:bCs/>
          <w:noProof/>
          <w:sz w:val="24"/>
          <w:szCs w:val="24"/>
          <w:lang w:val="en-GB"/>
        </w:rPr>
        <w:t>Market stigma in using capital buffers due to restrictions on distributions (MDA) which have market signalling.</w:t>
      </w:r>
    </w:p>
    <w:p w14:paraId="0468D87A" w14:textId="77777777" w:rsidR="00515B62" w:rsidRPr="00515B62" w:rsidRDefault="00515B62" w:rsidP="00515B62">
      <w:pPr>
        <w:spacing w:after="120"/>
        <w:jc w:val="both"/>
        <w:rPr>
          <w:rFonts w:ascii="Times New Roman" w:hAnsi="Times New Roman" w:cs="Times New Roman"/>
          <w:bCs/>
          <w:noProof/>
          <w:sz w:val="24"/>
          <w:szCs w:val="24"/>
          <w:lang w:val="en-GB"/>
        </w:rPr>
      </w:pPr>
    </w:p>
    <w:p w14:paraId="717F8AE0" w14:textId="6A57D190" w:rsidR="00E835D4" w:rsidRPr="0036474B" w:rsidRDefault="00DD5EDA" w:rsidP="00022822">
      <w:pPr>
        <w:pStyle w:val="ListParagraph"/>
        <w:numPr>
          <w:ilvl w:val="0"/>
          <w:numId w:val="22"/>
        </w:numPr>
        <w:rPr>
          <w:rFonts w:ascii="Times New Roman" w:hAnsi="Times New Roman" w:cs="Times New Roman"/>
          <w:b/>
          <w:noProof/>
          <w:sz w:val="24"/>
          <w:szCs w:val="24"/>
          <w:lang w:val="en-GB"/>
        </w:rPr>
      </w:pPr>
      <w:r w:rsidRPr="0036474B">
        <w:rPr>
          <w:rFonts w:ascii="Times New Roman" w:hAnsi="Times New Roman" w:cs="Times New Roman"/>
          <w:b/>
          <w:noProof/>
          <w:sz w:val="24"/>
          <w:szCs w:val="24"/>
          <w:lang w:val="en-GB"/>
        </w:rPr>
        <w:t>Governance</w:t>
      </w:r>
    </w:p>
    <w:p w14:paraId="2125A861" w14:textId="11C50D56" w:rsidR="003455C2" w:rsidRPr="0036474B" w:rsidRDefault="00476C13" w:rsidP="00667E32">
      <w:pPr>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rPr>
        <w:t xml:space="preserve">Despite the </w:t>
      </w:r>
      <w:r w:rsidR="001752A8" w:rsidRPr="0036474B">
        <w:rPr>
          <w:rFonts w:ascii="Times New Roman" w:hAnsi="Times New Roman" w:cs="Times New Roman"/>
          <w:noProof/>
          <w:sz w:val="24"/>
          <w:szCs w:val="24"/>
          <w:lang w:val="en-GB"/>
        </w:rPr>
        <w:t>existence</w:t>
      </w:r>
      <w:r w:rsidRPr="0036474B">
        <w:rPr>
          <w:rFonts w:ascii="Times New Roman" w:hAnsi="Times New Roman" w:cs="Times New Roman"/>
          <w:noProof/>
          <w:sz w:val="24"/>
          <w:szCs w:val="24"/>
          <w:lang w:val="en-GB"/>
        </w:rPr>
        <w:t xml:space="preserve"> of coordination </w:t>
      </w:r>
      <w:r w:rsidR="000E5E2E" w:rsidRPr="0036474B">
        <w:rPr>
          <w:rFonts w:ascii="Times New Roman" w:hAnsi="Times New Roman" w:cs="Times New Roman"/>
          <w:noProof/>
          <w:sz w:val="24"/>
          <w:szCs w:val="24"/>
          <w:lang w:val="en-GB"/>
        </w:rPr>
        <w:t>arrangements</w:t>
      </w:r>
      <w:r w:rsidRPr="0036474B">
        <w:rPr>
          <w:rFonts w:ascii="Times New Roman" w:hAnsi="Times New Roman" w:cs="Times New Roman"/>
          <w:noProof/>
          <w:sz w:val="24"/>
          <w:szCs w:val="24"/>
          <w:lang w:val="en-GB"/>
        </w:rPr>
        <w:t xml:space="preserve"> between </w:t>
      </w:r>
      <w:r w:rsidR="000E5E2E" w:rsidRPr="0036474B">
        <w:rPr>
          <w:rFonts w:ascii="Times New Roman" w:hAnsi="Times New Roman" w:cs="Times New Roman"/>
          <w:noProof/>
          <w:sz w:val="24"/>
          <w:szCs w:val="24"/>
          <w:lang w:val="en-GB"/>
        </w:rPr>
        <w:t>certain</w:t>
      </w:r>
      <w:r w:rsidRPr="0036474B">
        <w:rPr>
          <w:rFonts w:ascii="Times New Roman" w:hAnsi="Times New Roman" w:cs="Times New Roman"/>
          <w:noProof/>
          <w:sz w:val="24"/>
          <w:szCs w:val="24"/>
          <w:lang w:val="en-GB"/>
        </w:rPr>
        <w:t xml:space="preserve"> authorities, bank requirements are currently set </w:t>
      </w:r>
      <w:r w:rsidR="00BA2C7E" w:rsidRPr="0036474B">
        <w:rPr>
          <w:rFonts w:ascii="Times New Roman" w:hAnsi="Times New Roman" w:cs="Times New Roman"/>
          <w:noProof/>
          <w:sz w:val="24"/>
          <w:szCs w:val="24"/>
          <w:lang w:val="en-GB"/>
        </w:rPr>
        <w:t>on a decentralised basis</w:t>
      </w:r>
      <w:r w:rsidRPr="0036474B">
        <w:rPr>
          <w:rFonts w:ascii="Times New Roman" w:hAnsi="Times New Roman" w:cs="Times New Roman"/>
          <w:noProof/>
          <w:sz w:val="24"/>
          <w:szCs w:val="24"/>
          <w:lang w:val="en-GB"/>
        </w:rPr>
        <w:t xml:space="preserve"> across the microprudential, macroprudential and resolution frameworks</w:t>
      </w:r>
      <w:r w:rsidR="003F4D96" w:rsidRPr="0036474B">
        <w:rPr>
          <w:rFonts w:ascii="Times New Roman" w:hAnsi="Times New Roman" w:cs="Times New Roman"/>
          <w:noProof/>
          <w:sz w:val="24"/>
          <w:szCs w:val="24"/>
          <w:lang w:val="en-GB"/>
        </w:rPr>
        <w:t>.</w:t>
      </w:r>
      <w:r w:rsidRPr="0036474B">
        <w:rPr>
          <w:rFonts w:ascii="Times New Roman" w:hAnsi="Times New Roman" w:cs="Times New Roman"/>
          <w:noProof/>
          <w:sz w:val="24"/>
          <w:szCs w:val="24"/>
          <w:lang w:val="en-GB"/>
        </w:rPr>
        <w:t xml:space="preserve"> The absence of a unified structure supporting a holistic view across the three frameworks </w:t>
      </w:r>
      <w:r w:rsidR="003455C2" w:rsidRPr="0036474B">
        <w:rPr>
          <w:rFonts w:ascii="Times New Roman" w:hAnsi="Times New Roman" w:cs="Times New Roman"/>
          <w:noProof/>
          <w:sz w:val="24"/>
          <w:szCs w:val="24"/>
          <w:lang w:val="en-GB"/>
        </w:rPr>
        <w:t xml:space="preserve">has resulted in </w:t>
      </w:r>
      <w:r w:rsidR="00924DC5" w:rsidRPr="0036474B">
        <w:rPr>
          <w:rFonts w:ascii="Times New Roman" w:hAnsi="Times New Roman" w:cs="Times New Roman"/>
          <w:noProof/>
          <w:sz w:val="24"/>
          <w:szCs w:val="24"/>
          <w:lang w:val="en-GB"/>
        </w:rPr>
        <w:t>overlaps and inconsistencies across</w:t>
      </w:r>
      <w:r w:rsidR="00AC2B0B">
        <w:rPr>
          <w:rFonts w:ascii="Times New Roman" w:hAnsi="Times New Roman" w:cs="Times New Roman"/>
          <w:noProof/>
          <w:sz w:val="24"/>
          <w:szCs w:val="24"/>
          <w:lang w:val="en-GB"/>
        </w:rPr>
        <w:t xml:space="preserve"> </w:t>
      </w:r>
      <w:r w:rsidR="003455C2" w:rsidRPr="0036474B">
        <w:rPr>
          <w:rFonts w:ascii="Times New Roman" w:hAnsi="Times New Roman" w:cs="Times New Roman"/>
          <w:noProof/>
          <w:sz w:val="24"/>
          <w:szCs w:val="24"/>
          <w:lang w:val="en-GB"/>
        </w:rPr>
        <w:t xml:space="preserve">banking requirements. </w:t>
      </w:r>
    </w:p>
    <w:p w14:paraId="6C11400E" w14:textId="48AD82CD" w:rsidR="006E41AA" w:rsidRPr="0036474B" w:rsidRDefault="006E41AA" w:rsidP="00667E32">
      <w:pPr>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rPr>
        <w:t>For instance, the output floor established under CRR3—designed to harmonise risk weights and minimise discrepancies across banks—overlaps with pre-existing mechanisms addressing similar risks, such as Pillar 2 requirements (P2R/P2G) and macroprudential instruments (e.g., risk-weight adjustments for specific exposures like real estate). Moreover, while P2G focuses on a firm’s ability to absorb stress and the countercyclical buffer targets system-wide cyclical risks, their combined application—both addressing cyclical vulnerabilities—risks resulting in duplicative risk coverage.</w:t>
      </w:r>
    </w:p>
    <w:p w14:paraId="06CD2CA3" w14:textId="1BB36ACE" w:rsidR="0006145C" w:rsidRPr="0036474B" w:rsidRDefault="00936956" w:rsidP="0006145C">
      <w:pPr>
        <w:jc w:val="both"/>
        <w:rPr>
          <w:rFonts w:ascii="Times New Roman" w:hAnsi="Times New Roman" w:cs="Times New Roman"/>
          <w:noProof/>
          <w:sz w:val="24"/>
          <w:szCs w:val="24"/>
          <w:u w:val="single"/>
        </w:rPr>
      </w:pPr>
      <w:r w:rsidRPr="0036474B">
        <w:rPr>
          <w:rFonts w:ascii="Times New Roman" w:hAnsi="Times New Roman" w:cs="Times New Roman"/>
          <w:noProof/>
          <w:sz w:val="24"/>
          <w:szCs w:val="24"/>
          <w:u w:val="single"/>
        </w:rPr>
        <w:t>Issues</w:t>
      </w:r>
      <w:r w:rsidR="0006145C" w:rsidRPr="0036474B">
        <w:rPr>
          <w:rFonts w:ascii="Times New Roman" w:hAnsi="Times New Roman" w:cs="Times New Roman"/>
          <w:noProof/>
          <w:sz w:val="24"/>
          <w:szCs w:val="24"/>
          <w:u w:val="single"/>
        </w:rPr>
        <w:t xml:space="preserve"> identified:</w:t>
      </w:r>
    </w:p>
    <w:p w14:paraId="6D377B1F" w14:textId="67729EB8" w:rsidR="00476C13" w:rsidRPr="0036474B" w:rsidRDefault="00AC180F" w:rsidP="006D2F15">
      <w:pPr>
        <w:pStyle w:val="ListParagraph"/>
        <w:numPr>
          <w:ilvl w:val="0"/>
          <w:numId w:val="14"/>
        </w:numPr>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rPr>
        <w:t xml:space="preserve">The </w:t>
      </w:r>
      <w:r w:rsidR="00B16DD7" w:rsidRPr="0036474B">
        <w:rPr>
          <w:rFonts w:ascii="Times New Roman" w:hAnsi="Times New Roman" w:cs="Times New Roman"/>
          <w:noProof/>
          <w:sz w:val="24"/>
          <w:szCs w:val="24"/>
          <w:lang w:val="en-GB"/>
        </w:rPr>
        <w:t>development</w:t>
      </w:r>
      <w:r w:rsidRPr="0036474B">
        <w:rPr>
          <w:rFonts w:ascii="Times New Roman" w:hAnsi="Times New Roman" w:cs="Times New Roman"/>
          <w:noProof/>
          <w:sz w:val="24"/>
          <w:szCs w:val="24"/>
          <w:lang w:val="en-GB"/>
        </w:rPr>
        <w:t xml:space="preserve"> of bank requirements in silos and in different sequences has </w:t>
      </w:r>
      <w:r w:rsidR="00343A17" w:rsidRPr="0036474B">
        <w:rPr>
          <w:rFonts w:ascii="Times New Roman" w:hAnsi="Times New Roman" w:cs="Times New Roman"/>
          <w:noProof/>
          <w:sz w:val="24"/>
          <w:szCs w:val="24"/>
          <w:lang w:val="en-GB"/>
        </w:rPr>
        <w:t>led to</w:t>
      </w:r>
      <w:r w:rsidRPr="0036474B">
        <w:rPr>
          <w:rFonts w:ascii="Times New Roman" w:hAnsi="Times New Roman" w:cs="Times New Roman"/>
          <w:noProof/>
          <w:sz w:val="24"/>
          <w:szCs w:val="24"/>
          <w:lang w:val="en-GB"/>
        </w:rPr>
        <w:t xml:space="preserve"> </w:t>
      </w:r>
      <w:r w:rsidR="00DC2DFF" w:rsidRPr="0036474B">
        <w:rPr>
          <w:rFonts w:ascii="Times New Roman" w:hAnsi="Times New Roman" w:cs="Times New Roman"/>
          <w:noProof/>
          <w:sz w:val="24"/>
          <w:szCs w:val="24"/>
          <w:lang w:val="en-GB"/>
        </w:rPr>
        <w:t xml:space="preserve">inconsistent, </w:t>
      </w:r>
      <w:r w:rsidRPr="0036474B">
        <w:rPr>
          <w:rFonts w:ascii="Times New Roman" w:hAnsi="Times New Roman" w:cs="Times New Roman"/>
          <w:noProof/>
          <w:sz w:val="24"/>
          <w:szCs w:val="24"/>
          <w:lang w:val="en-GB"/>
        </w:rPr>
        <w:t>duplicative or overlapping requirements which</w:t>
      </w:r>
      <w:r w:rsidR="0079338B" w:rsidRPr="0036474B">
        <w:rPr>
          <w:rFonts w:ascii="Times New Roman" w:hAnsi="Times New Roman" w:cs="Times New Roman"/>
          <w:noProof/>
          <w:sz w:val="24"/>
          <w:szCs w:val="24"/>
          <w:lang w:val="en-GB"/>
        </w:rPr>
        <w:t xml:space="preserve"> in certain cases</w:t>
      </w:r>
      <w:r w:rsidRPr="0036474B">
        <w:rPr>
          <w:rFonts w:ascii="Times New Roman" w:hAnsi="Times New Roman" w:cs="Times New Roman"/>
          <w:noProof/>
          <w:sz w:val="24"/>
          <w:szCs w:val="24"/>
          <w:lang w:val="en-GB"/>
        </w:rPr>
        <w:t xml:space="preserve"> address the same or similar risks.</w:t>
      </w:r>
      <w:r w:rsidR="003455C2" w:rsidRPr="0036474B">
        <w:rPr>
          <w:rFonts w:ascii="Times New Roman" w:hAnsi="Times New Roman" w:cs="Times New Roman"/>
          <w:noProof/>
          <w:sz w:val="24"/>
          <w:szCs w:val="24"/>
          <w:lang w:val="en-GB"/>
        </w:rPr>
        <w:t xml:space="preserve"> </w:t>
      </w:r>
    </w:p>
    <w:p w14:paraId="52D6A7C0" w14:textId="4EDCA36C" w:rsidR="00AC626B" w:rsidRDefault="00AC6D53" w:rsidP="002B6448">
      <w:pPr>
        <w:spacing w:after="120" w:line="264" w:lineRule="auto"/>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rPr>
        <w:t xml:space="preserve">Setting bank requirements </w:t>
      </w:r>
      <w:r w:rsidR="00D55BBC" w:rsidRPr="0036474B">
        <w:rPr>
          <w:rFonts w:ascii="Times New Roman" w:hAnsi="Times New Roman" w:cs="Times New Roman"/>
          <w:noProof/>
          <w:sz w:val="24"/>
          <w:szCs w:val="24"/>
          <w:lang w:val="en-GB"/>
        </w:rPr>
        <w:t>under</w:t>
      </w:r>
      <w:r w:rsidR="00D82417" w:rsidRPr="0036474B">
        <w:rPr>
          <w:rFonts w:ascii="Times New Roman" w:hAnsi="Times New Roman" w:cs="Times New Roman"/>
          <w:noProof/>
          <w:sz w:val="24"/>
          <w:szCs w:val="24"/>
          <w:lang w:val="en-GB"/>
        </w:rPr>
        <w:t xml:space="preserve"> </w:t>
      </w:r>
      <w:r w:rsidR="00E27A56" w:rsidRPr="0036474B">
        <w:rPr>
          <w:rFonts w:ascii="Times New Roman" w:hAnsi="Times New Roman" w:cs="Times New Roman"/>
          <w:noProof/>
          <w:sz w:val="24"/>
          <w:szCs w:val="24"/>
          <w:lang w:val="en-GB"/>
        </w:rPr>
        <w:t xml:space="preserve">a </w:t>
      </w:r>
      <w:r w:rsidR="00D82417" w:rsidRPr="0036474B">
        <w:rPr>
          <w:rFonts w:ascii="Times New Roman" w:hAnsi="Times New Roman" w:cs="Times New Roman"/>
          <w:noProof/>
          <w:sz w:val="24"/>
          <w:szCs w:val="24"/>
          <w:lang w:val="en-GB"/>
        </w:rPr>
        <w:t xml:space="preserve">stronger cooperation mechanism </w:t>
      </w:r>
      <w:r w:rsidRPr="0036474B">
        <w:rPr>
          <w:rFonts w:ascii="Times New Roman" w:hAnsi="Times New Roman" w:cs="Times New Roman"/>
          <w:noProof/>
          <w:sz w:val="24"/>
          <w:szCs w:val="24"/>
          <w:lang w:val="en-GB"/>
        </w:rPr>
        <w:t>across the</w:t>
      </w:r>
      <w:r w:rsidR="0017250B" w:rsidRPr="0036474B">
        <w:rPr>
          <w:rFonts w:ascii="Times New Roman" w:hAnsi="Times New Roman" w:cs="Times New Roman"/>
          <w:noProof/>
          <w:sz w:val="24"/>
          <w:szCs w:val="24"/>
          <w:lang w:val="en-GB"/>
        </w:rPr>
        <w:t xml:space="preserve"> three frameworks</w:t>
      </w:r>
      <w:r w:rsidR="000C6A6E" w:rsidRPr="0036474B">
        <w:rPr>
          <w:rFonts w:ascii="Times New Roman" w:hAnsi="Times New Roman" w:cs="Times New Roman"/>
          <w:noProof/>
          <w:sz w:val="24"/>
          <w:szCs w:val="24"/>
          <w:lang w:val="en-GB"/>
        </w:rPr>
        <w:t>, both</w:t>
      </w:r>
      <w:r w:rsidR="00376970" w:rsidRPr="0036474B">
        <w:rPr>
          <w:rFonts w:ascii="Times New Roman" w:hAnsi="Times New Roman" w:cs="Times New Roman"/>
          <w:noProof/>
          <w:sz w:val="24"/>
          <w:szCs w:val="24"/>
          <w:lang w:val="en-GB"/>
        </w:rPr>
        <w:t xml:space="preserve"> at bank level (to assess what is the appropriate level of capital for the individual bank) and at system level (to evaluate whether there is sufficient or excessive resilience in the system)</w:t>
      </w:r>
      <w:r w:rsidR="00D55BBC" w:rsidRPr="0036474B">
        <w:rPr>
          <w:rFonts w:ascii="Times New Roman" w:hAnsi="Times New Roman" w:cs="Times New Roman"/>
          <w:noProof/>
          <w:sz w:val="24"/>
          <w:szCs w:val="24"/>
          <w:lang w:val="en-GB"/>
        </w:rPr>
        <w:t xml:space="preserve"> can help address </w:t>
      </w:r>
      <w:r w:rsidR="0024162E" w:rsidRPr="0036474B">
        <w:rPr>
          <w:rFonts w:ascii="Times New Roman" w:hAnsi="Times New Roman" w:cs="Times New Roman"/>
          <w:noProof/>
          <w:sz w:val="24"/>
          <w:szCs w:val="24"/>
          <w:lang w:val="en-GB"/>
        </w:rPr>
        <w:t>these inconsistencies</w:t>
      </w:r>
      <w:r w:rsidR="000C6A6E" w:rsidRPr="0036474B">
        <w:rPr>
          <w:rFonts w:ascii="Times New Roman" w:hAnsi="Times New Roman" w:cs="Times New Roman"/>
          <w:noProof/>
          <w:sz w:val="24"/>
          <w:szCs w:val="24"/>
          <w:lang w:val="en-GB"/>
        </w:rPr>
        <w:t xml:space="preserve">. </w:t>
      </w:r>
      <w:r w:rsidR="0024162E" w:rsidRPr="0036474B">
        <w:rPr>
          <w:rFonts w:ascii="Times New Roman" w:hAnsi="Times New Roman" w:cs="Times New Roman"/>
          <w:noProof/>
          <w:sz w:val="24"/>
          <w:szCs w:val="24"/>
          <w:lang w:val="en-GB"/>
        </w:rPr>
        <w:t xml:space="preserve">However, </w:t>
      </w:r>
      <w:r w:rsidR="00BD48D5" w:rsidRPr="0036474B">
        <w:rPr>
          <w:rFonts w:ascii="Times New Roman" w:hAnsi="Times New Roman" w:cs="Times New Roman"/>
          <w:noProof/>
          <w:sz w:val="24"/>
          <w:szCs w:val="24"/>
          <w:lang w:val="en-GB"/>
        </w:rPr>
        <w:t>i</w:t>
      </w:r>
      <w:r w:rsidR="004D6862" w:rsidRPr="0036474B">
        <w:rPr>
          <w:rFonts w:ascii="Times New Roman" w:hAnsi="Times New Roman" w:cs="Times New Roman"/>
          <w:noProof/>
          <w:sz w:val="24"/>
          <w:szCs w:val="24"/>
          <w:lang w:val="en-GB"/>
        </w:rPr>
        <w:t xml:space="preserve">t </w:t>
      </w:r>
      <w:r w:rsidR="0024162E" w:rsidRPr="0036474B">
        <w:rPr>
          <w:rFonts w:ascii="Times New Roman" w:hAnsi="Times New Roman" w:cs="Times New Roman"/>
          <w:noProof/>
          <w:sz w:val="24"/>
          <w:szCs w:val="24"/>
          <w:lang w:val="en-GB"/>
        </w:rPr>
        <w:t>would have to</w:t>
      </w:r>
      <w:r w:rsidR="004D6862" w:rsidRPr="0036474B">
        <w:rPr>
          <w:rFonts w:ascii="Times New Roman" w:hAnsi="Times New Roman" w:cs="Times New Roman"/>
          <w:noProof/>
          <w:sz w:val="24"/>
          <w:szCs w:val="24"/>
          <w:lang w:val="en-GB"/>
        </w:rPr>
        <w:t xml:space="preserve"> consider</w:t>
      </w:r>
      <w:r w:rsidR="00B203B3" w:rsidRPr="0036474B">
        <w:rPr>
          <w:rFonts w:ascii="Times New Roman" w:hAnsi="Times New Roman" w:cs="Times New Roman"/>
          <w:noProof/>
          <w:sz w:val="24"/>
          <w:szCs w:val="24"/>
          <w:lang w:val="en-GB"/>
        </w:rPr>
        <w:t xml:space="preserve"> the perspectives and objectives of the </w:t>
      </w:r>
      <w:r w:rsidR="0044517E" w:rsidRPr="0036474B">
        <w:rPr>
          <w:rFonts w:ascii="Times New Roman" w:hAnsi="Times New Roman" w:cs="Times New Roman"/>
          <w:noProof/>
          <w:sz w:val="24"/>
          <w:szCs w:val="24"/>
          <w:lang w:val="en-GB"/>
        </w:rPr>
        <w:t>different authorities involved and take into account</w:t>
      </w:r>
      <w:r w:rsidR="004D6862" w:rsidRPr="0036474B">
        <w:rPr>
          <w:rFonts w:ascii="Times New Roman" w:hAnsi="Times New Roman" w:cs="Times New Roman"/>
          <w:noProof/>
          <w:sz w:val="24"/>
          <w:szCs w:val="24"/>
          <w:lang w:val="en-GB"/>
        </w:rPr>
        <w:t xml:space="preserve"> the split between Banking Union </w:t>
      </w:r>
      <w:r w:rsidR="0044517E" w:rsidRPr="0036474B">
        <w:rPr>
          <w:rFonts w:ascii="Times New Roman" w:hAnsi="Times New Roman" w:cs="Times New Roman"/>
          <w:noProof/>
          <w:sz w:val="24"/>
          <w:szCs w:val="24"/>
          <w:lang w:val="en-GB"/>
        </w:rPr>
        <w:t>and non-B</w:t>
      </w:r>
      <w:r w:rsidR="00C741CC" w:rsidRPr="0036474B">
        <w:rPr>
          <w:rFonts w:ascii="Times New Roman" w:hAnsi="Times New Roman" w:cs="Times New Roman"/>
          <w:noProof/>
          <w:sz w:val="24"/>
          <w:szCs w:val="24"/>
          <w:lang w:val="en-GB"/>
        </w:rPr>
        <w:t xml:space="preserve">anking </w:t>
      </w:r>
      <w:r w:rsidR="0044517E" w:rsidRPr="0036474B">
        <w:rPr>
          <w:rFonts w:ascii="Times New Roman" w:hAnsi="Times New Roman" w:cs="Times New Roman"/>
          <w:noProof/>
          <w:sz w:val="24"/>
          <w:szCs w:val="24"/>
          <w:lang w:val="en-GB"/>
        </w:rPr>
        <w:t>U</w:t>
      </w:r>
      <w:r w:rsidR="00C741CC" w:rsidRPr="0036474B">
        <w:rPr>
          <w:rFonts w:ascii="Times New Roman" w:hAnsi="Times New Roman" w:cs="Times New Roman"/>
          <w:noProof/>
          <w:sz w:val="24"/>
          <w:szCs w:val="24"/>
          <w:lang w:val="en-GB"/>
        </w:rPr>
        <w:t>nion</w:t>
      </w:r>
      <w:r w:rsidR="0044517E" w:rsidRPr="0036474B">
        <w:rPr>
          <w:rFonts w:ascii="Times New Roman" w:hAnsi="Times New Roman" w:cs="Times New Roman"/>
          <w:noProof/>
          <w:sz w:val="24"/>
          <w:szCs w:val="24"/>
          <w:lang w:val="en-GB"/>
        </w:rPr>
        <w:t xml:space="preserve"> </w:t>
      </w:r>
      <w:r w:rsidR="00580ABA" w:rsidRPr="0036474B">
        <w:rPr>
          <w:rFonts w:ascii="Times New Roman" w:hAnsi="Times New Roman" w:cs="Times New Roman"/>
          <w:noProof/>
          <w:sz w:val="24"/>
          <w:szCs w:val="24"/>
          <w:lang w:val="en-GB"/>
        </w:rPr>
        <w:t>members</w:t>
      </w:r>
      <w:r w:rsidR="0044517E" w:rsidRPr="0036474B">
        <w:rPr>
          <w:rFonts w:ascii="Times New Roman" w:hAnsi="Times New Roman" w:cs="Times New Roman"/>
          <w:noProof/>
          <w:sz w:val="24"/>
          <w:szCs w:val="24"/>
          <w:lang w:val="en-GB"/>
        </w:rPr>
        <w:t>.</w:t>
      </w:r>
      <w:r w:rsidR="006E3AD2" w:rsidRPr="0036474B">
        <w:rPr>
          <w:rFonts w:ascii="Times New Roman" w:hAnsi="Times New Roman" w:cs="Times New Roman"/>
          <w:noProof/>
          <w:sz w:val="24"/>
          <w:szCs w:val="24"/>
          <w:lang w:val="en-GB"/>
        </w:rPr>
        <w:t xml:space="preserve"> </w:t>
      </w:r>
      <w:r w:rsidR="0044517E" w:rsidRPr="0036474B">
        <w:rPr>
          <w:rFonts w:ascii="Times New Roman" w:hAnsi="Times New Roman" w:cs="Times New Roman"/>
          <w:noProof/>
          <w:sz w:val="24"/>
          <w:szCs w:val="24"/>
          <w:lang w:val="en-GB"/>
        </w:rPr>
        <w:t>A more holistic approach</w:t>
      </w:r>
      <w:r w:rsidR="006E3AD2" w:rsidRPr="0036474B">
        <w:rPr>
          <w:rFonts w:ascii="Times New Roman" w:hAnsi="Times New Roman" w:cs="Times New Roman"/>
          <w:noProof/>
          <w:sz w:val="24"/>
          <w:szCs w:val="24"/>
          <w:lang w:val="en-GB"/>
        </w:rPr>
        <w:t xml:space="preserve"> </w:t>
      </w:r>
      <w:r w:rsidR="009B38DA" w:rsidRPr="0036474B">
        <w:rPr>
          <w:rFonts w:ascii="Times New Roman" w:hAnsi="Times New Roman" w:cs="Times New Roman"/>
          <w:noProof/>
          <w:sz w:val="24"/>
          <w:szCs w:val="24"/>
          <w:lang w:val="en-GB"/>
        </w:rPr>
        <w:t>w</w:t>
      </w:r>
      <w:r w:rsidR="006E3AD2" w:rsidRPr="0036474B">
        <w:rPr>
          <w:rFonts w:ascii="Times New Roman" w:hAnsi="Times New Roman" w:cs="Times New Roman"/>
          <w:noProof/>
          <w:sz w:val="24"/>
          <w:szCs w:val="24"/>
          <w:lang w:val="en-GB"/>
        </w:rPr>
        <w:t xml:space="preserve">ould </w:t>
      </w:r>
      <w:r w:rsidR="0044517E" w:rsidRPr="0036474B">
        <w:rPr>
          <w:rFonts w:ascii="Times New Roman" w:hAnsi="Times New Roman" w:cs="Times New Roman"/>
          <w:noProof/>
          <w:sz w:val="24"/>
          <w:szCs w:val="24"/>
          <w:lang w:val="en-GB"/>
        </w:rPr>
        <w:t xml:space="preserve">also </w:t>
      </w:r>
      <w:r w:rsidR="009B38DA" w:rsidRPr="0036474B">
        <w:rPr>
          <w:rFonts w:ascii="Times New Roman" w:hAnsi="Times New Roman" w:cs="Times New Roman"/>
          <w:noProof/>
          <w:sz w:val="24"/>
          <w:szCs w:val="24"/>
          <w:lang w:val="en-GB"/>
        </w:rPr>
        <w:t xml:space="preserve">have to </w:t>
      </w:r>
      <w:r w:rsidR="00B64BE4" w:rsidRPr="0036474B">
        <w:rPr>
          <w:rFonts w:ascii="Times New Roman" w:hAnsi="Times New Roman" w:cs="Times New Roman"/>
          <w:noProof/>
          <w:sz w:val="24"/>
          <w:szCs w:val="24"/>
          <w:lang w:val="en-GB"/>
        </w:rPr>
        <w:t>consider whether powers to cap or limit the requirements</w:t>
      </w:r>
      <w:r w:rsidR="00B0637B" w:rsidRPr="0036474B">
        <w:rPr>
          <w:rFonts w:ascii="Times New Roman" w:hAnsi="Times New Roman" w:cs="Times New Roman"/>
          <w:noProof/>
          <w:sz w:val="24"/>
          <w:szCs w:val="24"/>
          <w:lang w:val="en-GB"/>
        </w:rPr>
        <w:t xml:space="preserve"> would be necessary.</w:t>
      </w:r>
    </w:p>
    <w:p w14:paraId="3329B132" w14:textId="77777777" w:rsidR="00AC2B0B" w:rsidRPr="0036474B" w:rsidRDefault="00AC2B0B" w:rsidP="002B6448">
      <w:pPr>
        <w:spacing w:after="120" w:line="264" w:lineRule="auto"/>
        <w:jc w:val="both"/>
        <w:rPr>
          <w:rFonts w:ascii="Times New Roman" w:hAnsi="Times New Roman" w:cs="Times New Roman"/>
          <w:noProof/>
          <w:sz w:val="24"/>
          <w:szCs w:val="24"/>
          <w:lang w:val="en-GB"/>
        </w:rPr>
      </w:pPr>
    </w:p>
    <w:p w14:paraId="069E935F" w14:textId="3F5CC87A" w:rsidR="005E45BB" w:rsidRPr="0036474B" w:rsidRDefault="005E45BB" w:rsidP="00B00C18">
      <w:pPr>
        <w:pStyle w:val="ListParagraph"/>
        <w:numPr>
          <w:ilvl w:val="2"/>
          <w:numId w:val="11"/>
        </w:numPr>
        <w:ind w:left="1276"/>
        <w:outlineLvl w:val="2"/>
        <w:rPr>
          <w:rFonts w:ascii="Times New Roman" w:hAnsi="Times New Roman" w:cs="Times New Roman"/>
          <w:b/>
          <w:bCs/>
          <w:noProof/>
          <w:sz w:val="24"/>
          <w:szCs w:val="24"/>
          <w:lang w:val="en-GB"/>
        </w:rPr>
      </w:pPr>
      <w:bookmarkStart w:id="52" w:name="_Toc234341749"/>
      <w:r w:rsidRPr="00B9CD08">
        <w:rPr>
          <w:rFonts w:ascii="Times New Roman" w:hAnsi="Times New Roman" w:cs="Times New Roman"/>
          <w:b/>
          <w:bCs/>
          <w:noProof/>
          <w:sz w:val="24"/>
          <w:szCs w:val="24"/>
          <w:lang w:val="en-GB"/>
        </w:rPr>
        <w:t>Proportionality</w:t>
      </w:r>
      <w:bookmarkEnd w:id="52"/>
    </w:p>
    <w:p w14:paraId="45B96106" w14:textId="2A5433CD" w:rsidR="00C771A6" w:rsidRPr="0036474B" w:rsidRDefault="00EF27BC" w:rsidP="002D25C2">
      <w:pPr>
        <w:spacing w:after="120"/>
        <w:jc w:val="both"/>
        <w:rPr>
          <w:rFonts w:ascii="Times New Roman" w:hAnsi="Times New Roman" w:cs="Times New Roman"/>
          <w:noProof/>
          <w:sz w:val="24"/>
          <w:szCs w:val="24"/>
        </w:rPr>
      </w:pPr>
      <w:r>
        <w:rPr>
          <w:rFonts w:ascii="Times New Roman" w:hAnsi="Times New Roman" w:cs="Times New Roman"/>
          <w:noProof/>
          <w:sz w:val="24"/>
          <w:szCs w:val="24"/>
        </w:rPr>
        <w:t>In accordance with the principle of p</w:t>
      </w:r>
      <w:r w:rsidR="79E93E24" w:rsidRPr="5EDC324D">
        <w:rPr>
          <w:rFonts w:ascii="Times New Roman" w:hAnsi="Times New Roman" w:cs="Times New Roman"/>
          <w:noProof/>
          <w:sz w:val="24"/>
          <w:szCs w:val="24"/>
        </w:rPr>
        <w:t>roportionality</w:t>
      </w:r>
      <w:r>
        <w:rPr>
          <w:rFonts w:ascii="Times New Roman" w:hAnsi="Times New Roman" w:cs="Times New Roman"/>
          <w:noProof/>
          <w:sz w:val="24"/>
          <w:szCs w:val="24"/>
        </w:rPr>
        <w:t>,</w:t>
      </w:r>
      <w:r w:rsidR="79E93E24" w:rsidRPr="5EDC324D">
        <w:rPr>
          <w:rFonts w:ascii="Times New Roman" w:hAnsi="Times New Roman" w:cs="Times New Roman"/>
          <w:noProof/>
          <w:sz w:val="24"/>
          <w:szCs w:val="24"/>
        </w:rPr>
        <w:t xml:space="preserve"> in the banking framework </w:t>
      </w:r>
      <w:r>
        <w:rPr>
          <w:rFonts w:ascii="Times New Roman" w:hAnsi="Times New Roman" w:cs="Times New Roman"/>
          <w:noProof/>
          <w:sz w:val="24"/>
          <w:szCs w:val="24"/>
        </w:rPr>
        <w:t xml:space="preserve">the </w:t>
      </w:r>
      <w:r w:rsidR="79E93E24" w:rsidRPr="5EDC324D">
        <w:rPr>
          <w:rFonts w:ascii="Times New Roman" w:hAnsi="Times New Roman" w:cs="Times New Roman"/>
          <w:noProof/>
          <w:sz w:val="24"/>
          <w:szCs w:val="24"/>
        </w:rPr>
        <w:t xml:space="preserve">regulatory, supervisory and resolution requirements should be commensurate with the risks posed by an institution, ensuring financial stability and depositor protection without imposing obligations that go beyond what is necessary to </w:t>
      </w:r>
      <w:r>
        <w:rPr>
          <w:rFonts w:ascii="Times New Roman" w:hAnsi="Times New Roman" w:cs="Times New Roman"/>
          <w:noProof/>
          <w:sz w:val="24"/>
          <w:szCs w:val="24"/>
        </w:rPr>
        <w:t xml:space="preserve">adequately </w:t>
      </w:r>
      <w:r w:rsidR="79E93E24" w:rsidRPr="5EDC324D">
        <w:rPr>
          <w:rFonts w:ascii="Times New Roman" w:hAnsi="Times New Roman" w:cs="Times New Roman"/>
          <w:noProof/>
          <w:sz w:val="24"/>
          <w:szCs w:val="24"/>
        </w:rPr>
        <w:t>achieve those objectives.</w:t>
      </w:r>
    </w:p>
    <w:p w14:paraId="42984AE6" w14:textId="53C91D6D" w:rsidR="006631EF" w:rsidRDefault="00ED1687" w:rsidP="0FE6B915">
      <w:pPr>
        <w:spacing w:after="120"/>
        <w:jc w:val="both"/>
        <w:rPr>
          <w:rFonts w:ascii="Times New Roman" w:hAnsi="Times New Roman" w:cs="Times New Roman"/>
          <w:noProof/>
          <w:sz w:val="24"/>
          <w:szCs w:val="24"/>
        </w:rPr>
      </w:pPr>
      <w:r w:rsidRPr="0FE6B915">
        <w:rPr>
          <w:rFonts w:ascii="Times New Roman" w:hAnsi="Times New Roman" w:cs="Times New Roman"/>
          <w:noProof/>
          <w:sz w:val="24"/>
          <w:szCs w:val="24"/>
        </w:rPr>
        <w:t xml:space="preserve">Proportionality is </w:t>
      </w:r>
      <w:r>
        <w:rPr>
          <w:rFonts w:ascii="Times New Roman" w:hAnsi="Times New Roman" w:cs="Times New Roman"/>
          <w:noProof/>
          <w:sz w:val="24"/>
          <w:szCs w:val="24"/>
        </w:rPr>
        <w:t xml:space="preserve">ensured </w:t>
      </w:r>
      <w:r w:rsidRPr="0FE6B915">
        <w:rPr>
          <w:rFonts w:ascii="Times New Roman" w:hAnsi="Times New Roman" w:cs="Times New Roman"/>
          <w:noProof/>
          <w:sz w:val="24"/>
          <w:szCs w:val="24"/>
        </w:rPr>
        <w:t>differently in various parts of the framework</w:t>
      </w:r>
      <w:r w:rsidR="00113A19" w:rsidRPr="0FE6B915">
        <w:rPr>
          <w:rFonts w:ascii="Times New Roman" w:hAnsi="Times New Roman" w:cs="Times New Roman"/>
          <w:noProof/>
          <w:sz w:val="24"/>
          <w:szCs w:val="24"/>
        </w:rPr>
        <w:t xml:space="preserve">, with </w:t>
      </w:r>
      <w:r w:rsidR="005D7C97" w:rsidRPr="1B941BF8">
        <w:rPr>
          <w:rFonts w:ascii="Times New Roman" w:hAnsi="Times New Roman" w:cs="Times New Roman"/>
          <w:noProof/>
          <w:sz w:val="24"/>
          <w:szCs w:val="24"/>
        </w:rPr>
        <w:t>independent</w:t>
      </w:r>
      <w:r w:rsidR="2882FFA7" w:rsidRPr="1B941BF8">
        <w:rPr>
          <w:rFonts w:ascii="Times New Roman" w:hAnsi="Times New Roman" w:cs="Times New Roman"/>
          <w:noProof/>
          <w:sz w:val="24"/>
          <w:szCs w:val="24"/>
        </w:rPr>
        <w:t xml:space="preserve"> </w:t>
      </w:r>
      <w:r w:rsidR="3D7BA2FD" w:rsidRPr="1B941BF8">
        <w:rPr>
          <w:rFonts w:ascii="Times New Roman" w:hAnsi="Times New Roman" w:cs="Times New Roman"/>
          <w:noProof/>
          <w:sz w:val="24"/>
          <w:szCs w:val="24"/>
        </w:rPr>
        <w:t>m</w:t>
      </w:r>
      <w:r w:rsidR="003F5399" w:rsidRPr="1B941BF8">
        <w:rPr>
          <w:rFonts w:ascii="Times New Roman" w:hAnsi="Times New Roman" w:cs="Times New Roman"/>
          <w:noProof/>
          <w:sz w:val="24"/>
          <w:szCs w:val="24"/>
        </w:rPr>
        <w:t>icroprudential</w:t>
      </w:r>
      <w:r w:rsidR="29C2BB7A" w:rsidRPr="0FE6B915">
        <w:rPr>
          <w:rFonts w:ascii="Times New Roman" w:hAnsi="Times New Roman" w:cs="Times New Roman"/>
          <w:noProof/>
          <w:sz w:val="24"/>
          <w:szCs w:val="24"/>
        </w:rPr>
        <w:t>, macroprudential and resolution</w:t>
      </w:r>
      <w:r w:rsidR="003F5399" w:rsidRPr="0FE6B915">
        <w:rPr>
          <w:rFonts w:ascii="Times New Roman" w:hAnsi="Times New Roman" w:cs="Times New Roman"/>
          <w:noProof/>
          <w:sz w:val="24"/>
          <w:szCs w:val="24"/>
        </w:rPr>
        <w:t xml:space="preserve"> rules</w:t>
      </w:r>
      <w:r w:rsidR="4C2A79F9" w:rsidRPr="0FE6B915">
        <w:rPr>
          <w:rFonts w:ascii="Times New Roman" w:hAnsi="Times New Roman" w:cs="Times New Roman"/>
          <w:noProof/>
          <w:sz w:val="24"/>
          <w:szCs w:val="24"/>
        </w:rPr>
        <w:t>.</w:t>
      </w:r>
      <w:r w:rsidR="003F5399" w:rsidRPr="0FE6B915">
        <w:rPr>
          <w:rFonts w:ascii="Times New Roman" w:hAnsi="Times New Roman" w:cs="Times New Roman"/>
          <w:noProof/>
          <w:sz w:val="24"/>
          <w:szCs w:val="24"/>
        </w:rPr>
        <w:t xml:space="preserve"> </w:t>
      </w:r>
    </w:p>
    <w:p w14:paraId="598122A9" w14:textId="59979D84" w:rsidR="006631EF" w:rsidRDefault="00EF27BC" w:rsidP="006631EF">
      <w:pPr>
        <w:spacing w:after="120"/>
        <w:jc w:val="both"/>
        <w:rPr>
          <w:rFonts w:ascii="Times New Roman" w:hAnsi="Times New Roman" w:cs="Times New Roman"/>
          <w:noProof/>
          <w:sz w:val="24"/>
          <w:szCs w:val="24"/>
        </w:rPr>
      </w:pPr>
      <w:r>
        <w:rPr>
          <w:rFonts w:ascii="Times New Roman" w:hAnsi="Times New Roman" w:cs="Times New Roman"/>
          <w:noProof/>
          <w:sz w:val="24"/>
          <w:szCs w:val="24"/>
        </w:rPr>
        <w:t>In the</w:t>
      </w:r>
      <w:r w:rsidR="006631EF" w:rsidRPr="0FE6B915">
        <w:rPr>
          <w:rFonts w:ascii="Times New Roman" w:hAnsi="Times New Roman" w:cs="Times New Roman"/>
          <w:noProof/>
          <w:sz w:val="24"/>
          <w:szCs w:val="24"/>
        </w:rPr>
        <w:t xml:space="preserve"> current prudential framework</w:t>
      </w:r>
      <w:r>
        <w:rPr>
          <w:rFonts w:ascii="Times New Roman" w:hAnsi="Times New Roman" w:cs="Times New Roman"/>
          <w:noProof/>
          <w:sz w:val="24"/>
          <w:szCs w:val="24"/>
        </w:rPr>
        <w:t>,</w:t>
      </w:r>
      <w:r w:rsidR="006631EF" w:rsidRPr="0FE6B915">
        <w:rPr>
          <w:rFonts w:ascii="Times New Roman" w:hAnsi="Times New Roman" w:cs="Times New Roman"/>
          <w:noProof/>
          <w:sz w:val="24"/>
          <w:szCs w:val="24"/>
        </w:rPr>
        <w:t xml:space="preserve"> smaller and less complex banks face a regulatory and supervisory burden that is often not adequately aligned with their risk profile</w:t>
      </w:r>
      <w:r w:rsidR="43239B10" w:rsidRPr="67AF9FB2">
        <w:rPr>
          <w:rFonts w:ascii="Times New Roman" w:hAnsi="Times New Roman" w:cs="Times New Roman"/>
          <w:noProof/>
          <w:sz w:val="24"/>
          <w:szCs w:val="24"/>
        </w:rPr>
        <w:t xml:space="preserve"> and</w:t>
      </w:r>
      <w:r w:rsidR="006631EF" w:rsidRPr="0FE6B915">
        <w:rPr>
          <w:rFonts w:ascii="Times New Roman" w:hAnsi="Times New Roman" w:cs="Times New Roman"/>
          <w:noProof/>
          <w:sz w:val="24"/>
          <w:szCs w:val="24"/>
        </w:rPr>
        <w:t xml:space="preserve"> scale. This affects their ability to compete, innovate, and continue providing financing to households and businesses, especially at </w:t>
      </w:r>
      <w:r w:rsidR="423294D1" w:rsidRPr="34806842">
        <w:rPr>
          <w:rFonts w:ascii="Times New Roman" w:hAnsi="Times New Roman" w:cs="Times New Roman"/>
          <w:noProof/>
          <w:sz w:val="24"/>
          <w:szCs w:val="24"/>
        </w:rPr>
        <w:t xml:space="preserve">a more </w:t>
      </w:r>
      <w:r w:rsidR="006631EF" w:rsidRPr="0FE6B915">
        <w:rPr>
          <w:rFonts w:ascii="Times New Roman" w:hAnsi="Times New Roman" w:cs="Times New Roman"/>
          <w:noProof/>
          <w:sz w:val="24"/>
          <w:szCs w:val="24"/>
        </w:rPr>
        <w:t xml:space="preserve">local level. Feedback from the public consultation confirms this concern, with 81% of respondents considering that the current framework does not sufficiently respect proportionality for smaller </w:t>
      </w:r>
      <w:r w:rsidR="007999BE" w:rsidRPr="34806842">
        <w:rPr>
          <w:rFonts w:ascii="Times New Roman" w:hAnsi="Times New Roman" w:cs="Times New Roman"/>
          <w:noProof/>
          <w:sz w:val="24"/>
          <w:szCs w:val="24"/>
        </w:rPr>
        <w:t xml:space="preserve">and less complex </w:t>
      </w:r>
      <w:r w:rsidR="006631EF" w:rsidRPr="0FE6B915">
        <w:rPr>
          <w:rFonts w:ascii="Times New Roman" w:hAnsi="Times New Roman" w:cs="Times New Roman"/>
          <w:noProof/>
          <w:sz w:val="24"/>
          <w:szCs w:val="24"/>
        </w:rPr>
        <w:t>institutions.</w:t>
      </w:r>
    </w:p>
    <w:p w14:paraId="2B319A56" w14:textId="63DF609B" w:rsidR="00F14EE6" w:rsidRDefault="7A4C45A6" w:rsidP="0FE6B915">
      <w:pPr>
        <w:spacing w:after="120"/>
        <w:jc w:val="both"/>
        <w:rPr>
          <w:rFonts w:ascii="Times New Roman" w:hAnsi="Times New Roman" w:cs="Times New Roman"/>
          <w:noProof/>
          <w:sz w:val="24"/>
          <w:szCs w:val="24"/>
        </w:rPr>
      </w:pPr>
      <w:r w:rsidRPr="0FE6B915">
        <w:rPr>
          <w:rFonts w:ascii="Times New Roman" w:hAnsi="Times New Roman" w:cs="Times New Roman"/>
          <w:noProof/>
          <w:sz w:val="24"/>
          <w:szCs w:val="24"/>
        </w:rPr>
        <w:t>In the crisi</w:t>
      </w:r>
      <w:r w:rsidR="00361128">
        <w:rPr>
          <w:rFonts w:ascii="Times New Roman" w:hAnsi="Times New Roman" w:cs="Times New Roman"/>
          <w:noProof/>
          <w:sz w:val="24"/>
          <w:szCs w:val="24"/>
        </w:rPr>
        <w:t>s</w:t>
      </w:r>
      <w:r w:rsidRPr="0FE6B915">
        <w:rPr>
          <w:rFonts w:ascii="Times New Roman" w:hAnsi="Times New Roman" w:cs="Times New Roman"/>
          <w:noProof/>
          <w:sz w:val="24"/>
          <w:szCs w:val="24"/>
        </w:rPr>
        <w:t xml:space="preserve"> management framework, the simplified obligations (SO) regime under Article 4 BRRD </w:t>
      </w:r>
      <w:r w:rsidR="509A1199" w:rsidRPr="34806842">
        <w:rPr>
          <w:rFonts w:ascii="Times New Roman" w:hAnsi="Times New Roman" w:cs="Times New Roman"/>
          <w:noProof/>
          <w:sz w:val="24"/>
          <w:szCs w:val="24"/>
        </w:rPr>
        <w:t xml:space="preserve">only </w:t>
      </w:r>
      <w:r w:rsidRPr="0FE6B915">
        <w:rPr>
          <w:rFonts w:ascii="Times New Roman" w:hAnsi="Times New Roman" w:cs="Times New Roman"/>
          <w:noProof/>
          <w:sz w:val="24"/>
          <w:szCs w:val="24"/>
        </w:rPr>
        <w:t>provides</w:t>
      </w:r>
      <w:r w:rsidR="77165F48" w:rsidRPr="34806842">
        <w:rPr>
          <w:rFonts w:ascii="Times New Roman" w:hAnsi="Times New Roman" w:cs="Times New Roman"/>
          <w:noProof/>
          <w:sz w:val="24"/>
          <w:szCs w:val="24"/>
        </w:rPr>
        <w:t xml:space="preserve"> </w:t>
      </w:r>
      <w:r w:rsidR="4E05827B" w:rsidRPr="34806842">
        <w:rPr>
          <w:rFonts w:ascii="Times New Roman" w:hAnsi="Times New Roman" w:cs="Times New Roman"/>
          <w:noProof/>
          <w:sz w:val="24"/>
          <w:szCs w:val="24"/>
        </w:rPr>
        <w:t>some</w:t>
      </w:r>
      <w:r w:rsidRPr="0FE6B915">
        <w:rPr>
          <w:rFonts w:ascii="Times New Roman" w:hAnsi="Times New Roman" w:cs="Times New Roman"/>
          <w:noProof/>
          <w:sz w:val="24"/>
          <w:szCs w:val="24"/>
        </w:rPr>
        <w:t xml:space="preserve"> additional relief: in the Banking Union, 97% of those LSIs with a liquidation strategy benefit from simplified obligations, which reduce the frequency and content of resolution plan updates, reporting requirements and resolvability assessments. </w:t>
      </w:r>
    </w:p>
    <w:p w14:paraId="623141E9" w14:textId="4D67F501" w:rsidR="006631EF" w:rsidRPr="0036474B" w:rsidRDefault="00ED3021" w:rsidP="0FE6B915">
      <w:pPr>
        <w:spacing w:after="120"/>
        <w:jc w:val="both"/>
        <w:rPr>
          <w:rFonts w:ascii="Times New Roman" w:hAnsi="Times New Roman" w:cs="Times New Roman"/>
          <w:noProof/>
          <w:sz w:val="24"/>
          <w:szCs w:val="24"/>
        </w:rPr>
      </w:pPr>
      <w:r>
        <w:rPr>
          <w:rFonts w:ascii="Times New Roman" w:hAnsi="Times New Roman" w:cs="Times New Roman"/>
          <w:noProof/>
          <w:sz w:val="24"/>
          <w:szCs w:val="24"/>
        </w:rPr>
        <w:t>Currently, the SNCI framework in CRR ensure</w:t>
      </w:r>
      <w:r w:rsidR="001D0B87">
        <w:rPr>
          <w:rFonts w:ascii="Times New Roman" w:hAnsi="Times New Roman" w:cs="Times New Roman"/>
          <w:noProof/>
          <w:sz w:val="24"/>
          <w:szCs w:val="24"/>
        </w:rPr>
        <w:t>s</w:t>
      </w:r>
      <w:r>
        <w:rPr>
          <w:rFonts w:ascii="Times New Roman" w:hAnsi="Times New Roman" w:cs="Times New Roman"/>
          <w:noProof/>
          <w:sz w:val="24"/>
          <w:szCs w:val="24"/>
        </w:rPr>
        <w:t xml:space="preserve"> that banks which are “large”</w:t>
      </w:r>
      <w:r w:rsidR="00A20E4D">
        <w:rPr>
          <w:rFonts w:ascii="Times New Roman" w:hAnsi="Times New Roman" w:cs="Times New Roman"/>
          <w:noProof/>
          <w:sz w:val="24"/>
          <w:szCs w:val="24"/>
        </w:rPr>
        <w:t>,</w:t>
      </w:r>
      <w:r>
        <w:rPr>
          <w:rFonts w:ascii="Times New Roman" w:hAnsi="Times New Roman" w:cs="Times New Roman"/>
          <w:noProof/>
          <w:sz w:val="24"/>
          <w:szCs w:val="24"/>
        </w:rPr>
        <w:t xml:space="preserve"> including SIs </w:t>
      </w:r>
      <w:r w:rsidR="00566411">
        <w:rPr>
          <w:rFonts w:ascii="Times New Roman" w:hAnsi="Times New Roman" w:cs="Times New Roman"/>
          <w:noProof/>
          <w:sz w:val="24"/>
          <w:szCs w:val="24"/>
        </w:rPr>
        <w:t>(</w:t>
      </w:r>
      <w:r w:rsidR="00840878">
        <w:rPr>
          <w:rFonts w:ascii="Times New Roman" w:hAnsi="Times New Roman" w:cs="Times New Roman"/>
          <w:noProof/>
          <w:sz w:val="24"/>
          <w:szCs w:val="24"/>
        </w:rPr>
        <w:t>for supervisory purposes</w:t>
      </w:r>
      <w:r w:rsidR="00867817">
        <w:rPr>
          <w:rFonts w:ascii="Times New Roman" w:hAnsi="Times New Roman" w:cs="Times New Roman"/>
          <w:noProof/>
          <w:sz w:val="24"/>
          <w:szCs w:val="24"/>
        </w:rPr>
        <w:t xml:space="preserve">) </w:t>
      </w:r>
      <w:r>
        <w:rPr>
          <w:rFonts w:ascii="Times New Roman" w:hAnsi="Times New Roman" w:cs="Times New Roman"/>
          <w:noProof/>
          <w:sz w:val="24"/>
          <w:szCs w:val="24"/>
        </w:rPr>
        <w:t xml:space="preserve">and O-SIIs </w:t>
      </w:r>
      <w:r w:rsidR="169F5A81" w:rsidRPr="100F771C">
        <w:rPr>
          <w:rFonts w:ascii="Times New Roman" w:hAnsi="Times New Roman" w:cs="Times New Roman"/>
          <w:noProof/>
          <w:sz w:val="24"/>
          <w:szCs w:val="24"/>
        </w:rPr>
        <w:t>(for macroprudential purposes)</w:t>
      </w:r>
      <w:r w:rsidR="169F5A81" w:rsidRPr="5B23D3CD">
        <w:rPr>
          <w:rFonts w:ascii="Times New Roman" w:hAnsi="Times New Roman" w:cs="Times New Roman"/>
          <w:noProof/>
          <w:sz w:val="24"/>
          <w:szCs w:val="24"/>
        </w:rPr>
        <w:t xml:space="preserve"> </w:t>
      </w:r>
      <w:r>
        <w:rPr>
          <w:rFonts w:ascii="Times New Roman" w:hAnsi="Times New Roman" w:cs="Times New Roman"/>
          <w:noProof/>
          <w:sz w:val="24"/>
          <w:szCs w:val="24"/>
        </w:rPr>
        <w:t xml:space="preserve">cannot be designated as SNCI. </w:t>
      </w:r>
      <w:r w:rsidR="4D64BC71" w:rsidRPr="4F816DFD">
        <w:rPr>
          <w:rFonts w:ascii="Times New Roman" w:hAnsi="Times New Roman" w:cs="Times New Roman"/>
          <w:noProof/>
          <w:sz w:val="24"/>
          <w:szCs w:val="24"/>
        </w:rPr>
        <w:t>An</w:t>
      </w:r>
      <w:r w:rsidR="001D0B87">
        <w:rPr>
          <w:rFonts w:ascii="Times New Roman" w:hAnsi="Times New Roman" w:cs="Times New Roman"/>
          <w:noProof/>
          <w:sz w:val="24"/>
          <w:szCs w:val="24"/>
        </w:rPr>
        <w:t xml:space="preserve"> </w:t>
      </w:r>
      <w:r w:rsidR="4D64BC71" w:rsidRPr="6A097A92">
        <w:rPr>
          <w:rFonts w:ascii="Times New Roman" w:hAnsi="Times New Roman" w:cs="Times New Roman"/>
          <w:noProof/>
          <w:sz w:val="24"/>
          <w:szCs w:val="24"/>
        </w:rPr>
        <w:t>O-SII</w:t>
      </w:r>
      <w:r w:rsidR="001D0B87" w:rsidRPr="6A097A92">
        <w:rPr>
          <w:rFonts w:ascii="Times New Roman" w:hAnsi="Times New Roman" w:cs="Times New Roman"/>
          <w:noProof/>
          <w:sz w:val="24"/>
          <w:szCs w:val="24"/>
        </w:rPr>
        <w:t xml:space="preserve"> </w:t>
      </w:r>
      <w:r w:rsidR="001D0B87">
        <w:rPr>
          <w:rFonts w:ascii="Times New Roman" w:hAnsi="Times New Roman" w:cs="Times New Roman"/>
          <w:noProof/>
          <w:sz w:val="24"/>
          <w:szCs w:val="24"/>
        </w:rPr>
        <w:t xml:space="preserve">bank </w:t>
      </w:r>
      <w:r w:rsidR="48703F92" w:rsidRPr="16218DE8">
        <w:rPr>
          <w:rFonts w:ascii="Times New Roman" w:hAnsi="Times New Roman" w:cs="Times New Roman"/>
          <w:noProof/>
          <w:sz w:val="24"/>
          <w:szCs w:val="24"/>
        </w:rPr>
        <w:t>(</w:t>
      </w:r>
      <w:r w:rsidR="001D0B87">
        <w:rPr>
          <w:rFonts w:ascii="Times New Roman" w:hAnsi="Times New Roman" w:cs="Times New Roman"/>
          <w:noProof/>
          <w:sz w:val="24"/>
          <w:szCs w:val="24"/>
        </w:rPr>
        <w:t>considered systemic in a Member States</w:t>
      </w:r>
      <w:r w:rsidR="120A6FF7" w:rsidRPr="56DE326D">
        <w:rPr>
          <w:rFonts w:ascii="Times New Roman" w:hAnsi="Times New Roman" w:cs="Times New Roman"/>
          <w:noProof/>
          <w:sz w:val="24"/>
          <w:szCs w:val="24"/>
        </w:rPr>
        <w:t>)</w:t>
      </w:r>
      <w:r w:rsidR="001D0B87">
        <w:rPr>
          <w:rFonts w:ascii="Times New Roman" w:hAnsi="Times New Roman" w:cs="Times New Roman"/>
          <w:noProof/>
          <w:sz w:val="24"/>
          <w:szCs w:val="24"/>
        </w:rPr>
        <w:t xml:space="preserve"> receives an additional capital charge</w:t>
      </w:r>
      <w:r w:rsidR="18787DA4" w:rsidRPr="1AA4DC06">
        <w:rPr>
          <w:rFonts w:ascii="Times New Roman" w:hAnsi="Times New Roman" w:cs="Times New Roman"/>
          <w:noProof/>
          <w:sz w:val="24"/>
          <w:szCs w:val="24"/>
        </w:rPr>
        <w:t>.</w:t>
      </w:r>
    </w:p>
    <w:p w14:paraId="29D4F2FE" w14:textId="210124AE" w:rsidR="00256B42" w:rsidRDefault="4F69D0E5" w:rsidP="14F70A90">
      <w:pPr>
        <w:spacing w:after="120" w:line="276" w:lineRule="auto"/>
        <w:jc w:val="both"/>
        <w:rPr>
          <w:rFonts w:ascii="Times New Roman" w:hAnsi="Times New Roman" w:cs="Times New Roman"/>
          <w:noProof/>
          <w:sz w:val="24"/>
          <w:szCs w:val="24"/>
        </w:rPr>
      </w:pPr>
      <w:r w:rsidRPr="14F70A90">
        <w:rPr>
          <w:rFonts w:ascii="Times New Roman" w:hAnsi="Times New Roman" w:cs="Times New Roman"/>
          <w:noProof/>
          <w:sz w:val="24"/>
          <w:szCs w:val="24"/>
        </w:rPr>
        <w:t>S</w:t>
      </w:r>
      <w:r w:rsidR="7983F077" w:rsidRPr="14F70A90">
        <w:rPr>
          <w:rFonts w:ascii="Times New Roman" w:hAnsi="Times New Roman" w:cs="Times New Roman"/>
          <w:noProof/>
          <w:sz w:val="24"/>
          <w:szCs w:val="24"/>
        </w:rPr>
        <w:t>maller</w:t>
      </w:r>
      <w:r w:rsidR="050A926A" w:rsidRPr="2D6C8037">
        <w:rPr>
          <w:rFonts w:ascii="Times New Roman" w:hAnsi="Times New Roman" w:cs="Times New Roman"/>
          <w:noProof/>
          <w:sz w:val="24"/>
          <w:szCs w:val="24"/>
        </w:rPr>
        <w:t xml:space="preserve"> banks, when they are exposed </w:t>
      </w:r>
      <w:r w:rsidR="3C24DEE3" w:rsidRPr="3302603C">
        <w:rPr>
          <w:rFonts w:ascii="Times New Roman" w:hAnsi="Times New Roman" w:cs="Times New Roman"/>
          <w:noProof/>
          <w:sz w:val="24"/>
          <w:szCs w:val="24"/>
        </w:rPr>
        <w:t>in</w:t>
      </w:r>
      <w:r w:rsidR="3C24DEE3" w:rsidRPr="34806842">
        <w:rPr>
          <w:rFonts w:ascii="Times New Roman" w:hAnsi="Times New Roman" w:cs="Times New Roman"/>
          <w:noProof/>
          <w:sz w:val="24"/>
          <w:szCs w:val="24"/>
        </w:rPr>
        <w:t xml:space="preserve"> parallel</w:t>
      </w:r>
      <w:r w:rsidR="050A926A" w:rsidRPr="2D6C8037">
        <w:rPr>
          <w:rFonts w:ascii="Times New Roman" w:hAnsi="Times New Roman" w:cs="Times New Roman"/>
          <w:noProof/>
          <w:sz w:val="24"/>
          <w:szCs w:val="24"/>
        </w:rPr>
        <w:t xml:space="preserve"> to similar risks, can become systemically relevant when they fail</w:t>
      </w:r>
      <w:r w:rsidR="5F3FCD94" w:rsidRPr="34806842">
        <w:rPr>
          <w:rFonts w:ascii="Times New Roman" w:hAnsi="Times New Roman" w:cs="Times New Roman"/>
          <w:noProof/>
          <w:sz w:val="24"/>
          <w:szCs w:val="24"/>
        </w:rPr>
        <w:t xml:space="preserve"> </w:t>
      </w:r>
      <w:r w:rsidR="7324E0A5" w:rsidRPr="4F93408C">
        <w:rPr>
          <w:rFonts w:ascii="Times New Roman" w:hAnsi="Times New Roman" w:cs="Times New Roman"/>
          <w:noProof/>
          <w:sz w:val="24"/>
          <w:szCs w:val="24"/>
        </w:rPr>
        <w:t>together</w:t>
      </w:r>
      <w:r w:rsidR="5F54C3D0" w:rsidRPr="4F93408C">
        <w:rPr>
          <w:rFonts w:ascii="Times New Roman" w:hAnsi="Times New Roman" w:cs="Times New Roman"/>
          <w:noProof/>
          <w:sz w:val="24"/>
          <w:szCs w:val="24"/>
        </w:rPr>
        <w:t>.</w:t>
      </w:r>
      <w:r w:rsidR="050A926A" w:rsidRPr="2D6C8037">
        <w:rPr>
          <w:rFonts w:ascii="Times New Roman" w:hAnsi="Times New Roman" w:cs="Times New Roman"/>
          <w:noProof/>
          <w:sz w:val="24"/>
          <w:szCs w:val="24"/>
        </w:rPr>
        <w:t xml:space="preserve"> This principle was recognised in BRRD that granted powers to resolution authorities to resolve any bank, using extraordinary powers justified by the protection of the public interest. </w:t>
      </w:r>
      <w:r w:rsidR="61470C72" w:rsidRPr="34806842">
        <w:rPr>
          <w:rFonts w:ascii="Times New Roman" w:hAnsi="Times New Roman" w:cs="Times New Roman"/>
          <w:noProof/>
          <w:sz w:val="24"/>
          <w:szCs w:val="24"/>
        </w:rPr>
        <w:t>"Too many to fail”-</w:t>
      </w:r>
      <w:r w:rsidR="050A926A" w:rsidRPr="2D6C8037">
        <w:rPr>
          <w:rFonts w:ascii="Times New Roman" w:hAnsi="Times New Roman" w:cs="Times New Roman"/>
          <w:noProof/>
          <w:sz w:val="24"/>
          <w:szCs w:val="24"/>
        </w:rPr>
        <w:t xml:space="preserve"> risks in the banking sector can be </w:t>
      </w:r>
      <w:r w:rsidR="56D7D48A" w:rsidRPr="34806842">
        <w:rPr>
          <w:rFonts w:ascii="Times New Roman" w:hAnsi="Times New Roman" w:cs="Times New Roman"/>
          <w:noProof/>
          <w:sz w:val="24"/>
          <w:szCs w:val="24"/>
        </w:rPr>
        <w:t xml:space="preserve">an </w:t>
      </w:r>
      <w:r w:rsidR="050A926A" w:rsidRPr="2D6C8037">
        <w:rPr>
          <w:rFonts w:ascii="Times New Roman" w:hAnsi="Times New Roman" w:cs="Times New Roman"/>
          <w:noProof/>
          <w:sz w:val="24"/>
          <w:szCs w:val="24"/>
        </w:rPr>
        <w:t xml:space="preserve">important </w:t>
      </w:r>
      <w:r w:rsidR="050A926A" w:rsidRPr="272769D6">
        <w:rPr>
          <w:rFonts w:ascii="Times New Roman" w:hAnsi="Times New Roman" w:cs="Times New Roman"/>
          <w:noProof/>
          <w:sz w:val="24"/>
          <w:szCs w:val="24"/>
        </w:rPr>
        <w:t>source</w:t>
      </w:r>
      <w:r w:rsidR="050A926A" w:rsidRPr="2D6C8037">
        <w:rPr>
          <w:rFonts w:ascii="Times New Roman" w:hAnsi="Times New Roman" w:cs="Times New Roman"/>
          <w:noProof/>
          <w:sz w:val="24"/>
          <w:szCs w:val="24"/>
        </w:rPr>
        <w:t xml:space="preserve"> of instability and require an adequate framework to minimise moral hazard and ensure fair competition in the single market.</w:t>
      </w:r>
    </w:p>
    <w:p w14:paraId="312D372E" w14:textId="500FAA58" w:rsidR="00235217" w:rsidRPr="0036474B" w:rsidRDefault="00936956" w:rsidP="002D25C2">
      <w:pPr>
        <w:spacing w:after="120"/>
        <w:jc w:val="both"/>
        <w:rPr>
          <w:rFonts w:ascii="Times New Roman" w:hAnsi="Times New Roman" w:cs="Times New Roman"/>
          <w:noProof/>
          <w:sz w:val="24"/>
          <w:szCs w:val="24"/>
          <w:u w:val="single"/>
        </w:rPr>
      </w:pPr>
      <w:r w:rsidRPr="0036474B">
        <w:rPr>
          <w:rFonts w:ascii="Times New Roman" w:hAnsi="Times New Roman" w:cs="Times New Roman"/>
          <w:noProof/>
          <w:sz w:val="24"/>
          <w:szCs w:val="24"/>
          <w:u w:val="single"/>
        </w:rPr>
        <w:t xml:space="preserve">Issues </w:t>
      </w:r>
      <w:r w:rsidR="00235217" w:rsidRPr="0036474B">
        <w:rPr>
          <w:rFonts w:ascii="Times New Roman" w:hAnsi="Times New Roman" w:cs="Times New Roman"/>
          <w:noProof/>
          <w:sz w:val="24"/>
          <w:szCs w:val="24"/>
          <w:u w:val="single"/>
        </w:rPr>
        <w:t>identified:</w:t>
      </w:r>
    </w:p>
    <w:p w14:paraId="75292142" w14:textId="18BE29AE" w:rsidR="31309659" w:rsidRPr="0036474B" w:rsidRDefault="00AF1D65">
      <w:pPr>
        <w:pStyle w:val="ListParagraph"/>
        <w:numPr>
          <w:ilvl w:val="0"/>
          <w:numId w:val="13"/>
        </w:numPr>
        <w:spacing w:after="120"/>
        <w:jc w:val="both"/>
        <w:rPr>
          <w:rFonts w:ascii="Times New Roman" w:hAnsi="Times New Roman" w:cs="Times New Roman"/>
          <w:noProof/>
          <w:sz w:val="24"/>
          <w:szCs w:val="24"/>
        </w:rPr>
      </w:pPr>
      <w:r w:rsidRPr="0FE6B915">
        <w:rPr>
          <w:rFonts w:ascii="Times New Roman" w:hAnsi="Times New Roman" w:cs="Times New Roman"/>
          <w:noProof/>
          <w:sz w:val="24"/>
          <w:szCs w:val="24"/>
        </w:rPr>
        <w:t>E</w:t>
      </w:r>
      <w:r w:rsidR="31309659" w:rsidRPr="0FE6B915">
        <w:rPr>
          <w:rFonts w:ascii="Times New Roman" w:hAnsi="Times New Roman" w:cs="Times New Roman"/>
          <w:noProof/>
          <w:sz w:val="24"/>
          <w:szCs w:val="24"/>
        </w:rPr>
        <w:t>ven if the successive reviews of the framework led t</w:t>
      </w:r>
      <w:r w:rsidR="558720D6" w:rsidRPr="0FE6B915">
        <w:rPr>
          <w:rFonts w:ascii="Times New Roman" w:hAnsi="Times New Roman" w:cs="Times New Roman"/>
          <w:noProof/>
          <w:sz w:val="24"/>
          <w:szCs w:val="24"/>
        </w:rPr>
        <w:t>o in</w:t>
      </w:r>
      <w:r w:rsidR="5D745267" w:rsidRPr="0FE6B915">
        <w:rPr>
          <w:rFonts w:ascii="Times New Roman" w:hAnsi="Times New Roman" w:cs="Times New Roman"/>
          <w:noProof/>
          <w:sz w:val="24"/>
          <w:szCs w:val="24"/>
        </w:rPr>
        <w:t xml:space="preserve">troduce the concept of SNCI and </w:t>
      </w:r>
      <w:r w:rsidR="16106B12" w:rsidRPr="0FE6B915">
        <w:rPr>
          <w:rFonts w:ascii="Times New Roman" w:hAnsi="Times New Roman" w:cs="Times New Roman"/>
          <w:noProof/>
          <w:sz w:val="24"/>
          <w:szCs w:val="24"/>
        </w:rPr>
        <w:t>dedicated</w:t>
      </w:r>
      <w:r w:rsidR="5D745267" w:rsidRPr="0FE6B915">
        <w:rPr>
          <w:rFonts w:ascii="Times New Roman" w:hAnsi="Times New Roman" w:cs="Times New Roman"/>
          <w:noProof/>
          <w:sz w:val="24"/>
          <w:szCs w:val="24"/>
        </w:rPr>
        <w:t xml:space="preserve"> </w:t>
      </w:r>
      <w:r w:rsidR="003706C6">
        <w:rPr>
          <w:rFonts w:ascii="Times New Roman" w:hAnsi="Times New Roman" w:cs="Times New Roman"/>
          <w:noProof/>
          <w:sz w:val="24"/>
          <w:szCs w:val="24"/>
        </w:rPr>
        <w:t>(</w:t>
      </w:r>
      <w:r w:rsidR="7A12CA59" w:rsidRPr="34806842">
        <w:rPr>
          <w:rFonts w:ascii="Times New Roman" w:hAnsi="Times New Roman" w:cs="Times New Roman"/>
          <w:noProof/>
          <w:sz w:val="24"/>
          <w:szCs w:val="24"/>
        </w:rPr>
        <w:t>but limited</w:t>
      </w:r>
      <w:r w:rsidR="003706C6">
        <w:rPr>
          <w:rFonts w:ascii="Times New Roman" w:hAnsi="Times New Roman" w:cs="Times New Roman"/>
          <w:noProof/>
          <w:sz w:val="24"/>
          <w:szCs w:val="24"/>
        </w:rPr>
        <w:t xml:space="preserve"> in their use)</w:t>
      </w:r>
      <w:r w:rsidR="7A12CA59" w:rsidRPr="34806842">
        <w:rPr>
          <w:rFonts w:ascii="Times New Roman" w:hAnsi="Times New Roman" w:cs="Times New Roman"/>
          <w:noProof/>
          <w:sz w:val="24"/>
          <w:szCs w:val="24"/>
        </w:rPr>
        <w:t xml:space="preserve"> </w:t>
      </w:r>
      <w:r w:rsidR="5D745267" w:rsidRPr="0FE6B915">
        <w:rPr>
          <w:rFonts w:ascii="Times New Roman" w:hAnsi="Times New Roman" w:cs="Times New Roman"/>
          <w:noProof/>
          <w:sz w:val="24"/>
          <w:szCs w:val="24"/>
        </w:rPr>
        <w:t xml:space="preserve">approaches for the computation </w:t>
      </w:r>
      <w:r w:rsidR="4883351E" w:rsidRPr="0FE6B915">
        <w:rPr>
          <w:rFonts w:ascii="Times New Roman" w:hAnsi="Times New Roman" w:cs="Times New Roman"/>
          <w:noProof/>
          <w:sz w:val="24"/>
          <w:szCs w:val="24"/>
        </w:rPr>
        <w:t xml:space="preserve">of the capital charge for interest rate risk in the banking book and for stable funding requirements, on top of a </w:t>
      </w:r>
      <w:r w:rsidR="27726027" w:rsidRPr="34806842">
        <w:rPr>
          <w:rFonts w:ascii="Times New Roman" w:hAnsi="Times New Roman" w:cs="Times New Roman"/>
          <w:noProof/>
          <w:sz w:val="24"/>
          <w:szCs w:val="24"/>
        </w:rPr>
        <w:t xml:space="preserve">limited </w:t>
      </w:r>
      <w:r w:rsidR="4883351E" w:rsidRPr="0FE6B915">
        <w:rPr>
          <w:rFonts w:ascii="Times New Roman" w:hAnsi="Times New Roman" w:cs="Times New Roman"/>
          <w:noProof/>
          <w:sz w:val="24"/>
          <w:szCs w:val="24"/>
        </w:rPr>
        <w:t>relaxation of reporting and di</w:t>
      </w:r>
      <w:r w:rsidR="26BD0079" w:rsidRPr="0FE6B915">
        <w:rPr>
          <w:rFonts w:ascii="Times New Roman" w:hAnsi="Times New Roman" w:cs="Times New Roman"/>
          <w:noProof/>
          <w:sz w:val="24"/>
          <w:szCs w:val="24"/>
        </w:rPr>
        <w:t xml:space="preserve">sclosure requirements, the </w:t>
      </w:r>
      <w:r>
        <w:rPr>
          <w:rFonts w:ascii="Times New Roman" w:hAnsi="Times New Roman" w:cs="Times New Roman"/>
          <w:noProof/>
          <w:sz w:val="24"/>
          <w:szCs w:val="24"/>
        </w:rPr>
        <w:t xml:space="preserve">overall proportionality of the </w:t>
      </w:r>
      <w:r w:rsidR="00242BFF" w:rsidRPr="0FE6B915">
        <w:rPr>
          <w:rFonts w:ascii="Times New Roman" w:hAnsi="Times New Roman" w:cs="Times New Roman"/>
          <w:noProof/>
          <w:sz w:val="24"/>
          <w:szCs w:val="24"/>
        </w:rPr>
        <w:t xml:space="preserve">framework </w:t>
      </w:r>
      <w:r>
        <w:rPr>
          <w:rFonts w:ascii="Times New Roman" w:hAnsi="Times New Roman" w:cs="Times New Roman"/>
          <w:noProof/>
          <w:sz w:val="24"/>
          <w:szCs w:val="24"/>
        </w:rPr>
        <w:t>needs to be enhanced</w:t>
      </w:r>
      <w:r w:rsidR="00242BFF" w:rsidRPr="0FE6B915">
        <w:rPr>
          <w:rFonts w:ascii="Times New Roman" w:hAnsi="Times New Roman" w:cs="Times New Roman"/>
          <w:noProof/>
          <w:sz w:val="24"/>
          <w:szCs w:val="24"/>
        </w:rPr>
        <w:t xml:space="preserve">. </w:t>
      </w:r>
    </w:p>
    <w:p w14:paraId="72EEB4E6" w14:textId="30F78127" w:rsidR="31309659" w:rsidRPr="0036474B" w:rsidRDefault="00242BFF">
      <w:pPr>
        <w:pStyle w:val="ListParagraph"/>
        <w:numPr>
          <w:ilvl w:val="0"/>
          <w:numId w:val="13"/>
        </w:numPr>
        <w:spacing w:after="120"/>
        <w:jc w:val="both"/>
        <w:rPr>
          <w:rFonts w:ascii="Times New Roman" w:hAnsi="Times New Roman" w:cs="Times New Roman"/>
          <w:noProof/>
          <w:sz w:val="24"/>
          <w:szCs w:val="24"/>
        </w:rPr>
      </w:pPr>
      <w:r w:rsidRPr="0FE6B915">
        <w:rPr>
          <w:rFonts w:ascii="Times New Roman" w:hAnsi="Times New Roman" w:cs="Times New Roman"/>
          <w:noProof/>
          <w:sz w:val="24"/>
          <w:szCs w:val="24"/>
        </w:rPr>
        <w:t>D</w:t>
      </w:r>
      <w:r w:rsidR="3BCBEA48" w:rsidRPr="0FE6B915">
        <w:rPr>
          <w:rFonts w:ascii="Times New Roman" w:hAnsi="Times New Roman" w:cs="Times New Roman"/>
          <w:noProof/>
          <w:sz w:val="24"/>
          <w:szCs w:val="24"/>
        </w:rPr>
        <w:t>etailed technical standards and guidance supplement</w:t>
      </w:r>
      <w:r w:rsidR="502DAC79" w:rsidRPr="0FE6B915">
        <w:rPr>
          <w:rFonts w:ascii="Times New Roman" w:hAnsi="Times New Roman" w:cs="Times New Roman"/>
          <w:noProof/>
          <w:sz w:val="24"/>
          <w:szCs w:val="24"/>
        </w:rPr>
        <w:t>ing</w:t>
      </w:r>
      <w:r w:rsidR="3BCBEA48" w:rsidRPr="0FE6B915">
        <w:rPr>
          <w:rFonts w:ascii="Times New Roman" w:hAnsi="Times New Roman" w:cs="Times New Roman"/>
          <w:noProof/>
          <w:sz w:val="24"/>
          <w:szCs w:val="24"/>
        </w:rPr>
        <w:t xml:space="preserve"> minimum Pillar 1 requirements</w:t>
      </w:r>
      <w:r w:rsidR="59ED26B4" w:rsidRPr="0FE6B915">
        <w:rPr>
          <w:rFonts w:ascii="Times New Roman" w:hAnsi="Times New Roman" w:cs="Times New Roman"/>
          <w:noProof/>
          <w:sz w:val="24"/>
          <w:szCs w:val="24"/>
        </w:rPr>
        <w:t xml:space="preserve"> apply to </w:t>
      </w:r>
      <w:r w:rsidR="08DEBF4F" w:rsidRPr="34806842">
        <w:rPr>
          <w:rFonts w:ascii="Times New Roman" w:hAnsi="Times New Roman" w:cs="Times New Roman"/>
          <w:noProof/>
          <w:sz w:val="24"/>
          <w:szCs w:val="24"/>
        </w:rPr>
        <w:t xml:space="preserve">small </w:t>
      </w:r>
      <w:r w:rsidR="59ED26B4" w:rsidRPr="0FE6B915">
        <w:rPr>
          <w:rFonts w:ascii="Times New Roman" w:hAnsi="Times New Roman" w:cs="Times New Roman"/>
          <w:noProof/>
          <w:sz w:val="24"/>
          <w:szCs w:val="24"/>
        </w:rPr>
        <w:t xml:space="preserve">banks with very simple </w:t>
      </w:r>
      <w:r w:rsidR="26B74B14" w:rsidRPr="14F70A90">
        <w:rPr>
          <w:rFonts w:ascii="Times New Roman" w:hAnsi="Times New Roman" w:cs="Times New Roman"/>
          <w:noProof/>
          <w:sz w:val="24"/>
          <w:szCs w:val="24"/>
        </w:rPr>
        <w:t>business models</w:t>
      </w:r>
      <w:r w:rsidR="7E9A579C" w:rsidRPr="14F70A90">
        <w:rPr>
          <w:rFonts w:ascii="Times New Roman" w:hAnsi="Times New Roman" w:cs="Times New Roman"/>
          <w:noProof/>
          <w:sz w:val="24"/>
          <w:szCs w:val="24"/>
        </w:rPr>
        <w:t>.</w:t>
      </w:r>
      <w:r w:rsidR="59ED26B4" w:rsidRPr="0FE6B915">
        <w:rPr>
          <w:rFonts w:ascii="Times New Roman" w:hAnsi="Times New Roman" w:cs="Times New Roman"/>
          <w:noProof/>
          <w:sz w:val="24"/>
          <w:szCs w:val="24"/>
        </w:rPr>
        <w:t xml:space="preserve"> The</w:t>
      </w:r>
      <w:r w:rsidR="4FD958CF" w:rsidRPr="0FE6B915">
        <w:rPr>
          <w:rFonts w:ascii="Times New Roman" w:hAnsi="Times New Roman" w:cs="Times New Roman"/>
          <w:noProof/>
          <w:sz w:val="24"/>
          <w:szCs w:val="24"/>
        </w:rPr>
        <w:t xml:space="preserve"> overall</w:t>
      </w:r>
      <w:r w:rsidR="59ED26B4" w:rsidRPr="0FE6B915">
        <w:rPr>
          <w:rFonts w:ascii="Times New Roman" w:hAnsi="Times New Roman" w:cs="Times New Roman"/>
          <w:noProof/>
          <w:sz w:val="24"/>
          <w:szCs w:val="24"/>
        </w:rPr>
        <w:t xml:space="preserve"> level of </w:t>
      </w:r>
      <w:r w:rsidR="44E7B469" w:rsidRPr="0FE6B915">
        <w:rPr>
          <w:rFonts w:ascii="Times New Roman" w:hAnsi="Times New Roman" w:cs="Times New Roman"/>
          <w:noProof/>
          <w:sz w:val="24"/>
          <w:szCs w:val="24"/>
        </w:rPr>
        <w:t>sophistication</w:t>
      </w:r>
      <w:r w:rsidR="59ED26B4" w:rsidRPr="0FE6B915">
        <w:rPr>
          <w:rFonts w:ascii="Times New Roman" w:hAnsi="Times New Roman" w:cs="Times New Roman"/>
          <w:noProof/>
          <w:sz w:val="24"/>
          <w:szCs w:val="24"/>
        </w:rPr>
        <w:t xml:space="preserve"> of the EU prudential framework </w:t>
      </w:r>
      <w:r w:rsidR="44C169C7" w:rsidRPr="0FE6B915">
        <w:rPr>
          <w:rFonts w:ascii="Times New Roman" w:hAnsi="Times New Roman" w:cs="Times New Roman"/>
          <w:noProof/>
          <w:sz w:val="24"/>
          <w:szCs w:val="24"/>
        </w:rPr>
        <w:t>can be considered as</w:t>
      </w:r>
      <w:r w:rsidR="59ED26B4" w:rsidRPr="0FE6B915">
        <w:rPr>
          <w:rFonts w:ascii="Times New Roman" w:hAnsi="Times New Roman" w:cs="Times New Roman"/>
          <w:noProof/>
          <w:sz w:val="24"/>
          <w:szCs w:val="24"/>
        </w:rPr>
        <w:t xml:space="preserve"> not appropriately address</w:t>
      </w:r>
      <w:r w:rsidR="302DEBA3" w:rsidRPr="0FE6B915">
        <w:rPr>
          <w:rFonts w:ascii="Times New Roman" w:hAnsi="Times New Roman" w:cs="Times New Roman"/>
          <w:noProof/>
          <w:sz w:val="24"/>
          <w:szCs w:val="24"/>
        </w:rPr>
        <w:t>ing</w:t>
      </w:r>
      <w:r w:rsidR="59ED26B4" w:rsidRPr="0FE6B915">
        <w:rPr>
          <w:rFonts w:ascii="Times New Roman" w:hAnsi="Times New Roman" w:cs="Times New Roman"/>
          <w:noProof/>
          <w:sz w:val="24"/>
          <w:szCs w:val="24"/>
        </w:rPr>
        <w:t xml:space="preserve"> the </w:t>
      </w:r>
      <w:r w:rsidR="7FFD991C" w:rsidRPr="14F70A90">
        <w:rPr>
          <w:rFonts w:ascii="Times New Roman" w:hAnsi="Times New Roman" w:cs="Times New Roman"/>
          <w:noProof/>
          <w:sz w:val="24"/>
          <w:szCs w:val="24"/>
        </w:rPr>
        <w:t>lower</w:t>
      </w:r>
      <w:r w:rsidR="59ED26B4" w:rsidRPr="0FE6B915">
        <w:rPr>
          <w:rFonts w:ascii="Times New Roman" w:hAnsi="Times New Roman" w:cs="Times New Roman"/>
          <w:noProof/>
          <w:sz w:val="24"/>
          <w:szCs w:val="24"/>
        </w:rPr>
        <w:t xml:space="preserve"> r</w:t>
      </w:r>
      <w:r w:rsidR="19165793" w:rsidRPr="0FE6B915">
        <w:rPr>
          <w:rFonts w:ascii="Times New Roman" w:hAnsi="Times New Roman" w:cs="Times New Roman"/>
          <w:noProof/>
          <w:sz w:val="24"/>
          <w:szCs w:val="24"/>
        </w:rPr>
        <w:t xml:space="preserve">isk </w:t>
      </w:r>
      <w:r w:rsidR="21FF1E74" w:rsidRPr="34806842">
        <w:rPr>
          <w:rFonts w:ascii="Times New Roman" w:hAnsi="Times New Roman" w:cs="Times New Roman"/>
          <w:noProof/>
          <w:sz w:val="24"/>
          <w:szCs w:val="24"/>
        </w:rPr>
        <w:t xml:space="preserve">levels </w:t>
      </w:r>
      <w:r w:rsidR="19165793" w:rsidRPr="0FE6B915">
        <w:rPr>
          <w:rFonts w:ascii="Times New Roman" w:hAnsi="Times New Roman" w:cs="Times New Roman"/>
          <w:noProof/>
          <w:sz w:val="24"/>
          <w:szCs w:val="24"/>
        </w:rPr>
        <w:t xml:space="preserve">of banks with simple </w:t>
      </w:r>
      <w:r w:rsidR="226380BF" w:rsidRPr="14F70A90">
        <w:rPr>
          <w:rFonts w:ascii="Times New Roman" w:hAnsi="Times New Roman" w:cs="Times New Roman"/>
          <w:noProof/>
          <w:sz w:val="24"/>
          <w:szCs w:val="24"/>
        </w:rPr>
        <w:t>business</w:t>
      </w:r>
      <w:r w:rsidR="1580EF32" w:rsidRPr="34806842">
        <w:rPr>
          <w:rFonts w:ascii="Times New Roman" w:hAnsi="Times New Roman" w:cs="Times New Roman"/>
          <w:noProof/>
          <w:sz w:val="24"/>
          <w:szCs w:val="24"/>
        </w:rPr>
        <w:t xml:space="preserve"> models</w:t>
      </w:r>
      <w:r w:rsidR="2041EB2E" w:rsidRPr="34806842">
        <w:rPr>
          <w:rFonts w:ascii="Times New Roman" w:hAnsi="Times New Roman" w:cs="Times New Roman"/>
          <w:noProof/>
          <w:sz w:val="24"/>
          <w:szCs w:val="24"/>
        </w:rPr>
        <w:t>.</w:t>
      </w:r>
      <w:r w:rsidR="23617A70" w:rsidRPr="34806842">
        <w:rPr>
          <w:rFonts w:ascii="Times New Roman" w:hAnsi="Times New Roman" w:cs="Times New Roman"/>
          <w:noProof/>
          <w:sz w:val="24"/>
          <w:szCs w:val="24"/>
        </w:rPr>
        <w:t xml:space="preserve"> </w:t>
      </w:r>
    </w:p>
    <w:p w14:paraId="764376B8" w14:textId="34892F9C" w:rsidR="31309659" w:rsidRPr="0036474B" w:rsidRDefault="0BD7AF2C" w:rsidP="34806842">
      <w:pPr>
        <w:pStyle w:val="ListParagraph"/>
        <w:numPr>
          <w:ilvl w:val="0"/>
          <w:numId w:val="13"/>
        </w:numPr>
        <w:spacing w:after="120"/>
        <w:jc w:val="both"/>
        <w:rPr>
          <w:rFonts w:ascii="Times New Roman" w:hAnsi="Times New Roman" w:cs="Times New Roman"/>
          <w:noProof/>
          <w:sz w:val="24"/>
          <w:szCs w:val="24"/>
        </w:rPr>
      </w:pPr>
      <w:r w:rsidRPr="34806842">
        <w:rPr>
          <w:rFonts w:ascii="Times New Roman" w:hAnsi="Times New Roman" w:cs="Times New Roman"/>
          <w:noProof/>
          <w:sz w:val="24"/>
          <w:szCs w:val="24"/>
        </w:rPr>
        <w:t>H</w:t>
      </w:r>
      <w:r w:rsidRPr="14F70A90">
        <w:rPr>
          <w:rFonts w:ascii="Times New Roman" w:hAnsi="Times New Roman" w:cs="Times New Roman"/>
          <w:noProof/>
          <w:sz w:val="24"/>
          <w:szCs w:val="24"/>
        </w:rPr>
        <w:t>owever</w:t>
      </w:r>
      <w:r w:rsidR="31ECC96E" w:rsidRPr="14F70A90">
        <w:rPr>
          <w:rFonts w:ascii="Times New Roman" w:hAnsi="Times New Roman" w:cs="Times New Roman"/>
          <w:noProof/>
          <w:sz w:val="24"/>
          <w:szCs w:val="24"/>
        </w:rPr>
        <w:t xml:space="preserve">, </w:t>
      </w:r>
      <w:r w:rsidR="1E2D6C1E" w:rsidRPr="14F70A90">
        <w:rPr>
          <w:rFonts w:ascii="Times New Roman" w:hAnsi="Times New Roman" w:cs="Times New Roman"/>
          <w:noProof/>
          <w:sz w:val="24"/>
          <w:szCs w:val="24"/>
        </w:rPr>
        <w:t xml:space="preserve">the </w:t>
      </w:r>
      <w:r w:rsidR="31ECC96E" w:rsidRPr="14F70A90">
        <w:rPr>
          <w:rFonts w:ascii="Times New Roman" w:hAnsi="Times New Roman" w:cs="Times New Roman"/>
          <w:noProof/>
          <w:sz w:val="24"/>
          <w:szCs w:val="24"/>
        </w:rPr>
        <w:t xml:space="preserve">risk sensitivity of the capital charge and the development of a risk </w:t>
      </w:r>
      <w:r w:rsidR="79A7F0DC" w:rsidRPr="14F70A90">
        <w:rPr>
          <w:rFonts w:ascii="Times New Roman" w:hAnsi="Times New Roman" w:cs="Times New Roman"/>
          <w:noProof/>
          <w:sz w:val="24"/>
          <w:szCs w:val="24"/>
        </w:rPr>
        <w:t>management</w:t>
      </w:r>
      <w:r w:rsidR="23617A70" w:rsidRPr="14F70A90">
        <w:rPr>
          <w:rFonts w:ascii="Times New Roman" w:hAnsi="Times New Roman" w:cs="Times New Roman"/>
          <w:noProof/>
          <w:sz w:val="24"/>
          <w:szCs w:val="24"/>
        </w:rPr>
        <w:t xml:space="preserve"> </w:t>
      </w:r>
      <w:r w:rsidR="31ECC96E" w:rsidRPr="14F70A90">
        <w:rPr>
          <w:rFonts w:ascii="Times New Roman" w:hAnsi="Times New Roman" w:cs="Times New Roman"/>
          <w:noProof/>
          <w:sz w:val="24"/>
          <w:szCs w:val="24"/>
        </w:rPr>
        <w:t xml:space="preserve">culture by banks are seen as important </w:t>
      </w:r>
      <w:r w:rsidR="23617A70" w:rsidRPr="14F70A90">
        <w:rPr>
          <w:rFonts w:ascii="Times New Roman" w:hAnsi="Times New Roman" w:cs="Times New Roman"/>
          <w:noProof/>
          <w:sz w:val="24"/>
          <w:szCs w:val="24"/>
        </w:rPr>
        <w:t>element</w:t>
      </w:r>
      <w:r w:rsidR="4E4CBA16" w:rsidRPr="14F70A90">
        <w:rPr>
          <w:rFonts w:ascii="Times New Roman" w:hAnsi="Times New Roman" w:cs="Times New Roman"/>
          <w:noProof/>
          <w:sz w:val="24"/>
          <w:szCs w:val="24"/>
        </w:rPr>
        <w:t>s</w:t>
      </w:r>
      <w:r w:rsidR="00FB0FED" w:rsidRPr="14F70A90">
        <w:rPr>
          <w:rFonts w:ascii="Times New Roman" w:hAnsi="Times New Roman" w:cs="Times New Roman"/>
          <w:noProof/>
          <w:sz w:val="24"/>
          <w:szCs w:val="24"/>
        </w:rPr>
        <w:t xml:space="preserve"> </w:t>
      </w:r>
      <w:r w:rsidR="31ECC96E" w:rsidRPr="14F70A90">
        <w:rPr>
          <w:rFonts w:ascii="Times New Roman" w:hAnsi="Times New Roman" w:cs="Times New Roman"/>
          <w:noProof/>
          <w:sz w:val="24"/>
          <w:szCs w:val="24"/>
        </w:rPr>
        <w:t xml:space="preserve">for supporting the </w:t>
      </w:r>
      <w:r w:rsidR="37933ADC" w:rsidRPr="14F70A90">
        <w:rPr>
          <w:rFonts w:ascii="Times New Roman" w:hAnsi="Times New Roman" w:cs="Times New Roman"/>
          <w:noProof/>
          <w:sz w:val="24"/>
          <w:szCs w:val="24"/>
        </w:rPr>
        <w:t xml:space="preserve">real economy over </w:t>
      </w:r>
      <w:r w:rsidR="38D0BE4B" w:rsidRPr="14F70A90">
        <w:rPr>
          <w:rFonts w:ascii="Times New Roman" w:hAnsi="Times New Roman" w:cs="Times New Roman"/>
          <w:noProof/>
          <w:sz w:val="24"/>
          <w:szCs w:val="24"/>
        </w:rPr>
        <w:t xml:space="preserve">the </w:t>
      </w:r>
      <w:r w:rsidR="1B9894A9" w:rsidRPr="14F70A90">
        <w:rPr>
          <w:rFonts w:ascii="Times New Roman" w:hAnsi="Times New Roman" w:cs="Times New Roman"/>
          <w:noProof/>
          <w:sz w:val="24"/>
          <w:szCs w:val="24"/>
        </w:rPr>
        <w:t>cycle</w:t>
      </w:r>
      <w:r w:rsidR="37933ADC" w:rsidRPr="14F70A90">
        <w:rPr>
          <w:rFonts w:ascii="Times New Roman" w:hAnsi="Times New Roman" w:cs="Times New Roman"/>
          <w:noProof/>
          <w:sz w:val="24"/>
          <w:szCs w:val="24"/>
        </w:rPr>
        <w:t>.</w:t>
      </w:r>
    </w:p>
    <w:p w14:paraId="2012B5FB" w14:textId="55189020" w:rsidR="001253F4" w:rsidRDefault="6E60BF56" w:rsidP="0FE6B915">
      <w:pPr>
        <w:pStyle w:val="ListParagraph"/>
        <w:numPr>
          <w:ilvl w:val="0"/>
          <w:numId w:val="13"/>
        </w:numPr>
        <w:spacing w:after="120"/>
        <w:contextualSpacing w:val="0"/>
        <w:jc w:val="both"/>
        <w:rPr>
          <w:rFonts w:ascii="Times New Roman" w:hAnsi="Times New Roman" w:cs="Times New Roman"/>
          <w:noProof/>
          <w:sz w:val="24"/>
          <w:szCs w:val="24"/>
        </w:rPr>
      </w:pPr>
      <w:r w:rsidRPr="0FE6B915">
        <w:rPr>
          <w:rFonts w:ascii="Times New Roman" w:hAnsi="Times New Roman" w:cs="Times New Roman"/>
          <w:noProof/>
          <w:sz w:val="24"/>
          <w:szCs w:val="24"/>
        </w:rPr>
        <w:t xml:space="preserve">The application of </w:t>
      </w:r>
      <w:r>
        <w:rPr>
          <w:rFonts w:ascii="Times New Roman" w:hAnsi="Times New Roman" w:cs="Times New Roman"/>
          <w:noProof/>
          <w:sz w:val="24"/>
          <w:szCs w:val="24"/>
        </w:rPr>
        <w:t xml:space="preserve">the regulatory framework </w:t>
      </w:r>
      <w:r w:rsidRPr="0FE6B915">
        <w:rPr>
          <w:rFonts w:ascii="Times New Roman" w:hAnsi="Times New Roman" w:cs="Times New Roman"/>
          <w:noProof/>
          <w:sz w:val="24"/>
          <w:szCs w:val="24"/>
        </w:rPr>
        <w:t>depends in several areas on national discretion, contributing to uneven implementation across Member States. This heterogeneity creates legal uncertainty, distorts the level playing field, and reduces the benefits of the single market for smaller cross-border or regionally active banks.</w:t>
      </w:r>
    </w:p>
    <w:p w14:paraId="22F71475" w14:textId="06F2BB03" w:rsidR="00A56D5A" w:rsidRPr="0060315E" w:rsidRDefault="36AFA6CE" w:rsidP="007C139B">
      <w:pPr>
        <w:pStyle w:val="ListParagraph"/>
        <w:numPr>
          <w:ilvl w:val="0"/>
          <w:numId w:val="13"/>
        </w:numPr>
        <w:spacing w:after="120"/>
        <w:contextualSpacing w:val="0"/>
        <w:jc w:val="both"/>
        <w:rPr>
          <w:rFonts w:ascii="Times New Roman" w:hAnsi="Times New Roman" w:cs="Times New Roman"/>
          <w:noProof/>
          <w:sz w:val="24"/>
          <w:szCs w:val="24"/>
        </w:rPr>
      </w:pPr>
      <w:r w:rsidRPr="00B9CD08">
        <w:rPr>
          <w:rFonts w:ascii="Times New Roman" w:hAnsi="Times New Roman" w:cs="Times New Roman"/>
          <w:noProof/>
          <w:sz w:val="24"/>
          <w:szCs w:val="24"/>
        </w:rPr>
        <w:t xml:space="preserve">The prudential framework </w:t>
      </w:r>
      <w:r w:rsidR="7A5F3953" w:rsidRPr="00B9CD08">
        <w:rPr>
          <w:rFonts w:ascii="Times New Roman" w:hAnsi="Times New Roman" w:cs="Times New Roman"/>
          <w:noProof/>
          <w:sz w:val="24"/>
          <w:szCs w:val="24"/>
        </w:rPr>
        <w:t xml:space="preserve">for small and non-complex banks </w:t>
      </w:r>
      <w:r w:rsidRPr="00B9CD08">
        <w:rPr>
          <w:rFonts w:ascii="Times New Roman" w:hAnsi="Times New Roman" w:cs="Times New Roman"/>
          <w:noProof/>
          <w:sz w:val="24"/>
          <w:szCs w:val="24"/>
        </w:rPr>
        <w:t xml:space="preserve">relies on a static eligibility </w:t>
      </w:r>
      <w:r w:rsidR="4E9B89D3" w:rsidRPr="00B9CD08">
        <w:rPr>
          <w:rFonts w:ascii="Times New Roman" w:hAnsi="Times New Roman" w:cs="Times New Roman"/>
          <w:noProof/>
          <w:sz w:val="24"/>
          <w:szCs w:val="24"/>
        </w:rPr>
        <w:t xml:space="preserve">size </w:t>
      </w:r>
      <w:r w:rsidRPr="00B9CD08">
        <w:rPr>
          <w:rFonts w:ascii="Times New Roman" w:hAnsi="Times New Roman" w:cs="Times New Roman"/>
          <w:noProof/>
          <w:sz w:val="24"/>
          <w:szCs w:val="24"/>
        </w:rPr>
        <w:t>threshold</w:t>
      </w:r>
      <w:r w:rsidR="001D0B87" w:rsidRPr="00B9CD08">
        <w:rPr>
          <w:rFonts w:ascii="Times New Roman" w:hAnsi="Times New Roman" w:cs="Times New Roman"/>
          <w:noProof/>
          <w:sz w:val="24"/>
          <w:szCs w:val="24"/>
        </w:rPr>
        <w:t xml:space="preserve"> set at</w:t>
      </w:r>
      <w:r w:rsidRPr="00B9CD08">
        <w:rPr>
          <w:rFonts w:ascii="Times New Roman" w:hAnsi="Times New Roman" w:cs="Times New Roman"/>
          <w:noProof/>
          <w:sz w:val="24"/>
          <w:szCs w:val="24"/>
        </w:rPr>
        <w:t xml:space="preserve"> EUR 5 billion </w:t>
      </w:r>
      <w:r w:rsidR="1556E061" w:rsidRPr="00B9CD08">
        <w:rPr>
          <w:rFonts w:ascii="Times New Roman" w:hAnsi="Times New Roman" w:cs="Times New Roman"/>
          <w:noProof/>
          <w:sz w:val="24"/>
          <w:szCs w:val="24"/>
        </w:rPr>
        <w:t>as</w:t>
      </w:r>
      <w:r w:rsidR="001D0B87" w:rsidRPr="00B9CD08">
        <w:rPr>
          <w:rFonts w:ascii="Times New Roman" w:hAnsi="Times New Roman" w:cs="Times New Roman"/>
          <w:noProof/>
          <w:sz w:val="24"/>
          <w:szCs w:val="24"/>
        </w:rPr>
        <w:t xml:space="preserve"> well as other criteria; the threshold</w:t>
      </w:r>
      <w:r w:rsidRPr="00B9CD08">
        <w:rPr>
          <w:rFonts w:ascii="Times New Roman" w:hAnsi="Times New Roman" w:cs="Times New Roman"/>
          <w:noProof/>
          <w:sz w:val="24"/>
          <w:szCs w:val="24"/>
        </w:rPr>
        <w:t xml:space="preserve"> is seen as too </w:t>
      </w:r>
      <w:r w:rsidR="0D010EAE" w:rsidRPr="00B9CD08">
        <w:rPr>
          <w:rFonts w:ascii="Times New Roman" w:hAnsi="Times New Roman" w:cs="Times New Roman"/>
          <w:noProof/>
          <w:sz w:val="24"/>
          <w:szCs w:val="24"/>
        </w:rPr>
        <w:t xml:space="preserve">low and static </w:t>
      </w:r>
      <w:r w:rsidRPr="00B9CD08">
        <w:rPr>
          <w:rFonts w:ascii="Times New Roman" w:hAnsi="Times New Roman" w:cs="Times New Roman"/>
          <w:noProof/>
          <w:sz w:val="24"/>
          <w:szCs w:val="24"/>
        </w:rPr>
        <w:t xml:space="preserve"> </w:t>
      </w:r>
      <w:r w:rsidR="243C632A" w:rsidRPr="00B9CD08">
        <w:rPr>
          <w:rFonts w:ascii="Times New Roman" w:hAnsi="Times New Roman" w:cs="Times New Roman"/>
          <w:noProof/>
          <w:sz w:val="24"/>
          <w:szCs w:val="24"/>
        </w:rPr>
        <w:t>in certain Member States</w:t>
      </w:r>
      <w:r w:rsidR="4D08D098" w:rsidRPr="00B9CD08">
        <w:rPr>
          <w:rFonts w:ascii="Times New Roman" w:hAnsi="Times New Roman" w:cs="Times New Roman"/>
          <w:noProof/>
          <w:sz w:val="24"/>
          <w:szCs w:val="24"/>
        </w:rPr>
        <w:t xml:space="preserve">, </w:t>
      </w:r>
      <w:r w:rsidR="6D5A42B1" w:rsidRPr="00B9CD08">
        <w:rPr>
          <w:rFonts w:ascii="Times New Roman" w:hAnsi="Times New Roman" w:cs="Times New Roman"/>
          <w:noProof/>
          <w:sz w:val="24"/>
          <w:szCs w:val="24"/>
        </w:rPr>
        <w:t xml:space="preserve">also in relation to </w:t>
      </w:r>
      <w:r w:rsidR="00D523C6" w:rsidRPr="00B9CD08">
        <w:rPr>
          <w:rFonts w:ascii="Times New Roman" w:hAnsi="Times New Roman" w:cs="Times New Roman"/>
          <w:noProof/>
          <w:sz w:val="24"/>
          <w:szCs w:val="24"/>
        </w:rPr>
        <w:t xml:space="preserve"> the rise in inflation</w:t>
      </w:r>
      <w:r w:rsidR="45993F7F" w:rsidRPr="00B9CD08">
        <w:rPr>
          <w:rFonts w:ascii="Times New Roman" w:hAnsi="Times New Roman" w:cs="Times New Roman"/>
          <w:noProof/>
          <w:sz w:val="24"/>
          <w:szCs w:val="24"/>
        </w:rPr>
        <w:t>.</w:t>
      </w:r>
    </w:p>
    <w:p w14:paraId="718941C3" w14:textId="5463160B" w:rsidR="5081090F" w:rsidRDefault="5081090F" w:rsidP="14F70A90">
      <w:pPr>
        <w:pStyle w:val="ListParagraph"/>
        <w:numPr>
          <w:ilvl w:val="0"/>
          <w:numId w:val="13"/>
        </w:numPr>
        <w:spacing w:after="120"/>
        <w:contextualSpacing w:val="0"/>
        <w:jc w:val="both"/>
        <w:rPr>
          <w:rFonts w:ascii="Times New Roman" w:hAnsi="Times New Roman" w:cs="Times New Roman"/>
          <w:noProof/>
          <w:sz w:val="24"/>
          <w:szCs w:val="24"/>
        </w:rPr>
      </w:pPr>
      <w:r w:rsidRPr="14F70A90">
        <w:rPr>
          <w:rFonts w:ascii="Times New Roman" w:hAnsi="Times New Roman" w:cs="Times New Roman"/>
          <w:noProof/>
          <w:sz w:val="24"/>
          <w:szCs w:val="24"/>
        </w:rPr>
        <w:t xml:space="preserve">A further complexity lies in the interactions between the various </w:t>
      </w:r>
      <w:r w:rsidR="6B2FFF91" w:rsidRPr="14F70A90">
        <w:rPr>
          <w:rFonts w:ascii="Times New Roman" w:hAnsi="Times New Roman" w:cs="Times New Roman"/>
          <w:noProof/>
          <w:sz w:val="24"/>
          <w:szCs w:val="24"/>
        </w:rPr>
        <w:t xml:space="preserve">prudential </w:t>
      </w:r>
      <w:r w:rsidRPr="14F70A90">
        <w:rPr>
          <w:rFonts w:ascii="Times New Roman" w:hAnsi="Times New Roman" w:cs="Times New Roman"/>
          <w:noProof/>
          <w:sz w:val="24"/>
          <w:szCs w:val="24"/>
        </w:rPr>
        <w:t>frameworks</w:t>
      </w:r>
      <w:r w:rsidR="16534E0C" w:rsidRPr="14F70A90">
        <w:rPr>
          <w:rFonts w:ascii="Times New Roman" w:hAnsi="Times New Roman" w:cs="Times New Roman"/>
          <w:noProof/>
          <w:sz w:val="24"/>
          <w:szCs w:val="24"/>
        </w:rPr>
        <w:t>, when it comes to proportionality</w:t>
      </w:r>
      <w:r w:rsidRPr="14F70A90">
        <w:rPr>
          <w:rFonts w:ascii="Times New Roman" w:hAnsi="Times New Roman" w:cs="Times New Roman"/>
          <w:noProof/>
          <w:sz w:val="24"/>
          <w:szCs w:val="24"/>
        </w:rPr>
        <w:t xml:space="preserve">. </w:t>
      </w:r>
      <w:r w:rsidR="122B2EE1" w:rsidRPr="14F70A90">
        <w:rPr>
          <w:rFonts w:ascii="Times New Roman" w:hAnsi="Times New Roman" w:cs="Times New Roman"/>
          <w:noProof/>
          <w:sz w:val="24"/>
          <w:szCs w:val="24"/>
        </w:rPr>
        <w:t>T</w:t>
      </w:r>
      <w:r w:rsidRPr="14F70A90">
        <w:rPr>
          <w:rFonts w:ascii="Times New Roman" w:hAnsi="Times New Roman" w:cs="Times New Roman"/>
          <w:noProof/>
          <w:sz w:val="24"/>
          <w:szCs w:val="24"/>
        </w:rPr>
        <w:t xml:space="preserve">hresholds and scope do not align, creating overlaps and gaps that affect the </w:t>
      </w:r>
      <w:r w:rsidR="07CC74D7" w:rsidRPr="14F70A90">
        <w:rPr>
          <w:rFonts w:ascii="Times New Roman" w:hAnsi="Times New Roman" w:cs="Times New Roman"/>
          <w:noProof/>
          <w:sz w:val="24"/>
          <w:szCs w:val="24"/>
        </w:rPr>
        <w:t xml:space="preserve">effectiveness </w:t>
      </w:r>
      <w:r w:rsidRPr="14F70A90">
        <w:rPr>
          <w:rFonts w:ascii="Times New Roman" w:hAnsi="Times New Roman" w:cs="Times New Roman"/>
          <w:noProof/>
          <w:sz w:val="24"/>
          <w:szCs w:val="24"/>
        </w:rPr>
        <w:t>of the framework.</w:t>
      </w:r>
    </w:p>
    <w:p w14:paraId="44E15DA2" w14:textId="380EB5B4" w:rsidR="14F70A90" w:rsidRDefault="14F70A90" w:rsidP="14F70A90">
      <w:pPr>
        <w:pStyle w:val="ListParagraph"/>
        <w:spacing w:after="120"/>
        <w:contextualSpacing w:val="0"/>
        <w:jc w:val="both"/>
        <w:rPr>
          <w:rFonts w:ascii="Times New Roman" w:hAnsi="Times New Roman" w:cs="Times New Roman"/>
          <w:noProof/>
          <w:sz w:val="24"/>
          <w:szCs w:val="24"/>
        </w:rPr>
      </w:pPr>
    </w:p>
    <w:p w14:paraId="0D7C06B9" w14:textId="2D7A1F47" w:rsidR="00E835D4" w:rsidRPr="0036474B" w:rsidRDefault="00E835D4" w:rsidP="00B00C18">
      <w:pPr>
        <w:pStyle w:val="ListParagraph"/>
        <w:numPr>
          <w:ilvl w:val="2"/>
          <w:numId w:val="11"/>
        </w:numPr>
        <w:spacing w:after="120"/>
        <w:ind w:left="1276"/>
        <w:contextualSpacing w:val="0"/>
        <w:outlineLvl w:val="2"/>
        <w:rPr>
          <w:rFonts w:ascii="Times New Roman" w:hAnsi="Times New Roman" w:cs="Times New Roman"/>
          <w:b/>
          <w:bCs/>
          <w:noProof/>
          <w:sz w:val="24"/>
          <w:szCs w:val="24"/>
          <w:lang w:val="en-GB"/>
        </w:rPr>
      </w:pPr>
      <w:bookmarkStart w:id="53" w:name="_Toc234341750"/>
      <w:r w:rsidRPr="00B9CD08">
        <w:rPr>
          <w:rFonts w:ascii="Times New Roman" w:hAnsi="Times New Roman" w:cs="Times New Roman"/>
          <w:b/>
          <w:bCs/>
          <w:noProof/>
          <w:sz w:val="24"/>
          <w:szCs w:val="24"/>
          <w:lang w:val="en-GB"/>
        </w:rPr>
        <w:t>Other issues</w:t>
      </w:r>
      <w:bookmarkEnd w:id="53"/>
    </w:p>
    <w:p w14:paraId="0D1B9A21" w14:textId="19A236E3" w:rsidR="00980A42" w:rsidRDefault="00980A42" w:rsidP="005F6A51">
      <w:pPr>
        <w:pStyle w:val="ListParagraph"/>
        <w:numPr>
          <w:ilvl w:val="0"/>
          <w:numId w:val="23"/>
        </w:numPr>
        <w:spacing w:after="120"/>
        <w:contextualSpacing w:val="0"/>
        <w:rPr>
          <w:rFonts w:ascii="Times New Roman" w:hAnsi="Times New Roman" w:cs="Times New Roman"/>
          <w:b/>
          <w:noProof/>
          <w:sz w:val="24"/>
          <w:szCs w:val="24"/>
          <w:lang w:val="en-GB"/>
        </w:rPr>
      </w:pPr>
      <w:r>
        <w:rPr>
          <w:rFonts w:ascii="Times New Roman" w:hAnsi="Times New Roman" w:cs="Times New Roman"/>
          <w:b/>
          <w:noProof/>
          <w:sz w:val="24"/>
          <w:szCs w:val="24"/>
          <w:lang w:val="en-GB"/>
        </w:rPr>
        <w:t xml:space="preserve">Remuneration </w:t>
      </w:r>
    </w:p>
    <w:p w14:paraId="40406ABC" w14:textId="77777777" w:rsidR="00EB12EE" w:rsidRPr="00AC2B0B" w:rsidRDefault="00EB12EE" w:rsidP="001752EA">
      <w:pPr>
        <w:spacing w:after="120"/>
        <w:jc w:val="both"/>
        <w:rPr>
          <w:rFonts w:ascii="Times New Roman" w:hAnsi="Times New Roman" w:cs="Times New Roman"/>
          <w:bCs/>
          <w:noProof/>
          <w:sz w:val="24"/>
          <w:szCs w:val="24"/>
          <w:lang w:val="en-GB"/>
        </w:rPr>
      </w:pPr>
      <w:r w:rsidRPr="00AC2B0B">
        <w:rPr>
          <w:rFonts w:ascii="Times New Roman" w:hAnsi="Times New Roman" w:cs="Times New Roman"/>
          <w:bCs/>
          <w:noProof/>
          <w:sz w:val="24"/>
          <w:szCs w:val="24"/>
        </w:rPr>
        <w:t>The EU’s current banking remuneration rules were shaped after the global financial crisis, when reforms were introduced to address the failures of pre-crisis governance, particularly by tightening remuneration structures for staff whose activities materially affected an institution’s risk profile (“material risk-takers”). To prevent excessive risk taking linked to variable remuneration, the rules introduced a range of measures, including a maximum ratio between the fixed and the variable component of the total remuneration, a requirement to pay out a proportion of the variable remuneration in shares and other instruments and the deferral of a portion of variable remuneration. These measures aim to align the pay of material risk-takers with long-term soundness of institutions by discouraging aggressive trading and credit risk build ups via short term bonus incentives.</w:t>
      </w:r>
      <w:r w:rsidRPr="00AC2B0B">
        <w:rPr>
          <w:rFonts w:ascii="Times New Roman" w:hAnsi="Times New Roman" w:cs="Times New Roman"/>
          <w:bCs/>
          <w:noProof/>
          <w:sz w:val="24"/>
          <w:szCs w:val="24"/>
          <w:lang w:val="en-GB"/>
        </w:rPr>
        <w:t> </w:t>
      </w:r>
    </w:p>
    <w:p w14:paraId="024B76E8" w14:textId="5FD4855A" w:rsidR="00EB12EE" w:rsidRPr="00AC2B0B" w:rsidRDefault="00EB12EE" w:rsidP="001752EA">
      <w:pPr>
        <w:spacing w:after="120"/>
        <w:jc w:val="both"/>
        <w:rPr>
          <w:rFonts w:ascii="Times New Roman" w:hAnsi="Times New Roman" w:cs="Times New Roman"/>
          <w:bCs/>
          <w:noProof/>
          <w:sz w:val="24"/>
          <w:szCs w:val="24"/>
          <w:lang w:val="en-GB"/>
        </w:rPr>
      </w:pPr>
      <w:r w:rsidRPr="00AC2B0B">
        <w:rPr>
          <w:rFonts w:ascii="Times New Roman" w:hAnsi="Times New Roman" w:cs="Times New Roman"/>
          <w:bCs/>
          <w:noProof/>
          <w:sz w:val="24"/>
          <w:szCs w:val="24"/>
        </w:rPr>
        <w:t>These objectives are still relevant today. However, the current landscape presents different challenges from those of the immediate aftermath of the crisis, including increased global competition, recurring economic disruptions, an urgent need to finance investment and the imperative to retain talent (risk, compliance, cyber, quantitative finance) in a sector that faces new sources of risk. The current framework is also based on rules that may not reflect the systemic risks institutions face today or the diversity of the EU banking sector</w:t>
      </w:r>
      <w:r w:rsidRPr="00AC2B0B">
        <w:rPr>
          <w:rFonts w:ascii="Times New Roman" w:hAnsi="Times New Roman" w:cs="Times New Roman"/>
          <w:bCs/>
          <w:noProof/>
          <w:sz w:val="24"/>
          <w:szCs w:val="24"/>
          <w:lang w:val="en-GB"/>
        </w:rPr>
        <w:t>.</w:t>
      </w:r>
      <w:r w:rsidR="00AC2B0B">
        <w:rPr>
          <w:rFonts w:ascii="Times New Roman" w:hAnsi="Times New Roman" w:cs="Times New Roman"/>
          <w:bCs/>
          <w:noProof/>
          <w:sz w:val="24"/>
          <w:szCs w:val="24"/>
          <w:lang w:val="en-GB"/>
        </w:rPr>
        <w:t xml:space="preserve"> </w:t>
      </w:r>
    </w:p>
    <w:p w14:paraId="241D5622" w14:textId="3E4A0480" w:rsidR="00EB12EE" w:rsidRPr="00AC2B0B" w:rsidRDefault="00EB12EE" w:rsidP="001752EA">
      <w:pPr>
        <w:spacing w:after="120"/>
        <w:jc w:val="both"/>
        <w:rPr>
          <w:rFonts w:ascii="Times New Roman" w:hAnsi="Times New Roman" w:cs="Times New Roman"/>
          <w:bCs/>
          <w:noProof/>
          <w:sz w:val="24"/>
          <w:szCs w:val="24"/>
          <w:lang w:val="en-GB"/>
        </w:rPr>
      </w:pPr>
      <w:r w:rsidRPr="00AC2B0B">
        <w:rPr>
          <w:rFonts w:ascii="Times New Roman" w:hAnsi="Times New Roman" w:cs="Times New Roman"/>
          <w:bCs/>
          <w:noProof/>
          <w:sz w:val="24"/>
          <w:szCs w:val="24"/>
        </w:rPr>
        <w:t>A majority of respondents to the targeted consultation expressed concern that the current remuneration rules are overly complex and not adapted to the current challenges. They are considered to create undue costs and hamper the competitiveness of the European banking sector without a clear benefit in risk-alignment.</w:t>
      </w:r>
      <w:r w:rsidR="00AC2B0B">
        <w:rPr>
          <w:rFonts w:ascii="Times New Roman" w:hAnsi="Times New Roman" w:cs="Times New Roman"/>
          <w:bCs/>
          <w:noProof/>
          <w:sz w:val="24"/>
          <w:szCs w:val="24"/>
        </w:rPr>
        <w:t xml:space="preserve"> </w:t>
      </w:r>
    </w:p>
    <w:p w14:paraId="1631041F" w14:textId="77777777" w:rsidR="0026076F" w:rsidRPr="00AC2B0B" w:rsidRDefault="0026076F" w:rsidP="0026076F">
      <w:pPr>
        <w:spacing w:after="120"/>
        <w:jc w:val="both"/>
        <w:rPr>
          <w:rFonts w:ascii="Times New Roman" w:hAnsi="Times New Roman" w:cs="Times New Roman"/>
          <w:bCs/>
          <w:noProof/>
          <w:sz w:val="24"/>
          <w:szCs w:val="24"/>
          <w:lang w:val="en-GB"/>
        </w:rPr>
      </w:pPr>
      <w:r w:rsidRPr="00AC2B0B">
        <w:rPr>
          <w:rFonts w:ascii="Times New Roman" w:hAnsi="Times New Roman" w:cs="Times New Roman"/>
          <w:bCs/>
          <w:noProof/>
          <w:sz w:val="24"/>
          <w:szCs w:val="24"/>
        </w:rPr>
        <w:t>Adjustments to the remuneration framework for material risk-takers could reduce unnecessary burden and complexity, address unintended effects on pay structures, avoid distortions in competitions for specialised talent, adapt the framework to current systemic risks and better reflect institutions’ varied risk profiles, thereby fostering competitiveness of the EU banking sector, while preserving the underlying policy objective.</w:t>
      </w:r>
      <w:r w:rsidRPr="00AC2B0B">
        <w:rPr>
          <w:rFonts w:ascii="Times New Roman" w:hAnsi="Times New Roman" w:cs="Times New Roman"/>
          <w:bCs/>
          <w:noProof/>
          <w:sz w:val="24"/>
          <w:szCs w:val="24"/>
          <w:lang w:val="en-GB"/>
        </w:rPr>
        <w:t> </w:t>
      </w:r>
    </w:p>
    <w:p w14:paraId="147E2482" w14:textId="0F95005C" w:rsidR="00EB12EE" w:rsidRPr="00AC2B0B" w:rsidRDefault="00EB12EE" w:rsidP="001752EA">
      <w:pPr>
        <w:spacing w:after="120"/>
        <w:jc w:val="both"/>
        <w:rPr>
          <w:rFonts w:ascii="Times New Roman" w:hAnsi="Times New Roman" w:cs="Times New Roman"/>
          <w:bCs/>
          <w:noProof/>
          <w:sz w:val="24"/>
          <w:szCs w:val="24"/>
          <w:u w:val="single"/>
          <w:lang w:val="en-GB"/>
        </w:rPr>
      </w:pPr>
      <w:r w:rsidRPr="00AC2B0B">
        <w:rPr>
          <w:rFonts w:ascii="Times New Roman" w:hAnsi="Times New Roman" w:cs="Times New Roman"/>
          <w:bCs/>
          <w:noProof/>
          <w:sz w:val="24"/>
          <w:szCs w:val="24"/>
          <w:u w:val="single"/>
        </w:rPr>
        <w:t>Issues identified:</w:t>
      </w:r>
    </w:p>
    <w:p w14:paraId="464B44A6" w14:textId="77777777" w:rsidR="00EB12EE" w:rsidRPr="00AC2B0B" w:rsidRDefault="00EB12EE" w:rsidP="001752EA">
      <w:pPr>
        <w:numPr>
          <w:ilvl w:val="0"/>
          <w:numId w:val="66"/>
        </w:numPr>
        <w:spacing w:after="120"/>
        <w:jc w:val="both"/>
        <w:rPr>
          <w:rFonts w:ascii="Times New Roman" w:hAnsi="Times New Roman" w:cs="Times New Roman"/>
          <w:bCs/>
          <w:noProof/>
          <w:sz w:val="24"/>
          <w:szCs w:val="24"/>
          <w:lang w:val="en-GB"/>
        </w:rPr>
      </w:pPr>
      <w:r w:rsidRPr="00AC2B0B">
        <w:rPr>
          <w:rFonts w:ascii="Times New Roman" w:hAnsi="Times New Roman" w:cs="Times New Roman"/>
          <w:bCs/>
          <w:noProof/>
          <w:sz w:val="24"/>
          <w:szCs w:val="24"/>
        </w:rPr>
        <w:t>Respondents consider the process for identifying material risk-takers to be complex and creating operational challenges for institutions seeking compliance. The main administrative burden stems from the quantitative criteria and exclusions that are subject to notifications and approvals by competent authorities.</w:t>
      </w:r>
      <w:r w:rsidRPr="00AC2B0B">
        <w:rPr>
          <w:rFonts w:ascii="Times New Roman" w:hAnsi="Times New Roman" w:cs="Times New Roman"/>
          <w:bCs/>
          <w:noProof/>
          <w:sz w:val="24"/>
          <w:szCs w:val="24"/>
          <w:lang w:val="en-GB"/>
        </w:rPr>
        <w:t> </w:t>
      </w:r>
    </w:p>
    <w:p w14:paraId="509581B3" w14:textId="77777777" w:rsidR="004A65C9" w:rsidRPr="00AC2B0B" w:rsidRDefault="00EB12EE" w:rsidP="00A23BCE">
      <w:pPr>
        <w:numPr>
          <w:ilvl w:val="0"/>
          <w:numId w:val="67"/>
        </w:numPr>
        <w:spacing w:after="120"/>
        <w:jc w:val="both"/>
        <w:rPr>
          <w:rFonts w:ascii="Times New Roman" w:hAnsi="Times New Roman" w:cs="Times New Roman"/>
          <w:bCs/>
          <w:noProof/>
          <w:sz w:val="24"/>
          <w:szCs w:val="24"/>
          <w:lang w:val="en-GB"/>
        </w:rPr>
      </w:pPr>
      <w:r w:rsidRPr="00AC2B0B">
        <w:rPr>
          <w:rFonts w:ascii="Times New Roman" w:hAnsi="Times New Roman" w:cs="Times New Roman"/>
          <w:bCs/>
          <w:noProof/>
          <w:sz w:val="24"/>
          <w:szCs w:val="24"/>
        </w:rPr>
        <w:t>The maximum ratio between the fixed and the variable component of the total remuneration is considered to be an inflexible regulatory requirement that may have led to increased fixed remuneration and reduced flexibility in cost structures. Its implementation has been subject to gold-plating at the national level, resulting in fragmentation across the EU, and the ratio is not in line with international practice in other major financial centres.</w:t>
      </w:r>
      <w:r w:rsidRPr="00AC2B0B">
        <w:rPr>
          <w:rFonts w:ascii="Times New Roman" w:hAnsi="Times New Roman" w:cs="Times New Roman"/>
          <w:bCs/>
          <w:noProof/>
          <w:sz w:val="24"/>
          <w:szCs w:val="24"/>
          <w:lang w:val="en-GB"/>
        </w:rPr>
        <w:t> </w:t>
      </w:r>
    </w:p>
    <w:p w14:paraId="129D915D" w14:textId="32E9834D" w:rsidR="00EB12EE" w:rsidRPr="00AC2B0B" w:rsidRDefault="00EB12EE" w:rsidP="001752EA">
      <w:pPr>
        <w:numPr>
          <w:ilvl w:val="0"/>
          <w:numId w:val="67"/>
        </w:numPr>
        <w:spacing w:after="120"/>
        <w:jc w:val="both"/>
        <w:rPr>
          <w:rFonts w:ascii="Times New Roman" w:hAnsi="Times New Roman" w:cs="Times New Roman"/>
          <w:bCs/>
          <w:noProof/>
          <w:sz w:val="24"/>
          <w:szCs w:val="24"/>
          <w:lang w:val="en-GB"/>
        </w:rPr>
      </w:pPr>
      <w:r w:rsidRPr="00AC2B0B">
        <w:rPr>
          <w:rFonts w:ascii="Times New Roman" w:hAnsi="Times New Roman" w:cs="Times New Roman"/>
          <w:bCs/>
          <w:noProof/>
          <w:sz w:val="24"/>
          <w:szCs w:val="24"/>
        </w:rPr>
        <w:t>Respondents find the requirement to pay out a proportion of the</w:t>
      </w:r>
      <w:r w:rsidR="004A65C9" w:rsidRPr="00AC2B0B">
        <w:rPr>
          <w:rFonts w:ascii="Times New Roman" w:hAnsi="Times New Roman" w:cs="Times New Roman"/>
          <w:bCs/>
          <w:noProof/>
          <w:sz w:val="24"/>
          <w:szCs w:val="24"/>
        </w:rPr>
        <w:t xml:space="preserve"> v</w:t>
      </w:r>
      <w:r w:rsidRPr="00AC2B0B">
        <w:rPr>
          <w:rFonts w:ascii="Times New Roman" w:hAnsi="Times New Roman" w:cs="Times New Roman"/>
          <w:bCs/>
          <w:noProof/>
          <w:sz w:val="24"/>
          <w:szCs w:val="24"/>
        </w:rPr>
        <w:t>ariable remuneration in shares and other instruments overly complex, especially for small and non-listed firms that do not qualify for the derogations. In some cases, they must create instruments solely for remuneration purposes in order to pay out a mix of different financial assets. The rule that a substantial portion of</w:t>
      </w:r>
      <w:r w:rsidR="00BD6706" w:rsidRPr="00AC2B0B">
        <w:rPr>
          <w:rFonts w:ascii="Times New Roman" w:hAnsi="Times New Roman" w:cs="Times New Roman"/>
          <w:bCs/>
          <w:noProof/>
          <w:sz w:val="24"/>
          <w:szCs w:val="24"/>
        </w:rPr>
        <w:t xml:space="preserve"> </w:t>
      </w:r>
      <w:r w:rsidR="004A65C9" w:rsidRPr="00AC2B0B">
        <w:rPr>
          <w:rFonts w:ascii="Times New Roman" w:hAnsi="Times New Roman" w:cs="Times New Roman"/>
          <w:bCs/>
          <w:noProof/>
          <w:sz w:val="24"/>
          <w:szCs w:val="24"/>
        </w:rPr>
        <w:t xml:space="preserve">variable </w:t>
      </w:r>
      <w:r w:rsidRPr="00AC2B0B">
        <w:rPr>
          <w:rFonts w:ascii="Times New Roman" w:hAnsi="Times New Roman" w:cs="Times New Roman"/>
          <w:bCs/>
          <w:noProof/>
          <w:sz w:val="24"/>
          <w:szCs w:val="24"/>
        </w:rPr>
        <w:t>remuneration must be paid out in a balance of instruments applies to both deferred and non-deferred components, which creates operational complexity. In addition, respondents consider that the retention period for instruments adds to the burden on both the institution and the identified staff.</w:t>
      </w:r>
      <w:r w:rsidRPr="00AC2B0B">
        <w:rPr>
          <w:rFonts w:ascii="Times New Roman" w:hAnsi="Times New Roman" w:cs="Times New Roman"/>
          <w:bCs/>
          <w:noProof/>
          <w:sz w:val="24"/>
          <w:szCs w:val="24"/>
          <w:lang w:val="en-GB"/>
        </w:rPr>
        <w:t> </w:t>
      </w:r>
    </w:p>
    <w:p w14:paraId="41DE4E63" w14:textId="769CA38B" w:rsidR="00EB12EE" w:rsidRPr="00AC2B0B" w:rsidRDefault="00EB12EE" w:rsidP="001752EA">
      <w:pPr>
        <w:numPr>
          <w:ilvl w:val="0"/>
          <w:numId w:val="69"/>
        </w:numPr>
        <w:spacing w:after="120"/>
        <w:jc w:val="both"/>
        <w:rPr>
          <w:rFonts w:ascii="Times New Roman" w:hAnsi="Times New Roman" w:cs="Times New Roman"/>
          <w:bCs/>
          <w:noProof/>
          <w:sz w:val="24"/>
          <w:szCs w:val="24"/>
          <w:lang w:val="en-GB"/>
        </w:rPr>
      </w:pPr>
      <w:r w:rsidRPr="00AC2B0B">
        <w:rPr>
          <w:rFonts w:ascii="Times New Roman" w:hAnsi="Times New Roman" w:cs="Times New Roman"/>
          <w:bCs/>
          <w:noProof/>
          <w:sz w:val="24"/>
          <w:szCs w:val="24"/>
        </w:rPr>
        <w:t>According to respondents, the period over which a substantial portion of variable remuneration is deferred is unclear, setting a minimum of 4 to 5 years. This requirement is not aligned with other sectors. For the members of the management body and senior managers the minimum period is 5 years, which increases the burden.</w:t>
      </w:r>
      <w:r w:rsidR="00AC2B0B">
        <w:rPr>
          <w:rFonts w:ascii="Times New Roman" w:hAnsi="Times New Roman" w:cs="Times New Roman"/>
          <w:bCs/>
          <w:noProof/>
          <w:sz w:val="24"/>
          <w:szCs w:val="24"/>
        </w:rPr>
        <w:t xml:space="preserve"> </w:t>
      </w:r>
    </w:p>
    <w:p w14:paraId="08720F40" w14:textId="77777777" w:rsidR="00EB12EE" w:rsidRPr="00AC2B0B" w:rsidRDefault="00EB12EE" w:rsidP="001752EA">
      <w:pPr>
        <w:numPr>
          <w:ilvl w:val="0"/>
          <w:numId w:val="70"/>
        </w:numPr>
        <w:spacing w:after="120"/>
        <w:jc w:val="both"/>
        <w:rPr>
          <w:rFonts w:ascii="Times New Roman" w:hAnsi="Times New Roman" w:cs="Times New Roman"/>
          <w:bCs/>
          <w:noProof/>
          <w:sz w:val="24"/>
          <w:szCs w:val="24"/>
          <w:lang w:val="en-GB"/>
        </w:rPr>
      </w:pPr>
      <w:r w:rsidRPr="00AC2B0B">
        <w:rPr>
          <w:rFonts w:ascii="Times New Roman" w:hAnsi="Times New Roman" w:cs="Times New Roman"/>
          <w:bCs/>
          <w:noProof/>
          <w:sz w:val="24"/>
          <w:szCs w:val="24"/>
        </w:rPr>
        <w:t>Respondents point out that the implementation of ex post risk adjustments through the clawback mechanism is often limited in Member States by legal and labour law constraints.</w:t>
      </w:r>
      <w:r w:rsidRPr="00AC2B0B">
        <w:rPr>
          <w:rFonts w:ascii="Times New Roman" w:hAnsi="Times New Roman" w:cs="Times New Roman"/>
          <w:bCs/>
          <w:noProof/>
          <w:sz w:val="24"/>
          <w:szCs w:val="24"/>
          <w:lang w:val="en-GB"/>
        </w:rPr>
        <w:t> </w:t>
      </w:r>
    </w:p>
    <w:p w14:paraId="1ABFB137" w14:textId="77777777" w:rsidR="00EB12EE" w:rsidRDefault="00EB12EE" w:rsidP="001752EA">
      <w:pPr>
        <w:numPr>
          <w:ilvl w:val="0"/>
          <w:numId w:val="71"/>
        </w:numPr>
        <w:spacing w:after="120"/>
        <w:jc w:val="both"/>
        <w:rPr>
          <w:rFonts w:ascii="Times New Roman" w:hAnsi="Times New Roman" w:cs="Times New Roman"/>
          <w:bCs/>
          <w:noProof/>
          <w:sz w:val="24"/>
          <w:szCs w:val="24"/>
          <w:lang w:val="en-GB"/>
        </w:rPr>
      </w:pPr>
      <w:r w:rsidRPr="00AC2B0B">
        <w:rPr>
          <w:rFonts w:ascii="Times New Roman" w:hAnsi="Times New Roman" w:cs="Times New Roman"/>
          <w:bCs/>
          <w:noProof/>
          <w:sz w:val="24"/>
          <w:szCs w:val="24"/>
        </w:rPr>
        <w:t>The scope of the existing derogations excludes a significant number of banks and material risk-takers</w:t>
      </w:r>
      <w:r w:rsidRPr="00AC2B0B">
        <w:rPr>
          <w:rFonts w:ascii="Times New Roman" w:hAnsi="Times New Roman" w:cs="Times New Roman"/>
          <w:bCs/>
          <w:noProof/>
          <w:sz w:val="24"/>
          <w:szCs w:val="24"/>
          <w:vertAlign w:val="superscript"/>
        </w:rPr>
        <w:t>98</w:t>
      </w:r>
      <w:r w:rsidRPr="00AC2B0B">
        <w:rPr>
          <w:rFonts w:ascii="Times New Roman" w:hAnsi="Times New Roman" w:cs="Times New Roman"/>
          <w:bCs/>
          <w:noProof/>
          <w:sz w:val="24"/>
          <w:szCs w:val="24"/>
        </w:rPr>
        <w:t>. The thresholds, however, have not evolved in line with risks and economic developments. Furthermore, the provision allowing Member States to increase the institutional derogation threshold to €15 billion deepens regulatory divergence across the EU.</w:t>
      </w:r>
      <w:r w:rsidRPr="00AC2B0B">
        <w:rPr>
          <w:rFonts w:ascii="Times New Roman" w:hAnsi="Times New Roman" w:cs="Times New Roman"/>
          <w:bCs/>
          <w:noProof/>
          <w:sz w:val="24"/>
          <w:szCs w:val="24"/>
          <w:lang w:val="en-GB"/>
        </w:rPr>
        <w:t> </w:t>
      </w:r>
    </w:p>
    <w:p w14:paraId="5908ECA1" w14:textId="77777777" w:rsidR="00515B62" w:rsidRPr="00AC2B0B" w:rsidRDefault="00515B62" w:rsidP="00515B62">
      <w:pPr>
        <w:spacing w:after="120"/>
        <w:jc w:val="both"/>
        <w:rPr>
          <w:rFonts w:ascii="Times New Roman" w:hAnsi="Times New Roman" w:cs="Times New Roman"/>
          <w:bCs/>
          <w:noProof/>
          <w:sz w:val="24"/>
          <w:szCs w:val="24"/>
          <w:lang w:val="en-GB"/>
        </w:rPr>
      </w:pPr>
    </w:p>
    <w:p w14:paraId="0F859064" w14:textId="1D48CE35" w:rsidR="00AC35FF" w:rsidRPr="0036474B" w:rsidRDefault="00A64E48" w:rsidP="005F6A51">
      <w:pPr>
        <w:pStyle w:val="ListParagraph"/>
        <w:numPr>
          <w:ilvl w:val="0"/>
          <w:numId w:val="23"/>
        </w:numPr>
        <w:spacing w:after="120"/>
        <w:contextualSpacing w:val="0"/>
        <w:rPr>
          <w:rFonts w:ascii="Times New Roman" w:hAnsi="Times New Roman" w:cs="Times New Roman"/>
          <w:b/>
          <w:noProof/>
          <w:sz w:val="24"/>
          <w:szCs w:val="24"/>
          <w:lang w:val="en-GB"/>
        </w:rPr>
      </w:pPr>
      <w:r w:rsidRPr="0036474B">
        <w:rPr>
          <w:rFonts w:ascii="Times New Roman" w:hAnsi="Times New Roman" w:cs="Times New Roman"/>
          <w:b/>
          <w:noProof/>
          <w:sz w:val="24"/>
          <w:szCs w:val="24"/>
          <w:lang w:val="en-GB"/>
        </w:rPr>
        <w:t>Supervis</w:t>
      </w:r>
      <w:bookmarkStart w:id="54" w:name="reporting"/>
      <w:bookmarkEnd w:id="54"/>
      <w:r w:rsidRPr="0036474B">
        <w:rPr>
          <w:rFonts w:ascii="Times New Roman" w:hAnsi="Times New Roman" w:cs="Times New Roman"/>
          <w:b/>
          <w:noProof/>
          <w:sz w:val="24"/>
          <w:szCs w:val="24"/>
          <w:lang w:val="en-GB"/>
        </w:rPr>
        <w:t>ory reporting and disclosures</w:t>
      </w:r>
    </w:p>
    <w:p w14:paraId="5B46F33E" w14:textId="0749D9AF" w:rsidR="006428C6" w:rsidRPr="0036474B" w:rsidRDefault="006428C6" w:rsidP="006428C6">
      <w:pPr>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rPr>
        <w:t xml:space="preserve">The role of supervisory reporting in banking is to provide supervisors with regular, comparable and high-quality data that support risk assessment, compliance checks, and timely supervisory action to preserve financial stability and protect depositors. Public disclosures facilitate market discipline and investor protection by allowing investors and creditors to reward well-managed institutions and penalise risky behaviour. </w:t>
      </w:r>
    </w:p>
    <w:p w14:paraId="4BEE7507" w14:textId="3730C353" w:rsidR="006428C6" w:rsidRPr="0036474B" w:rsidRDefault="006428C6" w:rsidP="006428C6">
      <w:pPr>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rPr>
        <w:t xml:space="preserve">While reporting and disclosure requirements have been around for a long time, the volume and granularity of the data required to be reported and disclosed significantly increased following the global financial crisis. While this improved data availability helped the authorities overseeing the banking sector, it also led to an increased burden for reporting entities. </w:t>
      </w:r>
    </w:p>
    <w:p w14:paraId="160C6FC7" w14:textId="77777777" w:rsidR="006428C6" w:rsidRPr="0036474B" w:rsidRDefault="006428C6" w:rsidP="006428C6">
      <w:pPr>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rPr>
        <w:t>A comprehensive fitness check conducted by the Commission on supervisory reporting</w:t>
      </w:r>
      <w:r w:rsidRPr="0036474B">
        <w:rPr>
          <w:rStyle w:val="FootnoteReference"/>
          <w:rFonts w:ascii="Times New Roman" w:hAnsi="Times New Roman" w:cs="Times New Roman"/>
          <w:noProof/>
          <w:sz w:val="24"/>
          <w:szCs w:val="24"/>
          <w:lang w:val="en-GB"/>
        </w:rPr>
        <w:footnoteReference w:id="101"/>
      </w:r>
      <w:r w:rsidRPr="0036474B">
        <w:rPr>
          <w:rFonts w:ascii="Times New Roman" w:hAnsi="Times New Roman" w:cs="Times New Roman"/>
          <w:noProof/>
          <w:sz w:val="24"/>
          <w:szCs w:val="24"/>
          <w:lang w:val="en-GB"/>
        </w:rPr>
        <w:t xml:space="preserve"> (and a subsequent fitness check on public reporting</w:t>
      </w:r>
      <w:r w:rsidRPr="0036474B">
        <w:rPr>
          <w:rStyle w:val="FootnoteReference"/>
          <w:rFonts w:ascii="Times New Roman" w:hAnsi="Times New Roman" w:cs="Times New Roman"/>
          <w:noProof/>
          <w:sz w:val="24"/>
          <w:szCs w:val="24"/>
          <w:lang w:val="en-GB"/>
        </w:rPr>
        <w:footnoteReference w:id="102"/>
      </w:r>
      <w:r w:rsidRPr="0036474B">
        <w:rPr>
          <w:rFonts w:ascii="Times New Roman" w:hAnsi="Times New Roman" w:cs="Times New Roman"/>
          <w:noProof/>
          <w:sz w:val="24"/>
          <w:szCs w:val="24"/>
          <w:lang w:val="en-GB"/>
        </w:rPr>
        <w:t>) confirmed that the EU reporting framework is overall relevant and effective and contributes to ensuring</w:t>
      </w:r>
      <w:r w:rsidRPr="0036474B" w:rsidDel="00D10A94">
        <w:rPr>
          <w:rFonts w:ascii="Times New Roman" w:hAnsi="Times New Roman" w:cs="Times New Roman"/>
          <w:noProof/>
          <w:sz w:val="24"/>
          <w:szCs w:val="24"/>
          <w:lang w:val="en-GB"/>
        </w:rPr>
        <w:t xml:space="preserve"> </w:t>
      </w:r>
      <w:r w:rsidRPr="0036474B">
        <w:rPr>
          <w:rFonts w:ascii="Times New Roman" w:hAnsi="Times New Roman" w:cs="Times New Roman"/>
          <w:noProof/>
          <w:sz w:val="24"/>
          <w:szCs w:val="24"/>
          <w:lang w:val="en-GB"/>
        </w:rPr>
        <w:t>financial stability, market integrity and investor protection. This is also widely acknowledged in studies by multiple EU and international organisations</w:t>
      </w:r>
      <w:r w:rsidRPr="0036474B">
        <w:rPr>
          <w:rStyle w:val="FootnoteReference"/>
          <w:rFonts w:ascii="Times New Roman" w:hAnsi="Times New Roman" w:cs="Times New Roman"/>
          <w:noProof/>
          <w:sz w:val="24"/>
          <w:szCs w:val="24"/>
          <w:lang w:val="en-GB"/>
        </w:rPr>
        <w:footnoteReference w:id="103"/>
      </w:r>
      <w:r w:rsidRPr="0036474B">
        <w:rPr>
          <w:rFonts w:ascii="Times New Roman" w:hAnsi="Times New Roman" w:cs="Times New Roman"/>
          <w:noProof/>
          <w:sz w:val="24"/>
          <w:szCs w:val="24"/>
          <w:lang w:val="en-GB"/>
        </w:rPr>
        <w:t>.</w:t>
      </w:r>
    </w:p>
    <w:p w14:paraId="7628DDC9" w14:textId="15E404C3" w:rsidR="006428C6" w:rsidRPr="0036474B" w:rsidRDefault="006428C6" w:rsidP="006428C6">
      <w:pPr>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rPr>
        <w:t>However, the fitness check and other assessments also revealed that the efficiency and consistency of reporting could be improved to reduce the overall burden on reporting entities as well as for authorities as the recipients and users of supervisory data. It identified the following key root causes for a high burden: insufficient alignment and coordination between authorities (including inconsistent definitions, standards, formats, data overlaps, redundancies and mis-aligned timing of requests, insufficient data-sharing), a lack of proportionality of requirements (including complexity, lack of clarity, improper use of level 1 and level 2 acts, inefficient data-validation processes, lack of consultation with reporting entities and the absence of evaluations or feedback-loops on data usage), a high prevalence of ad hoc requests and a lack of harmonisation with national gold plating. Subsequent studies, such as EBA’s 2023 Feasibility Study on integrated reporting</w:t>
      </w:r>
      <w:r w:rsidRPr="0036474B">
        <w:rPr>
          <w:rStyle w:val="FootnoteReference"/>
          <w:rFonts w:ascii="Times New Roman" w:hAnsi="Times New Roman" w:cs="Times New Roman"/>
          <w:noProof/>
          <w:sz w:val="24"/>
          <w:szCs w:val="24"/>
          <w:lang w:val="en-GB"/>
        </w:rPr>
        <w:footnoteReference w:id="104"/>
      </w:r>
      <w:r w:rsidRPr="0036474B">
        <w:rPr>
          <w:rFonts w:ascii="Times New Roman" w:hAnsi="Times New Roman" w:cs="Times New Roman"/>
          <w:noProof/>
          <w:sz w:val="24"/>
          <w:szCs w:val="24"/>
          <w:lang w:val="en-GB"/>
        </w:rPr>
        <w:t>, and multiple reports by the ECB</w:t>
      </w:r>
      <w:r w:rsidRPr="0036474B">
        <w:rPr>
          <w:rStyle w:val="FootnoteReference"/>
          <w:rFonts w:ascii="Times New Roman" w:hAnsi="Times New Roman" w:cs="Times New Roman"/>
          <w:noProof/>
          <w:sz w:val="24"/>
          <w:szCs w:val="24"/>
          <w:lang w:val="en-GB"/>
        </w:rPr>
        <w:footnoteReference w:id="105"/>
      </w:r>
      <w:r w:rsidRPr="0036474B">
        <w:rPr>
          <w:rFonts w:ascii="Times New Roman" w:hAnsi="Times New Roman" w:cs="Times New Roman"/>
          <w:noProof/>
          <w:sz w:val="24"/>
          <w:szCs w:val="24"/>
          <w:lang w:val="en-GB"/>
        </w:rPr>
        <w:t xml:space="preserve"> came to similar conclusions.</w:t>
      </w:r>
    </w:p>
    <w:p w14:paraId="18D16693" w14:textId="2D3C1482" w:rsidR="006428C6" w:rsidRPr="0036474B" w:rsidRDefault="006428C6" w:rsidP="006428C6">
      <w:pPr>
        <w:jc w:val="both"/>
        <w:rPr>
          <w:rFonts w:ascii="Times New Roman" w:hAnsi="Times New Roman" w:cs="Times New Roman"/>
          <w:noProof/>
          <w:sz w:val="24"/>
          <w:szCs w:val="24"/>
        </w:rPr>
      </w:pPr>
      <w:r w:rsidRPr="0036474B">
        <w:rPr>
          <w:rFonts w:ascii="Times New Roman" w:hAnsi="Times New Roman" w:cs="Times New Roman"/>
          <w:noProof/>
          <w:sz w:val="24"/>
          <w:szCs w:val="24"/>
        </w:rPr>
        <w:t xml:space="preserve"> In 2021, the EBA estimated the total reporting costs</w:t>
      </w:r>
      <w:r w:rsidRPr="0036474B">
        <w:rPr>
          <w:rStyle w:val="FootnoteReference"/>
          <w:rFonts w:ascii="Times New Roman" w:hAnsi="Times New Roman" w:cs="Times New Roman"/>
          <w:noProof/>
          <w:sz w:val="24"/>
          <w:szCs w:val="24"/>
        </w:rPr>
        <w:footnoteReference w:id="106"/>
      </w:r>
      <w:r w:rsidRPr="0036474B">
        <w:rPr>
          <w:rFonts w:ascii="Times New Roman" w:hAnsi="Times New Roman" w:cs="Times New Roman"/>
          <w:noProof/>
          <w:sz w:val="24"/>
          <w:szCs w:val="24"/>
        </w:rPr>
        <w:t>, including expenditure on staff, IT systems, legal, accounting, auditing and consultancy services, covering both expenditure</w:t>
      </w:r>
      <w:r w:rsidR="005027C2" w:rsidRPr="0FE6B915">
        <w:rPr>
          <w:rFonts w:ascii="Times New Roman" w:hAnsi="Times New Roman" w:cs="Times New Roman"/>
          <w:noProof/>
          <w:sz w:val="24"/>
          <w:szCs w:val="24"/>
        </w:rPr>
        <w:t>s</w:t>
      </w:r>
      <w:r w:rsidRPr="0036474B">
        <w:rPr>
          <w:rFonts w:ascii="Times New Roman" w:hAnsi="Times New Roman" w:cs="Times New Roman"/>
          <w:noProof/>
          <w:sz w:val="24"/>
          <w:szCs w:val="24"/>
        </w:rPr>
        <w:t xml:space="preserve"> related to the one-off implementation and operation on an ongoing basis to amount to about EUR 11.2 billion (using median values of its sample to extrapolate), which corresponded to about 2.9% of operating expenses. SNCIs account for EUR 1.9 billion of the total. A 2020 study conducted on behalf of the Commission had estimated the portion attributable to EU level reporting requirements, excluding national requirements and normal business costs, to amount to EUR 1.5–4.0 billion per year.</w:t>
      </w:r>
      <w:r w:rsidRPr="0036474B">
        <w:rPr>
          <w:rStyle w:val="FootnoteReference"/>
          <w:rFonts w:ascii="Times New Roman" w:hAnsi="Times New Roman" w:cs="Times New Roman"/>
          <w:noProof/>
          <w:sz w:val="24"/>
          <w:szCs w:val="24"/>
        </w:rPr>
        <w:footnoteReference w:id="107"/>
      </w:r>
      <w:r w:rsidRPr="0036474B">
        <w:rPr>
          <w:rFonts w:ascii="Times New Roman" w:hAnsi="Times New Roman" w:cs="Times New Roman"/>
          <w:noProof/>
          <w:sz w:val="24"/>
          <w:szCs w:val="24"/>
        </w:rPr>
        <w:t xml:space="preserve"> The average number of data points reported by GSIIs is 42</w:t>
      </w:r>
      <w:r w:rsidR="0026076F">
        <w:rPr>
          <w:rFonts w:ascii="Times New Roman" w:hAnsi="Times New Roman" w:cs="Times New Roman"/>
          <w:noProof/>
          <w:sz w:val="24"/>
          <w:szCs w:val="24"/>
        </w:rPr>
        <w:t>,</w:t>
      </w:r>
      <w:r w:rsidRPr="0036474B">
        <w:rPr>
          <w:rFonts w:ascii="Times New Roman" w:hAnsi="Times New Roman" w:cs="Times New Roman"/>
          <w:noProof/>
          <w:sz w:val="24"/>
          <w:szCs w:val="24"/>
        </w:rPr>
        <w:t>000, whereas it is 24</w:t>
      </w:r>
      <w:r w:rsidR="0026076F">
        <w:rPr>
          <w:rFonts w:ascii="Times New Roman" w:hAnsi="Times New Roman" w:cs="Times New Roman"/>
          <w:noProof/>
          <w:sz w:val="24"/>
          <w:szCs w:val="24"/>
        </w:rPr>
        <w:t>,</w:t>
      </w:r>
      <w:r w:rsidRPr="0036474B">
        <w:rPr>
          <w:rFonts w:ascii="Times New Roman" w:hAnsi="Times New Roman" w:cs="Times New Roman"/>
          <w:noProof/>
          <w:sz w:val="24"/>
          <w:szCs w:val="24"/>
        </w:rPr>
        <w:t>000 for large credit institution and 7</w:t>
      </w:r>
      <w:r w:rsidR="0026076F">
        <w:rPr>
          <w:rFonts w:ascii="Times New Roman" w:hAnsi="Times New Roman" w:cs="Times New Roman"/>
          <w:noProof/>
          <w:sz w:val="24"/>
          <w:szCs w:val="24"/>
        </w:rPr>
        <w:t>,</w:t>
      </w:r>
      <w:r w:rsidRPr="0036474B">
        <w:rPr>
          <w:rFonts w:ascii="Times New Roman" w:hAnsi="Times New Roman" w:cs="Times New Roman"/>
          <w:noProof/>
          <w:sz w:val="24"/>
          <w:szCs w:val="24"/>
        </w:rPr>
        <w:t>000 for SNCIs. Proportionality is embedded in the framework as illustrated by the fact that SNCIs are reporting only 30% of the amount of data that large institutions report</w:t>
      </w:r>
      <w:r w:rsidRPr="009C5961">
        <w:rPr>
          <w:rFonts w:ascii="Times New Roman" w:hAnsi="Times New Roman" w:cs="Times New Roman"/>
          <w:noProof/>
          <w:kern w:val="2"/>
          <w:sz w:val="24"/>
          <w:szCs w:val="24"/>
          <w:vertAlign w:val="superscript"/>
          <w14:ligatures w14:val="standardContextual"/>
        </w:rPr>
        <w:footnoteReference w:id="108"/>
      </w:r>
      <w:r w:rsidRPr="0036474B">
        <w:rPr>
          <w:rFonts w:ascii="Times New Roman" w:hAnsi="Times New Roman" w:cs="Times New Roman"/>
          <w:noProof/>
          <w:sz w:val="24"/>
          <w:szCs w:val="24"/>
        </w:rPr>
        <w:t>.</w:t>
      </w:r>
      <w:r w:rsidR="00086D98" w:rsidRPr="00B9CD08">
        <w:rPr>
          <w:rFonts w:ascii="Times New Roman" w:hAnsi="Times New Roman" w:cs="Times New Roman"/>
          <w:noProof/>
          <w:sz w:val="24"/>
          <w:szCs w:val="24"/>
        </w:rPr>
        <w:t xml:space="preserve">  </w:t>
      </w:r>
    </w:p>
    <w:p w14:paraId="3458E74D" w14:textId="4B81BEFB" w:rsidR="006428C6" w:rsidRPr="0036474B" w:rsidRDefault="006428C6" w:rsidP="006428C6">
      <w:pPr>
        <w:jc w:val="both"/>
        <w:rPr>
          <w:rFonts w:ascii="Times New Roman" w:hAnsi="Times New Roman" w:cs="Times New Roman"/>
          <w:noProof/>
          <w:sz w:val="24"/>
          <w:szCs w:val="24"/>
        </w:rPr>
      </w:pPr>
      <w:r w:rsidRPr="0036474B">
        <w:rPr>
          <w:rFonts w:ascii="Times New Roman" w:hAnsi="Times New Roman" w:cs="Times New Roman"/>
          <w:noProof/>
          <w:sz w:val="24"/>
          <w:szCs w:val="24"/>
        </w:rPr>
        <w:t>Recognising these challenges, the European Commission (in line with its strategy on supervisory data</w:t>
      </w:r>
      <w:r w:rsidRPr="0036474B">
        <w:rPr>
          <w:rStyle w:val="FootnoteReference"/>
          <w:rFonts w:ascii="Times New Roman" w:hAnsi="Times New Roman" w:cs="Times New Roman"/>
          <w:noProof/>
          <w:sz w:val="24"/>
          <w:szCs w:val="24"/>
        </w:rPr>
        <w:footnoteReference w:id="109"/>
      </w:r>
      <w:r w:rsidRPr="0036474B">
        <w:rPr>
          <w:rFonts w:ascii="Times New Roman" w:hAnsi="Times New Roman" w:cs="Times New Roman"/>
          <w:noProof/>
          <w:sz w:val="24"/>
          <w:szCs w:val="24"/>
        </w:rPr>
        <w:t>)</w:t>
      </w:r>
      <w:r w:rsidR="00AC2B0B">
        <w:rPr>
          <w:rFonts w:ascii="Times New Roman" w:hAnsi="Times New Roman" w:cs="Times New Roman"/>
          <w:noProof/>
          <w:sz w:val="24"/>
          <w:szCs w:val="24"/>
        </w:rPr>
        <w:t xml:space="preserve"> </w:t>
      </w:r>
      <w:r w:rsidRPr="0036474B">
        <w:rPr>
          <w:rFonts w:ascii="Times New Roman" w:hAnsi="Times New Roman" w:cs="Times New Roman"/>
          <w:noProof/>
          <w:sz w:val="24"/>
          <w:szCs w:val="24"/>
        </w:rPr>
        <w:t xml:space="preserve">and other EU authorities have taken substantial steps to simplify and streamline reporting requirements. The 2023 EU Banking Package introduced measures allowing the European Banking Authority (EBA) to reuse supervisory data for Pillar 3 disclosures, significantly easing the reporting load for small and non-complex banks. Similarly, the 2023 proposal to revise the EU’s framework for bank crisis management and deposit insurance seeks to reduce redundant obligations and improve information-sharing between authorities, thereby minimising duplicative reporting. </w:t>
      </w:r>
      <w:r w:rsidR="00E60812" w:rsidRPr="0036474B">
        <w:rPr>
          <w:rFonts w:ascii="Times New Roman" w:hAnsi="Times New Roman" w:cs="Times New Roman"/>
          <w:noProof/>
          <w:sz w:val="24"/>
          <w:szCs w:val="24"/>
        </w:rPr>
        <w:t>CRR3</w:t>
      </w:r>
      <w:r w:rsidR="007C0E7E" w:rsidRPr="0036474B">
        <w:rPr>
          <w:rStyle w:val="FootnoteReference"/>
          <w:rFonts w:ascii="Times New Roman" w:hAnsi="Times New Roman" w:cs="Times New Roman"/>
          <w:noProof/>
          <w:sz w:val="24"/>
          <w:szCs w:val="24"/>
        </w:rPr>
        <w:footnoteReference w:id="110"/>
      </w:r>
      <w:r w:rsidR="00E60812" w:rsidRPr="0036474B">
        <w:rPr>
          <w:rFonts w:ascii="Times New Roman" w:hAnsi="Times New Roman" w:cs="Times New Roman"/>
          <w:noProof/>
          <w:sz w:val="24"/>
          <w:szCs w:val="24"/>
        </w:rPr>
        <w:t xml:space="preserve"> simplified the content of implementing technical standards on reporting by excluding detailed reporting templates and instructions, and publishing those separately in a form that relies on modern technologies. </w:t>
      </w:r>
      <w:r w:rsidRPr="0036474B">
        <w:rPr>
          <w:rFonts w:ascii="Times New Roman" w:hAnsi="Times New Roman" w:cs="Times New Roman"/>
          <w:noProof/>
          <w:sz w:val="24"/>
          <w:szCs w:val="24"/>
        </w:rPr>
        <w:t>The Better Data Sharing Regulation</w:t>
      </w:r>
      <w:r w:rsidRPr="0036474B">
        <w:rPr>
          <w:rStyle w:val="FootnoteReference"/>
          <w:rFonts w:ascii="Times New Roman" w:hAnsi="Times New Roman" w:cs="Times New Roman"/>
          <w:noProof/>
          <w:sz w:val="24"/>
          <w:szCs w:val="24"/>
        </w:rPr>
        <w:footnoteReference w:id="111"/>
      </w:r>
      <w:r w:rsidRPr="0036474B">
        <w:rPr>
          <w:rFonts w:ascii="Times New Roman" w:hAnsi="Times New Roman" w:cs="Times New Roman"/>
          <w:noProof/>
          <w:sz w:val="24"/>
          <w:szCs w:val="24"/>
        </w:rPr>
        <w:t xml:space="preserve"> aims to curb duplicative data requests and requires EU authorities to regularly review and remove redundant reporting and also advance on their efforts on integrated reporting. The Omnibus I package and subsequent changes to the EU taxonomy and European Sustainability Reporting Standards </w:t>
      </w:r>
      <w:r w:rsidR="00CE3CA5">
        <w:rPr>
          <w:rFonts w:ascii="Times New Roman" w:hAnsi="Times New Roman" w:cs="Times New Roman"/>
          <w:noProof/>
          <w:sz w:val="24"/>
          <w:szCs w:val="24"/>
        </w:rPr>
        <w:t>include</w:t>
      </w:r>
      <w:r w:rsidRPr="0036474B">
        <w:rPr>
          <w:rFonts w:ascii="Times New Roman" w:hAnsi="Times New Roman" w:cs="Times New Roman"/>
          <w:noProof/>
          <w:sz w:val="24"/>
          <w:szCs w:val="24"/>
        </w:rPr>
        <w:t xml:space="preserve"> simplif</w:t>
      </w:r>
      <w:r w:rsidR="008E0D04">
        <w:rPr>
          <w:rFonts w:ascii="Times New Roman" w:hAnsi="Times New Roman" w:cs="Times New Roman"/>
          <w:noProof/>
          <w:sz w:val="24"/>
          <w:szCs w:val="24"/>
        </w:rPr>
        <w:t>ications of</w:t>
      </w:r>
      <w:r w:rsidRPr="0036474B">
        <w:rPr>
          <w:rFonts w:ascii="Times New Roman" w:hAnsi="Times New Roman" w:cs="Times New Roman"/>
          <w:noProof/>
          <w:sz w:val="24"/>
          <w:szCs w:val="24"/>
        </w:rPr>
        <w:t xml:space="preserve"> sustainability reporting for banks</w:t>
      </w:r>
      <w:r w:rsidRPr="0036474B">
        <w:rPr>
          <w:rFonts w:ascii="Times New Roman" w:hAnsi="Times New Roman" w:cs="Times New Roman"/>
          <w:noProof/>
          <w:sz w:val="24"/>
          <w:szCs w:val="24"/>
          <w:vertAlign w:val="superscript"/>
        </w:rPr>
        <w:footnoteReference w:id="112"/>
      </w:r>
      <w:r w:rsidR="005F6A51" w:rsidRPr="0036474B">
        <w:rPr>
          <w:rFonts w:ascii="Times New Roman" w:hAnsi="Times New Roman" w:cs="Times New Roman"/>
          <w:noProof/>
          <w:sz w:val="24"/>
          <w:szCs w:val="24"/>
        </w:rPr>
        <w:t>.</w:t>
      </w:r>
      <w:r w:rsidRPr="0036474B">
        <w:rPr>
          <w:rFonts w:ascii="Times New Roman" w:hAnsi="Times New Roman" w:cs="Times New Roman"/>
          <w:noProof/>
          <w:sz w:val="24"/>
          <w:szCs w:val="24"/>
        </w:rPr>
        <w:t xml:space="preserve"> The European Single Access Point (ESAP), once up and running, will also improve accessibility and reduce duplication by providing easy centralised electronic access to public data about banks and their products.</w:t>
      </w:r>
    </w:p>
    <w:p w14:paraId="51AE3CE7" w14:textId="00DBA15C" w:rsidR="006428C6" w:rsidRPr="0036474B" w:rsidRDefault="006428C6" w:rsidP="006428C6">
      <w:pPr>
        <w:jc w:val="both"/>
        <w:rPr>
          <w:rFonts w:ascii="Times New Roman" w:hAnsi="Times New Roman" w:cs="Times New Roman"/>
          <w:noProof/>
          <w:sz w:val="24"/>
          <w:szCs w:val="24"/>
        </w:rPr>
      </w:pPr>
      <w:r w:rsidRPr="0036474B">
        <w:rPr>
          <w:rFonts w:ascii="Times New Roman" w:hAnsi="Times New Roman" w:cs="Times New Roman"/>
          <w:noProof/>
          <w:sz w:val="24"/>
          <w:szCs w:val="24"/>
        </w:rPr>
        <w:t>Following its 2021 cost of compliance study, the EBA has implemented 15 of 25 recommendations on reporting simplification</w:t>
      </w:r>
      <w:r w:rsidR="006C7433" w:rsidRPr="0036474B">
        <w:rPr>
          <w:rFonts w:ascii="Times New Roman" w:hAnsi="Times New Roman" w:cs="Times New Roman"/>
          <w:noProof/>
          <w:sz w:val="24"/>
          <w:szCs w:val="24"/>
        </w:rPr>
        <w:t xml:space="preserve"> proposed in </w:t>
      </w:r>
      <w:r w:rsidRPr="0036474B">
        <w:rPr>
          <w:rFonts w:ascii="Times New Roman" w:hAnsi="Times New Roman" w:cs="Times New Roman"/>
          <w:noProof/>
          <w:sz w:val="24"/>
          <w:szCs w:val="24"/>
        </w:rPr>
        <w:t xml:space="preserve">the </w:t>
      </w:r>
      <w:r w:rsidR="006C7433" w:rsidRPr="0036474B">
        <w:rPr>
          <w:rFonts w:ascii="Times New Roman" w:hAnsi="Times New Roman" w:cs="Times New Roman"/>
          <w:noProof/>
          <w:sz w:val="24"/>
          <w:szCs w:val="24"/>
        </w:rPr>
        <w:t>study</w:t>
      </w:r>
      <w:r w:rsidRPr="0036474B">
        <w:rPr>
          <w:rStyle w:val="FootnoteReference"/>
          <w:rFonts w:ascii="Times New Roman" w:hAnsi="Times New Roman" w:cs="Times New Roman"/>
          <w:noProof/>
          <w:sz w:val="24"/>
          <w:szCs w:val="24"/>
        </w:rPr>
        <w:footnoteReference w:id="113"/>
      </w:r>
      <w:r w:rsidRPr="0036474B">
        <w:rPr>
          <w:rFonts w:ascii="Times New Roman" w:hAnsi="Times New Roman" w:cs="Times New Roman"/>
          <w:noProof/>
          <w:sz w:val="24"/>
          <w:szCs w:val="24"/>
        </w:rPr>
        <w:t>, with the remaining 10 at various stages of development. For example</w:t>
      </w:r>
      <w:r w:rsidR="00550757">
        <w:rPr>
          <w:rFonts w:ascii="Times New Roman" w:hAnsi="Times New Roman" w:cs="Times New Roman"/>
          <w:noProof/>
          <w:sz w:val="24"/>
          <w:szCs w:val="24"/>
        </w:rPr>
        <w:t>,</w:t>
      </w:r>
      <w:r w:rsidRPr="0036474B">
        <w:rPr>
          <w:rFonts w:ascii="Times New Roman" w:hAnsi="Times New Roman" w:cs="Times New Roman"/>
          <w:noProof/>
          <w:sz w:val="24"/>
          <w:szCs w:val="24"/>
        </w:rPr>
        <w:t xml:space="preserve"> the EBA has streamlined reporting for smaller institutions, particularly liquidity and interest rate risk disclosures. By 2027, these efforts, currently under public consultation, are expected to cut the number of data points in EU harmonised reporting by 50%. Additionally, stress-test and benchmarking data collections will be integrated into regular reporting, reducing overlaps and increasing consistency. To further enhance transparency, an EU-wide public repository of supervisory data requests will be established in cooperation between EBA and the ECB, discouraging national gold-plating and fostering greater coordination. Meanwhile, the ECB’s Integrated Reporting Framework</w:t>
      </w:r>
      <w:r w:rsidR="001A571C" w:rsidRPr="0036474B">
        <w:rPr>
          <w:rStyle w:val="FootnoteReference"/>
          <w:rFonts w:ascii="Times New Roman" w:hAnsi="Times New Roman" w:cs="Times New Roman"/>
          <w:noProof/>
          <w:sz w:val="24"/>
          <w:szCs w:val="24"/>
        </w:rPr>
        <w:footnoteReference w:id="114"/>
      </w:r>
      <w:r w:rsidRPr="0036474B">
        <w:rPr>
          <w:rFonts w:ascii="Times New Roman" w:hAnsi="Times New Roman" w:cs="Times New Roman"/>
          <w:noProof/>
          <w:sz w:val="24"/>
          <w:szCs w:val="24"/>
        </w:rPr>
        <w:t xml:space="preserve"> (IReF) is set to harmonise statistical, prudential, and resolution reporting, reducing fragmentation and improving efficiency. The Joint Bank Reporting Committee (JBRC), a coordination body </w:t>
      </w:r>
      <w:r w:rsidR="00E34965" w:rsidRPr="0036474B">
        <w:rPr>
          <w:rFonts w:ascii="Times New Roman" w:hAnsi="Times New Roman" w:cs="Times New Roman"/>
          <w:noProof/>
          <w:sz w:val="24"/>
          <w:szCs w:val="24"/>
        </w:rPr>
        <w:t>established</w:t>
      </w:r>
      <w:r w:rsidRPr="0036474B">
        <w:rPr>
          <w:rFonts w:ascii="Times New Roman" w:hAnsi="Times New Roman" w:cs="Times New Roman"/>
          <w:noProof/>
          <w:sz w:val="24"/>
          <w:szCs w:val="24"/>
        </w:rPr>
        <w:t xml:space="preserve"> jointly</w:t>
      </w:r>
      <w:r w:rsidR="002A1886" w:rsidRPr="0036474B">
        <w:rPr>
          <w:rStyle w:val="FootnoteReference"/>
          <w:rFonts w:ascii="Times New Roman" w:hAnsi="Times New Roman" w:cs="Times New Roman"/>
          <w:noProof/>
          <w:sz w:val="24"/>
          <w:szCs w:val="24"/>
        </w:rPr>
        <w:footnoteReference w:id="115"/>
      </w:r>
      <w:r w:rsidRPr="0036474B">
        <w:rPr>
          <w:rFonts w:ascii="Times New Roman" w:hAnsi="Times New Roman" w:cs="Times New Roman"/>
          <w:noProof/>
          <w:sz w:val="24"/>
          <w:szCs w:val="24"/>
        </w:rPr>
        <w:t xml:space="preserve"> by the EBA and ECB, has made progress in fostering semantic integration and common data standards.</w:t>
      </w:r>
    </w:p>
    <w:p w14:paraId="24635225" w14:textId="77777777" w:rsidR="006428C6" w:rsidRPr="0036474B" w:rsidRDefault="4E7310BD" w:rsidP="006428C6">
      <w:pPr>
        <w:jc w:val="both"/>
        <w:rPr>
          <w:rFonts w:ascii="Times New Roman" w:hAnsi="Times New Roman" w:cs="Times New Roman"/>
          <w:noProof/>
          <w:sz w:val="24"/>
          <w:szCs w:val="24"/>
        </w:rPr>
      </w:pPr>
      <w:r w:rsidRPr="0036474B">
        <w:rPr>
          <w:rFonts w:ascii="Times New Roman" w:hAnsi="Times New Roman" w:cs="Times New Roman"/>
          <w:noProof/>
          <w:sz w:val="24"/>
          <w:szCs w:val="24"/>
        </w:rPr>
        <w:t>While significant progress has been made to date, which stakeholders confirm in their feedback to the consultation, there is the need for further streamlining and modernisation. Due to the multilayered structure with a host of EU and national authorities and multiple levels of regulation, it takes time for the necessary simplification and modernisation measures to be agreed, implemented and take effect on the ground. The approach taken has also been a gradual one, taking into account the legacy reporting systems and the costs incurred of changing those systems. The stakeholder consultation, however, confirms the need to continue the efforts to further streamline and modernise reporting and identifies several issues that deserve continued attention. They are also highlighted in recent reports by the EBA task force on the efficiency of the regulatory framework</w:t>
      </w:r>
      <w:r w:rsidR="006428C6" w:rsidRPr="0036474B">
        <w:rPr>
          <w:rStyle w:val="FootnoteReference"/>
          <w:rFonts w:ascii="Times New Roman" w:hAnsi="Times New Roman" w:cs="Times New Roman"/>
          <w:noProof/>
          <w:sz w:val="24"/>
          <w:szCs w:val="24"/>
        </w:rPr>
        <w:footnoteReference w:id="116"/>
      </w:r>
      <w:r w:rsidRPr="0036474B">
        <w:rPr>
          <w:rFonts w:ascii="Times New Roman" w:hAnsi="Times New Roman" w:cs="Times New Roman"/>
          <w:noProof/>
          <w:sz w:val="24"/>
          <w:szCs w:val="24"/>
        </w:rPr>
        <w:t xml:space="preserve"> and the ECB high-level task force on simplification</w:t>
      </w:r>
      <w:r w:rsidR="006428C6" w:rsidRPr="0036474B">
        <w:rPr>
          <w:rStyle w:val="FootnoteReference"/>
          <w:rFonts w:ascii="Times New Roman" w:hAnsi="Times New Roman" w:cs="Times New Roman"/>
          <w:noProof/>
          <w:sz w:val="24"/>
          <w:szCs w:val="24"/>
        </w:rPr>
        <w:footnoteReference w:id="117"/>
      </w:r>
      <w:r w:rsidRPr="0036474B">
        <w:rPr>
          <w:rFonts w:ascii="Times New Roman" w:hAnsi="Times New Roman" w:cs="Times New Roman"/>
          <w:noProof/>
          <w:sz w:val="24"/>
          <w:szCs w:val="24"/>
        </w:rPr>
        <w:t>.</w:t>
      </w:r>
    </w:p>
    <w:p w14:paraId="11532252" w14:textId="05C08A3A" w:rsidR="006428C6" w:rsidRPr="0036474B" w:rsidRDefault="006428C6" w:rsidP="006428C6">
      <w:pPr>
        <w:jc w:val="both"/>
        <w:rPr>
          <w:rFonts w:ascii="Times New Roman" w:hAnsi="Times New Roman" w:cs="Times New Roman"/>
          <w:noProof/>
          <w:sz w:val="24"/>
          <w:szCs w:val="24"/>
          <w:u w:val="single"/>
        </w:rPr>
      </w:pPr>
      <w:r w:rsidRPr="0036474B">
        <w:rPr>
          <w:rFonts w:ascii="Times New Roman" w:hAnsi="Times New Roman" w:cs="Times New Roman"/>
          <w:noProof/>
          <w:sz w:val="24"/>
          <w:szCs w:val="24"/>
          <w:u w:val="single"/>
        </w:rPr>
        <w:t>Issues identified:</w:t>
      </w:r>
    </w:p>
    <w:p w14:paraId="3D586534" w14:textId="77777777" w:rsidR="006428C6" w:rsidRPr="0036474B" w:rsidRDefault="006428C6" w:rsidP="006B3A4B">
      <w:pPr>
        <w:pStyle w:val="ListParagraph"/>
        <w:numPr>
          <w:ilvl w:val="0"/>
          <w:numId w:val="53"/>
        </w:numPr>
        <w:spacing w:after="120"/>
        <w:ind w:left="714" w:hanging="357"/>
        <w:contextualSpacing w:val="0"/>
        <w:jc w:val="both"/>
        <w:rPr>
          <w:rFonts w:ascii="Times New Roman" w:hAnsi="Times New Roman" w:cs="Times New Roman"/>
          <w:noProof/>
          <w:sz w:val="24"/>
          <w:szCs w:val="24"/>
        </w:rPr>
      </w:pPr>
      <w:r w:rsidRPr="0036474B">
        <w:rPr>
          <w:rFonts w:ascii="Times New Roman" w:hAnsi="Times New Roman" w:cs="Times New Roman"/>
          <w:noProof/>
          <w:sz w:val="24"/>
          <w:szCs w:val="24"/>
        </w:rPr>
        <w:t xml:space="preserve">A fragmented coordination framework among prudential, statistical, resolution, and sustainability authorities creates inefficiencies, with duplicative or conflicting reporting requests and insufficient sharing of the data adding to the reporting burden. Ad hoc requests and national gold-plating are prime examples. Insufficient impact assessments for new obligations mean that cumulative compliance costs and benefits are not rigorously evaluated before implementation. </w:t>
      </w:r>
    </w:p>
    <w:p w14:paraId="032F4553" w14:textId="77777777" w:rsidR="006428C6" w:rsidRPr="0036474B" w:rsidRDefault="006428C6" w:rsidP="006B3A4B">
      <w:pPr>
        <w:pStyle w:val="ListParagraph"/>
        <w:numPr>
          <w:ilvl w:val="0"/>
          <w:numId w:val="53"/>
        </w:numPr>
        <w:spacing w:after="120"/>
        <w:ind w:left="714" w:hanging="357"/>
        <w:contextualSpacing w:val="0"/>
        <w:jc w:val="both"/>
        <w:rPr>
          <w:rFonts w:ascii="Times New Roman" w:hAnsi="Times New Roman" w:cs="Times New Roman"/>
          <w:noProof/>
          <w:sz w:val="24"/>
          <w:szCs w:val="24"/>
        </w:rPr>
      </w:pPr>
      <w:r w:rsidRPr="0036474B">
        <w:rPr>
          <w:rFonts w:ascii="Times New Roman" w:hAnsi="Times New Roman" w:cs="Times New Roman"/>
          <w:noProof/>
          <w:sz w:val="24"/>
          <w:szCs w:val="24"/>
        </w:rPr>
        <w:t xml:space="preserve">Banks perceive a continued lack of proportionality, as reporting frequency, granularity, and scope often fail to align with institutional risk profiles, resulting in unnecessary complexity for low-risk activities. Materiality thresholds—particularly for resubmissions—pose significant challenges, as current absolute thresholds are seen as disproportionate for institutions with large balance sheets. Unpredictable change management exacerbates compliance burdens, with frequent updates and short implementation timelines leading to cumulative costs. </w:t>
      </w:r>
    </w:p>
    <w:p w14:paraId="478334ED" w14:textId="7DEC41D7" w:rsidR="006428C6" w:rsidRPr="0036474B" w:rsidRDefault="006428C6" w:rsidP="006B3A4B">
      <w:pPr>
        <w:pStyle w:val="ListParagraph"/>
        <w:numPr>
          <w:ilvl w:val="0"/>
          <w:numId w:val="53"/>
        </w:numPr>
        <w:spacing w:after="120"/>
        <w:ind w:left="714" w:hanging="357"/>
        <w:contextualSpacing w:val="0"/>
        <w:jc w:val="both"/>
        <w:rPr>
          <w:rFonts w:ascii="Times New Roman" w:hAnsi="Times New Roman" w:cs="Times New Roman"/>
          <w:noProof/>
          <w:sz w:val="24"/>
          <w:szCs w:val="24"/>
        </w:rPr>
      </w:pPr>
      <w:r w:rsidRPr="0036474B">
        <w:rPr>
          <w:rFonts w:ascii="Times New Roman" w:hAnsi="Times New Roman" w:cs="Times New Roman"/>
          <w:noProof/>
          <w:sz w:val="24"/>
          <w:szCs w:val="24"/>
        </w:rPr>
        <w:t xml:space="preserve">Despite the relief provided for small banks, </w:t>
      </w:r>
      <w:r w:rsidR="003108EF">
        <w:rPr>
          <w:rFonts w:ascii="Times New Roman" w:hAnsi="Times New Roman" w:cs="Times New Roman"/>
          <w:noProof/>
          <w:sz w:val="24"/>
          <w:szCs w:val="24"/>
        </w:rPr>
        <w:t xml:space="preserve">certain </w:t>
      </w:r>
      <w:r w:rsidRPr="0036474B">
        <w:rPr>
          <w:rFonts w:ascii="Times New Roman" w:hAnsi="Times New Roman" w:cs="Times New Roman"/>
          <w:noProof/>
          <w:sz w:val="24"/>
          <w:szCs w:val="24"/>
        </w:rPr>
        <w:t>Pillar 3 disclosures are widely seen as overly complex with redundant efforts, not justified by the value of the information they provide due to their misalignment with supervisory reporting.</w:t>
      </w:r>
    </w:p>
    <w:p w14:paraId="0F9255A6" w14:textId="77777777" w:rsidR="006428C6" w:rsidRPr="0036474B" w:rsidRDefault="006428C6" w:rsidP="006B3A4B">
      <w:pPr>
        <w:pStyle w:val="ListParagraph"/>
        <w:numPr>
          <w:ilvl w:val="0"/>
          <w:numId w:val="53"/>
        </w:numPr>
        <w:spacing w:after="120"/>
        <w:ind w:left="714" w:hanging="357"/>
        <w:contextualSpacing w:val="0"/>
        <w:jc w:val="both"/>
        <w:rPr>
          <w:rFonts w:ascii="Times New Roman" w:hAnsi="Times New Roman" w:cs="Times New Roman"/>
          <w:noProof/>
          <w:sz w:val="24"/>
          <w:szCs w:val="24"/>
        </w:rPr>
      </w:pPr>
      <w:r w:rsidRPr="0036474B">
        <w:rPr>
          <w:rFonts w:ascii="Times New Roman" w:hAnsi="Times New Roman" w:cs="Times New Roman"/>
          <w:noProof/>
          <w:sz w:val="24"/>
          <w:szCs w:val="24"/>
        </w:rPr>
        <w:t>Outdated technological infrastructure further complicates reporting, with the absence of a common data dictionary resulting in inconsistent templates, definitions, and identifiers across prudential and resolution datasets. The persistence of table-based reporting—rather than a transition to data-element-based reporting—hampers efficiency. Banks also struggle with decentralised submission processes, lacking a single EU gateway for granular supervisory data which forces multiple submissions to different authorities.</w:t>
      </w:r>
    </w:p>
    <w:p w14:paraId="0DB7A641" w14:textId="1C16623C" w:rsidR="00BD79E5" w:rsidRPr="0036474B" w:rsidRDefault="00BD79E5" w:rsidP="00840A70">
      <w:pPr>
        <w:jc w:val="both"/>
        <w:rPr>
          <w:rFonts w:ascii="Times New Roman" w:hAnsi="Times New Roman" w:cs="Times New Roman"/>
          <w:b/>
          <w:noProof/>
          <w:sz w:val="24"/>
          <w:szCs w:val="24"/>
        </w:rPr>
      </w:pPr>
    </w:p>
    <w:p w14:paraId="51EF49B9" w14:textId="77777777" w:rsidR="00EE3BEB" w:rsidRPr="0036474B" w:rsidRDefault="00EE3BEB" w:rsidP="00840A70">
      <w:pPr>
        <w:jc w:val="both"/>
        <w:rPr>
          <w:rFonts w:ascii="Times New Roman" w:hAnsi="Times New Roman" w:cs="Times New Roman"/>
          <w:b/>
          <w:noProof/>
          <w:sz w:val="24"/>
          <w:szCs w:val="24"/>
        </w:rPr>
      </w:pPr>
    </w:p>
    <w:p w14:paraId="44759D9C" w14:textId="2DE0FB97" w:rsidR="00DE0530" w:rsidRPr="0036474B" w:rsidRDefault="00ED529E" w:rsidP="00C01899">
      <w:pPr>
        <w:pStyle w:val="ListParagraph"/>
        <w:numPr>
          <w:ilvl w:val="0"/>
          <w:numId w:val="23"/>
        </w:numPr>
        <w:rPr>
          <w:rFonts w:ascii="Times New Roman" w:hAnsi="Times New Roman" w:cs="Times New Roman"/>
          <w:b/>
          <w:noProof/>
          <w:sz w:val="24"/>
          <w:szCs w:val="24"/>
          <w:lang w:val="en-GB"/>
        </w:rPr>
      </w:pPr>
      <w:r>
        <w:rPr>
          <w:rFonts w:ascii="Times New Roman" w:hAnsi="Times New Roman" w:cs="Times New Roman"/>
          <w:b/>
          <w:noProof/>
          <w:sz w:val="24"/>
          <w:szCs w:val="24"/>
          <w:lang w:val="en-GB"/>
        </w:rPr>
        <w:t xml:space="preserve">Moving from directives to regulations </w:t>
      </w:r>
      <w:r w:rsidR="006C2079" w:rsidRPr="0036474B">
        <w:rPr>
          <w:rFonts w:ascii="Times New Roman" w:hAnsi="Times New Roman" w:cs="Times New Roman"/>
          <w:b/>
          <w:noProof/>
          <w:sz w:val="24"/>
          <w:szCs w:val="24"/>
          <w:lang w:val="en-GB"/>
        </w:rPr>
        <w:t>in the bank regulatory framework</w:t>
      </w:r>
    </w:p>
    <w:p w14:paraId="5C132324" w14:textId="01458B5A" w:rsidR="00F97E8A" w:rsidRPr="0036474B" w:rsidRDefault="00D911AC" w:rsidP="0054777D">
      <w:pPr>
        <w:jc w:val="both"/>
        <w:rPr>
          <w:rFonts w:ascii="Times New Roman" w:hAnsi="Times New Roman" w:cs="Times New Roman"/>
          <w:bCs/>
          <w:noProof/>
          <w:sz w:val="24"/>
          <w:szCs w:val="24"/>
          <w:lang w:val="en-GB"/>
        </w:rPr>
      </w:pPr>
      <w:r w:rsidRPr="0036474B">
        <w:rPr>
          <w:rFonts w:ascii="Times New Roman" w:hAnsi="Times New Roman" w:cs="Times New Roman"/>
          <w:bCs/>
          <w:noProof/>
          <w:sz w:val="24"/>
          <w:szCs w:val="24"/>
          <w:lang w:val="en-GB"/>
        </w:rPr>
        <w:t xml:space="preserve">The use of Directives is important to capture national specificities and ensure that the objectives set out in EU law are achieved in the most effective way, in line with national legal systems and institutional organisations. </w:t>
      </w:r>
      <w:r w:rsidR="005C6D9B" w:rsidRPr="0036474B">
        <w:rPr>
          <w:rFonts w:ascii="Times New Roman" w:hAnsi="Times New Roman" w:cs="Times New Roman"/>
          <w:bCs/>
          <w:noProof/>
          <w:sz w:val="24"/>
          <w:szCs w:val="24"/>
          <w:lang w:val="en-GB"/>
        </w:rPr>
        <w:t xml:space="preserve">The bank regulatory framework builds on Directives (e.g. CRD, BRRD, DSGD) </w:t>
      </w:r>
      <w:r w:rsidR="00F97E8A" w:rsidRPr="0036474B">
        <w:rPr>
          <w:rFonts w:ascii="Times New Roman" w:hAnsi="Times New Roman" w:cs="Times New Roman"/>
          <w:bCs/>
          <w:noProof/>
          <w:sz w:val="24"/>
          <w:szCs w:val="24"/>
          <w:lang w:val="en-GB"/>
        </w:rPr>
        <w:t xml:space="preserve">to introduce specific requirements and ensure that Member States </w:t>
      </w:r>
      <w:r w:rsidR="00140C0F" w:rsidRPr="0036474B">
        <w:rPr>
          <w:rFonts w:ascii="Times New Roman" w:hAnsi="Times New Roman" w:cs="Times New Roman"/>
          <w:bCs/>
          <w:noProof/>
          <w:sz w:val="24"/>
          <w:szCs w:val="24"/>
          <w:lang w:val="en-GB"/>
        </w:rPr>
        <w:t xml:space="preserve">supplement national laws </w:t>
      </w:r>
      <w:r w:rsidR="00337F5B" w:rsidRPr="0036474B">
        <w:rPr>
          <w:rFonts w:ascii="Times New Roman" w:hAnsi="Times New Roman" w:cs="Times New Roman"/>
          <w:bCs/>
          <w:noProof/>
          <w:sz w:val="24"/>
          <w:szCs w:val="24"/>
          <w:lang w:val="en-GB"/>
        </w:rPr>
        <w:t>or entrust national authorities with specific powers.</w:t>
      </w:r>
    </w:p>
    <w:p w14:paraId="2628578A" w14:textId="5718B6EE" w:rsidR="00693E6D" w:rsidRPr="0036474B" w:rsidRDefault="00B12473" w:rsidP="00693E6D">
      <w:pPr>
        <w:rPr>
          <w:rFonts w:ascii="Times New Roman" w:hAnsi="Times New Roman" w:cs="Times New Roman"/>
          <w:noProof/>
          <w:sz w:val="24"/>
          <w:szCs w:val="24"/>
          <w:u w:val="single"/>
        </w:rPr>
      </w:pPr>
      <w:r w:rsidRPr="0036474B">
        <w:rPr>
          <w:rFonts w:ascii="Times New Roman" w:hAnsi="Times New Roman" w:cs="Times New Roman"/>
          <w:noProof/>
          <w:sz w:val="24"/>
          <w:szCs w:val="24"/>
          <w:u w:val="single"/>
        </w:rPr>
        <w:t xml:space="preserve">Issues </w:t>
      </w:r>
      <w:r w:rsidR="00693E6D" w:rsidRPr="0036474B">
        <w:rPr>
          <w:rFonts w:ascii="Times New Roman" w:hAnsi="Times New Roman" w:cs="Times New Roman"/>
          <w:noProof/>
          <w:sz w:val="24"/>
          <w:szCs w:val="24"/>
          <w:u w:val="single"/>
        </w:rPr>
        <w:t>identified:</w:t>
      </w:r>
    </w:p>
    <w:p w14:paraId="1A72FA13" w14:textId="414ABDDC" w:rsidR="008712F3" w:rsidRPr="0036474B" w:rsidRDefault="0054777D" w:rsidP="004A6F94">
      <w:pPr>
        <w:pStyle w:val="ListParagraph"/>
        <w:numPr>
          <w:ilvl w:val="0"/>
          <w:numId w:val="13"/>
        </w:numPr>
        <w:spacing w:after="120"/>
        <w:contextualSpacing w:val="0"/>
        <w:jc w:val="both"/>
        <w:rPr>
          <w:rFonts w:ascii="Times New Roman" w:hAnsi="Times New Roman" w:cs="Times New Roman"/>
          <w:bCs/>
          <w:noProof/>
          <w:sz w:val="24"/>
          <w:szCs w:val="24"/>
          <w:lang w:val="en-GB"/>
        </w:rPr>
      </w:pPr>
      <w:r w:rsidRPr="0036474B">
        <w:rPr>
          <w:rFonts w:ascii="Times New Roman" w:hAnsi="Times New Roman" w:cs="Times New Roman"/>
          <w:bCs/>
          <w:noProof/>
          <w:sz w:val="24"/>
          <w:szCs w:val="24"/>
          <w:lang w:val="en-GB"/>
        </w:rPr>
        <w:t>T</w:t>
      </w:r>
      <w:r w:rsidR="008B60EF" w:rsidRPr="0036474B">
        <w:rPr>
          <w:rFonts w:ascii="Times New Roman" w:hAnsi="Times New Roman" w:cs="Times New Roman"/>
          <w:bCs/>
          <w:noProof/>
          <w:sz w:val="24"/>
          <w:szCs w:val="24"/>
          <w:lang w:val="en-GB"/>
        </w:rPr>
        <w:t xml:space="preserve">he transposition of Directives in national laws can create risks of inconsistencies, lack of harmonisation or incorrect application of EU law, leading to additional efforts in enforcement from EU authorities. Reliance on national transpositions </w:t>
      </w:r>
      <w:r w:rsidR="007E640E" w:rsidRPr="0036474B">
        <w:rPr>
          <w:rFonts w:ascii="Times New Roman" w:hAnsi="Times New Roman" w:cs="Times New Roman"/>
          <w:bCs/>
          <w:noProof/>
          <w:sz w:val="24"/>
          <w:szCs w:val="24"/>
          <w:lang w:val="en-GB"/>
        </w:rPr>
        <w:t xml:space="preserve">that deviate from EU law or create additional </w:t>
      </w:r>
      <w:r w:rsidR="00260D28" w:rsidRPr="0036474B">
        <w:rPr>
          <w:rFonts w:ascii="Times New Roman" w:hAnsi="Times New Roman" w:cs="Times New Roman"/>
          <w:bCs/>
          <w:noProof/>
          <w:sz w:val="24"/>
          <w:szCs w:val="24"/>
          <w:lang w:val="en-GB"/>
        </w:rPr>
        <w:t>provisions</w:t>
      </w:r>
      <w:r w:rsidR="008B60EF" w:rsidRPr="0036474B">
        <w:rPr>
          <w:rFonts w:ascii="Times New Roman" w:hAnsi="Times New Roman" w:cs="Times New Roman"/>
          <w:bCs/>
          <w:noProof/>
          <w:sz w:val="24"/>
          <w:szCs w:val="24"/>
          <w:lang w:val="en-GB"/>
        </w:rPr>
        <w:t xml:space="preserve"> can be particularly </w:t>
      </w:r>
      <w:r w:rsidR="00B4627E" w:rsidRPr="0036474B">
        <w:rPr>
          <w:rFonts w:ascii="Times New Roman" w:hAnsi="Times New Roman" w:cs="Times New Roman"/>
          <w:bCs/>
          <w:noProof/>
          <w:sz w:val="24"/>
          <w:szCs w:val="24"/>
          <w:lang w:val="en-GB"/>
        </w:rPr>
        <w:t xml:space="preserve">impactful when the actions of </w:t>
      </w:r>
      <w:r w:rsidR="003F75F6" w:rsidRPr="0036474B">
        <w:rPr>
          <w:rFonts w:ascii="Times New Roman" w:hAnsi="Times New Roman" w:cs="Times New Roman"/>
          <w:bCs/>
          <w:noProof/>
          <w:sz w:val="24"/>
          <w:szCs w:val="24"/>
          <w:lang w:val="en-GB"/>
        </w:rPr>
        <w:t>E</w:t>
      </w:r>
      <w:r w:rsidR="003F75F6">
        <w:rPr>
          <w:rFonts w:ascii="Times New Roman" w:hAnsi="Times New Roman" w:cs="Times New Roman"/>
          <w:bCs/>
          <w:noProof/>
          <w:sz w:val="24"/>
          <w:szCs w:val="24"/>
          <w:lang w:val="en-GB"/>
        </w:rPr>
        <w:t>U</w:t>
      </w:r>
      <w:r w:rsidR="003F75F6" w:rsidRPr="0036474B">
        <w:rPr>
          <w:rFonts w:ascii="Times New Roman" w:hAnsi="Times New Roman" w:cs="Times New Roman"/>
          <w:bCs/>
          <w:noProof/>
          <w:sz w:val="24"/>
          <w:szCs w:val="24"/>
          <w:lang w:val="en-GB"/>
        </w:rPr>
        <w:t xml:space="preserve"> </w:t>
      </w:r>
      <w:r w:rsidR="00B4627E" w:rsidRPr="0036474B">
        <w:rPr>
          <w:rFonts w:ascii="Times New Roman" w:hAnsi="Times New Roman" w:cs="Times New Roman"/>
          <w:bCs/>
          <w:noProof/>
          <w:sz w:val="24"/>
          <w:szCs w:val="24"/>
          <w:lang w:val="en-GB"/>
        </w:rPr>
        <w:t xml:space="preserve">authorities </w:t>
      </w:r>
      <w:r>
        <w:rPr>
          <w:rFonts w:ascii="Times New Roman" w:hAnsi="Times New Roman" w:cs="Times New Roman"/>
          <w:bCs/>
          <w:noProof/>
          <w:sz w:val="24"/>
          <w:szCs w:val="24"/>
          <w:lang w:val="en-GB"/>
        </w:rPr>
        <w:t>rely on</w:t>
      </w:r>
      <w:r w:rsidR="00B4627E" w:rsidRPr="0036474B">
        <w:rPr>
          <w:rFonts w:ascii="Times New Roman" w:hAnsi="Times New Roman" w:cs="Times New Roman"/>
          <w:bCs/>
          <w:noProof/>
          <w:sz w:val="24"/>
          <w:szCs w:val="24"/>
          <w:lang w:val="en-GB"/>
        </w:rPr>
        <w:t xml:space="preserve"> the </w:t>
      </w:r>
      <w:r w:rsidR="00C65983" w:rsidRPr="0036474B">
        <w:rPr>
          <w:rFonts w:ascii="Times New Roman" w:hAnsi="Times New Roman" w:cs="Times New Roman"/>
          <w:bCs/>
          <w:noProof/>
          <w:sz w:val="24"/>
          <w:szCs w:val="24"/>
          <w:lang w:val="en-GB"/>
        </w:rPr>
        <w:t>application</w:t>
      </w:r>
      <w:r w:rsidR="00B4627E" w:rsidRPr="0036474B">
        <w:rPr>
          <w:rFonts w:ascii="Times New Roman" w:hAnsi="Times New Roman" w:cs="Times New Roman"/>
          <w:bCs/>
          <w:noProof/>
          <w:sz w:val="24"/>
          <w:szCs w:val="24"/>
          <w:lang w:val="en-GB"/>
        </w:rPr>
        <w:t xml:space="preserve"> of national laws (e.g. ECB, in the context of the SSM) or in cross-border crisis management procedures</w:t>
      </w:r>
      <w:r w:rsidR="00AB1756" w:rsidRPr="0036474B">
        <w:rPr>
          <w:rFonts w:ascii="Times New Roman" w:hAnsi="Times New Roman" w:cs="Times New Roman"/>
          <w:bCs/>
          <w:noProof/>
          <w:sz w:val="24"/>
          <w:szCs w:val="24"/>
          <w:lang w:val="en-GB"/>
        </w:rPr>
        <w:t xml:space="preserve">. </w:t>
      </w:r>
      <w:r w:rsidR="008712F3" w:rsidRPr="0036474B">
        <w:rPr>
          <w:rFonts w:ascii="Times New Roman" w:hAnsi="Times New Roman" w:cs="Times New Roman"/>
          <w:bCs/>
          <w:noProof/>
          <w:sz w:val="24"/>
          <w:szCs w:val="24"/>
          <w:lang w:val="en-GB"/>
        </w:rPr>
        <w:t xml:space="preserve">Provisions included in Directives are also </w:t>
      </w:r>
      <w:r w:rsidR="003E060B" w:rsidRPr="0036474B">
        <w:rPr>
          <w:rFonts w:ascii="Times New Roman" w:hAnsi="Times New Roman" w:cs="Times New Roman"/>
          <w:bCs/>
          <w:noProof/>
          <w:sz w:val="24"/>
          <w:szCs w:val="24"/>
          <w:lang w:val="en-GB"/>
        </w:rPr>
        <w:t xml:space="preserve">more complex to monitor, </w:t>
      </w:r>
      <w:r w:rsidR="006D4F85" w:rsidRPr="0036474B">
        <w:rPr>
          <w:rFonts w:ascii="Times New Roman" w:hAnsi="Times New Roman" w:cs="Times New Roman"/>
          <w:bCs/>
          <w:noProof/>
          <w:sz w:val="24"/>
          <w:szCs w:val="24"/>
          <w:lang w:val="en-GB"/>
        </w:rPr>
        <w:t>for instance by market participants</w:t>
      </w:r>
      <w:r w:rsidR="003E060B" w:rsidRPr="0036474B">
        <w:rPr>
          <w:rFonts w:ascii="Times New Roman" w:hAnsi="Times New Roman" w:cs="Times New Roman"/>
          <w:bCs/>
          <w:noProof/>
          <w:sz w:val="24"/>
          <w:szCs w:val="24"/>
          <w:lang w:val="en-GB"/>
        </w:rPr>
        <w:t xml:space="preserve">, as they </w:t>
      </w:r>
      <w:r w:rsidR="008B571A" w:rsidRPr="0036474B">
        <w:rPr>
          <w:rFonts w:ascii="Times New Roman" w:hAnsi="Times New Roman" w:cs="Times New Roman"/>
          <w:bCs/>
          <w:noProof/>
          <w:sz w:val="24"/>
          <w:szCs w:val="24"/>
          <w:lang w:val="en-GB"/>
        </w:rPr>
        <w:t xml:space="preserve">require </w:t>
      </w:r>
      <w:r w:rsidR="006D4F85" w:rsidRPr="0036474B">
        <w:rPr>
          <w:rFonts w:ascii="Times New Roman" w:hAnsi="Times New Roman" w:cs="Times New Roman"/>
          <w:bCs/>
          <w:noProof/>
          <w:sz w:val="24"/>
          <w:szCs w:val="24"/>
          <w:lang w:val="en-GB"/>
        </w:rPr>
        <w:t xml:space="preserve">additional efforts to map out </w:t>
      </w:r>
      <w:r w:rsidR="00AF77B6" w:rsidRPr="0036474B">
        <w:rPr>
          <w:rFonts w:ascii="Times New Roman" w:hAnsi="Times New Roman" w:cs="Times New Roman"/>
          <w:bCs/>
          <w:noProof/>
          <w:sz w:val="24"/>
          <w:szCs w:val="24"/>
          <w:lang w:val="en-GB"/>
        </w:rPr>
        <w:t>27 national provisions</w:t>
      </w:r>
      <w:r w:rsidR="009D2114" w:rsidRPr="0036474B">
        <w:rPr>
          <w:rFonts w:ascii="Times New Roman" w:hAnsi="Times New Roman" w:cs="Times New Roman"/>
          <w:bCs/>
          <w:noProof/>
          <w:sz w:val="24"/>
          <w:szCs w:val="24"/>
          <w:lang w:val="en-GB"/>
        </w:rPr>
        <w:t xml:space="preserve"> as opposed to Regulations that offer one directly applicable source of law.</w:t>
      </w:r>
    </w:p>
    <w:p w14:paraId="70810C86" w14:textId="48B334E0" w:rsidR="00AB1756" w:rsidRPr="0036474B" w:rsidRDefault="00AB1756" w:rsidP="004A6F94">
      <w:pPr>
        <w:pStyle w:val="ListParagraph"/>
        <w:numPr>
          <w:ilvl w:val="0"/>
          <w:numId w:val="13"/>
        </w:numPr>
        <w:spacing w:after="120"/>
        <w:contextualSpacing w:val="0"/>
        <w:jc w:val="both"/>
        <w:rPr>
          <w:rFonts w:ascii="Times New Roman" w:hAnsi="Times New Roman" w:cs="Times New Roman"/>
          <w:bCs/>
          <w:noProof/>
          <w:sz w:val="24"/>
          <w:szCs w:val="24"/>
          <w:lang w:val="en-GB"/>
        </w:rPr>
      </w:pPr>
      <w:r w:rsidRPr="0036474B">
        <w:rPr>
          <w:rFonts w:ascii="Times New Roman" w:hAnsi="Times New Roman" w:cs="Times New Roman"/>
          <w:bCs/>
          <w:noProof/>
          <w:sz w:val="24"/>
          <w:szCs w:val="24"/>
          <w:lang w:val="en-GB"/>
        </w:rPr>
        <w:t xml:space="preserve">In certain areas, the provisions located in Directives already have a direct, normative formulation akin to Regulations, when they are not already mirrored in Regulations as is the case for BRRD and SRMR that largely overlap on key issues. This is particularly true for elements linked to </w:t>
      </w:r>
      <w:r w:rsidR="007A4AE6" w:rsidRPr="0949A3FE">
        <w:rPr>
          <w:rFonts w:ascii="Times New Roman" w:hAnsi="Times New Roman" w:cs="Times New Roman"/>
          <w:noProof/>
          <w:sz w:val="24"/>
          <w:szCs w:val="24"/>
          <w:lang w:val="en-GB"/>
        </w:rPr>
        <w:t>licensing</w:t>
      </w:r>
      <w:r w:rsidR="00CF2692" w:rsidRPr="0949A3FE">
        <w:rPr>
          <w:rFonts w:ascii="Times New Roman" w:hAnsi="Times New Roman" w:cs="Times New Roman"/>
          <w:noProof/>
          <w:sz w:val="24"/>
          <w:szCs w:val="24"/>
          <w:lang w:val="en-GB"/>
        </w:rPr>
        <w:t xml:space="preserve"> </w:t>
      </w:r>
      <w:r w:rsidR="323F3B55" w:rsidRPr="0949A3FE">
        <w:rPr>
          <w:rFonts w:ascii="Times New Roman" w:hAnsi="Times New Roman" w:cs="Times New Roman"/>
          <w:noProof/>
          <w:sz w:val="24"/>
          <w:szCs w:val="24"/>
          <w:lang w:val="en-GB"/>
        </w:rPr>
        <w:t>and</w:t>
      </w:r>
      <w:r w:rsidR="00CF2692" w:rsidRPr="0949A3FE">
        <w:rPr>
          <w:rFonts w:ascii="Times New Roman" w:hAnsi="Times New Roman" w:cs="Times New Roman"/>
          <w:noProof/>
          <w:sz w:val="24"/>
          <w:szCs w:val="24"/>
          <w:lang w:val="en-GB"/>
        </w:rPr>
        <w:t xml:space="preserve"> capital buffers</w:t>
      </w:r>
      <w:r w:rsidR="00B35C60">
        <w:rPr>
          <w:rFonts w:ascii="Times New Roman" w:hAnsi="Times New Roman" w:cs="Times New Roman"/>
          <w:noProof/>
          <w:sz w:val="24"/>
          <w:szCs w:val="24"/>
          <w:lang w:val="en-GB"/>
        </w:rPr>
        <w:t xml:space="preserve"> (CRD)</w:t>
      </w:r>
      <w:r w:rsidRPr="0949A3FE">
        <w:rPr>
          <w:rFonts w:ascii="Times New Roman" w:hAnsi="Times New Roman" w:cs="Times New Roman"/>
          <w:noProof/>
          <w:sz w:val="24"/>
          <w:szCs w:val="24"/>
          <w:lang w:val="en-GB"/>
        </w:rPr>
        <w:t>,</w:t>
      </w:r>
      <w:r w:rsidRPr="0036474B">
        <w:rPr>
          <w:rFonts w:ascii="Times New Roman" w:hAnsi="Times New Roman" w:cs="Times New Roman"/>
          <w:bCs/>
          <w:noProof/>
          <w:sz w:val="24"/>
          <w:szCs w:val="24"/>
          <w:lang w:val="en-GB"/>
        </w:rPr>
        <w:t xml:space="preserve"> recovery and resolution planning (BRRD) or MREL (BRRD). </w:t>
      </w:r>
    </w:p>
    <w:p w14:paraId="74B2FE41" w14:textId="5B8FC4EB" w:rsidR="00693E6D" w:rsidRPr="0036474B" w:rsidRDefault="00AB1756" w:rsidP="004A6F94">
      <w:pPr>
        <w:pStyle w:val="ListParagraph"/>
        <w:numPr>
          <w:ilvl w:val="0"/>
          <w:numId w:val="13"/>
        </w:numPr>
        <w:spacing w:after="120"/>
        <w:contextualSpacing w:val="0"/>
        <w:jc w:val="both"/>
        <w:rPr>
          <w:rFonts w:ascii="Times New Roman" w:hAnsi="Times New Roman" w:cs="Times New Roman"/>
          <w:b/>
          <w:noProof/>
          <w:sz w:val="24"/>
          <w:szCs w:val="24"/>
          <w:lang w:val="en-GB"/>
        </w:rPr>
      </w:pPr>
      <w:r w:rsidRPr="0036474B">
        <w:rPr>
          <w:rFonts w:ascii="Times New Roman" w:hAnsi="Times New Roman" w:cs="Times New Roman"/>
          <w:bCs/>
          <w:noProof/>
          <w:sz w:val="24"/>
          <w:szCs w:val="24"/>
          <w:lang w:val="en-GB"/>
        </w:rPr>
        <w:t>It is therefore essential to ensure</w:t>
      </w:r>
      <w:r w:rsidR="00D1526D" w:rsidRPr="0036474B">
        <w:rPr>
          <w:rFonts w:ascii="Times New Roman" w:hAnsi="Times New Roman" w:cs="Times New Roman"/>
          <w:bCs/>
          <w:noProof/>
          <w:sz w:val="24"/>
          <w:szCs w:val="24"/>
          <w:lang w:val="en-GB"/>
        </w:rPr>
        <w:t xml:space="preserve"> more predictability and harmonisation in the single market by minimising risks </w:t>
      </w:r>
      <w:r w:rsidR="00035243" w:rsidRPr="0036474B">
        <w:rPr>
          <w:rFonts w:ascii="Times New Roman" w:hAnsi="Times New Roman" w:cs="Times New Roman"/>
          <w:bCs/>
          <w:noProof/>
          <w:sz w:val="24"/>
          <w:szCs w:val="24"/>
          <w:lang w:val="en-GB"/>
        </w:rPr>
        <w:t>from</w:t>
      </w:r>
      <w:r w:rsidR="00D1526D" w:rsidRPr="0036474B">
        <w:rPr>
          <w:rFonts w:ascii="Times New Roman" w:hAnsi="Times New Roman" w:cs="Times New Roman"/>
          <w:bCs/>
          <w:noProof/>
          <w:sz w:val="24"/>
          <w:szCs w:val="24"/>
          <w:lang w:val="en-GB"/>
        </w:rPr>
        <w:t xml:space="preserve"> </w:t>
      </w:r>
      <w:r w:rsidR="007F1774" w:rsidRPr="0036474B">
        <w:rPr>
          <w:rFonts w:ascii="Times New Roman" w:hAnsi="Times New Roman" w:cs="Times New Roman"/>
          <w:bCs/>
          <w:noProof/>
          <w:sz w:val="24"/>
          <w:szCs w:val="24"/>
          <w:lang w:val="en-GB"/>
        </w:rPr>
        <w:t xml:space="preserve">national transpositions, especially in areas where the nature of the provisions does not necessarily justify the need to introduce tailored adjustments to fit national legal systems. </w:t>
      </w:r>
      <w:r w:rsidR="00377CBB" w:rsidRPr="0036474B">
        <w:rPr>
          <w:rFonts w:ascii="Times New Roman" w:hAnsi="Times New Roman" w:cs="Times New Roman"/>
          <w:bCs/>
          <w:noProof/>
          <w:sz w:val="24"/>
          <w:szCs w:val="24"/>
          <w:lang w:val="en-GB"/>
        </w:rPr>
        <w:t xml:space="preserve">A similar shift has been </w:t>
      </w:r>
      <w:r w:rsidR="003C5799" w:rsidRPr="0036474B">
        <w:rPr>
          <w:rFonts w:ascii="Times New Roman" w:hAnsi="Times New Roman" w:cs="Times New Roman"/>
          <w:bCs/>
          <w:noProof/>
          <w:sz w:val="24"/>
          <w:szCs w:val="24"/>
          <w:lang w:val="en-GB"/>
        </w:rPr>
        <w:t>initiated</w:t>
      </w:r>
      <w:r w:rsidR="00377CBB" w:rsidRPr="0036474B">
        <w:rPr>
          <w:rFonts w:ascii="Times New Roman" w:hAnsi="Times New Roman" w:cs="Times New Roman"/>
          <w:bCs/>
          <w:noProof/>
          <w:sz w:val="24"/>
          <w:szCs w:val="24"/>
          <w:lang w:val="en-GB"/>
        </w:rPr>
        <w:t xml:space="preserve"> in other areas of financial legislation, such as markets for financial instruments or payment services.</w:t>
      </w:r>
    </w:p>
    <w:p w14:paraId="14568C8E" w14:textId="77777777" w:rsidR="0008726F" w:rsidRDefault="0008726F" w:rsidP="006E020F">
      <w:pPr>
        <w:rPr>
          <w:rFonts w:ascii="Times New Roman" w:hAnsi="Times New Roman" w:cs="Times New Roman"/>
          <w:noProof/>
          <w:sz w:val="24"/>
          <w:szCs w:val="24"/>
          <w:lang w:val="en-GB"/>
        </w:rPr>
      </w:pPr>
    </w:p>
    <w:p w14:paraId="2FA2DB29" w14:textId="6EAE6B79" w:rsidR="00A742CF" w:rsidRPr="0036474B" w:rsidRDefault="00A742CF" w:rsidP="00B00C18">
      <w:pPr>
        <w:pStyle w:val="ListParagraph"/>
        <w:numPr>
          <w:ilvl w:val="2"/>
          <w:numId w:val="11"/>
        </w:numPr>
        <w:spacing w:after="120"/>
        <w:ind w:left="1276"/>
        <w:contextualSpacing w:val="0"/>
        <w:outlineLvl w:val="2"/>
        <w:rPr>
          <w:rFonts w:ascii="Times New Roman" w:hAnsi="Times New Roman" w:cs="Times New Roman"/>
          <w:b/>
          <w:bCs/>
          <w:noProof/>
          <w:sz w:val="24"/>
          <w:szCs w:val="24"/>
          <w:lang w:val="en-GB"/>
        </w:rPr>
      </w:pPr>
      <w:bookmarkStart w:id="55" w:name="_Toc234341751"/>
      <w:r>
        <w:rPr>
          <w:rFonts w:ascii="Times New Roman" w:hAnsi="Times New Roman" w:cs="Times New Roman"/>
          <w:b/>
          <w:bCs/>
          <w:noProof/>
          <w:sz w:val="24"/>
          <w:szCs w:val="24"/>
          <w:lang w:val="en-GB"/>
        </w:rPr>
        <w:t>Prudential framework for investment firms (IFR/IFD)</w:t>
      </w:r>
      <w:bookmarkEnd w:id="55"/>
    </w:p>
    <w:p w14:paraId="0A3E4AFE" w14:textId="39541247" w:rsidR="00A742CF" w:rsidRPr="0036474B" w:rsidRDefault="00A742CF" w:rsidP="00A742CF">
      <w:pPr>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rPr>
        <w:t xml:space="preserve">The Investment Firms Regulation (‘IFR’) and the Investment Firms Directive (‘IFD’) establish a prudential framework for investment firms authorised under MiFID. The framework entered into force on 25 December 2019 and is in application since June 2021. The review clauses in Article 60 of the IFR and Article 66 of the IFD mandate the Commission to submit a report to the Council and to the Parliament regarding the functioning of the prudential framework on investment firms, which may be complemented, if appropriate, by a legislative proposal. For the purposes of this review, the Commission issued a call for advice (CfA) to the EBA and ESMA in early 2023 to evaluate the functioning of the prudential framework </w:t>
      </w:r>
      <w:r w:rsidRPr="0036474B">
        <w:rPr>
          <w:rFonts w:ascii="Times New Roman" w:eastAsiaTheme="minorEastAsia" w:hAnsi="Times New Roman" w:cs="Times New Roman"/>
          <w:noProof/>
          <w:sz w:val="24"/>
          <w:szCs w:val="24"/>
          <w:lang w:val="en-GB"/>
        </w:rPr>
        <w:t>for</w:t>
      </w:r>
      <w:r w:rsidRPr="0036474B">
        <w:rPr>
          <w:rFonts w:ascii="Times New Roman" w:hAnsi="Times New Roman" w:cs="Times New Roman"/>
          <w:noProof/>
          <w:sz w:val="24"/>
          <w:szCs w:val="24"/>
          <w:lang w:val="en-GB"/>
        </w:rPr>
        <w:t xml:space="preserve"> investment firms. The final technical advice was sent to the European Commission and published in October 2025. </w:t>
      </w:r>
    </w:p>
    <w:p w14:paraId="12CFAE98" w14:textId="75C93A9A" w:rsidR="00A742CF" w:rsidRPr="0036474B" w:rsidRDefault="37D44B42" w:rsidP="00A742CF">
      <w:pPr>
        <w:jc w:val="both"/>
        <w:rPr>
          <w:rFonts w:ascii="Times New Roman" w:eastAsia="Times" w:hAnsi="Times New Roman" w:cs="Times New Roman"/>
          <w:noProof/>
          <w:sz w:val="24"/>
          <w:szCs w:val="24"/>
          <w:lang w:val="en-GB"/>
        </w:rPr>
      </w:pPr>
      <w:r w:rsidRPr="70C90560">
        <w:rPr>
          <w:rFonts w:ascii="Times New Roman" w:eastAsia="Times" w:hAnsi="Times New Roman" w:cs="Times New Roman"/>
          <w:noProof/>
          <w:sz w:val="24"/>
          <w:szCs w:val="24"/>
          <w:lang w:val="en-GB"/>
        </w:rPr>
        <w:t xml:space="preserve">The EBA/ESMA joint advice confirms that the IFR/IFD framework has achieved its core objectives and has significantly improved the regulatory treatment of investment firms compared with the previous regime. At the same time, it identifies several areas where the framework could be refined to further strengthen its effective functioning. These findings are echoed in responses to the banking consultation and stakeholder discussion, which suggested that targeted amendments may be warranted to enhance the framework’s proportionality, coherence and ensure it remains fit for purpose. </w:t>
      </w:r>
    </w:p>
    <w:p w14:paraId="4469B929" w14:textId="1E00530A" w:rsidR="00A742CF" w:rsidRDefault="00A742CF" w:rsidP="001752EA">
      <w:pPr>
        <w:jc w:val="both"/>
        <w:rPr>
          <w:rFonts w:ascii="Times New Roman" w:eastAsia="Times New Roman" w:hAnsi="Times New Roman" w:cs="Times New Roman"/>
          <w:noProof/>
          <w:sz w:val="24"/>
          <w:szCs w:val="24"/>
          <w:lang w:val="en-GB"/>
        </w:rPr>
      </w:pPr>
      <w:r w:rsidRPr="70225B87">
        <w:rPr>
          <w:rFonts w:ascii="Times New Roman" w:eastAsia="Times New Roman" w:hAnsi="Times New Roman" w:cs="Times New Roman"/>
          <w:noProof/>
          <w:sz w:val="24"/>
          <w:szCs w:val="24"/>
          <w:lang w:val="en-GB"/>
        </w:rPr>
        <w:t xml:space="preserve">In more detail, the consultation responses confirm that stakeholders generally recognise the IFR/IFD as a significant improvement compared with the previous regime, while identifying areas where the framework could be further refined. </w:t>
      </w:r>
      <w:r w:rsidR="5983A771" w:rsidRPr="32C51857">
        <w:rPr>
          <w:rFonts w:ascii="Times New Roman" w:eastAsia="Times New Roman" w:hAnsi="Times New Roman" w:cs="Times New Roman"/>
          <w:noProof/>
          <w:sz w:val="24"/>
          <w:szCs w:val="24"/>
          <w:lang w:val="en-GB"/>
        </w:rPr>
        <w:t xml:space="preserve">Some </w:t>
      </w:r>
      <w:r w:rsidR="68C32338" w:rsidRPr="32C51857">
        <w:rPr>
          <w:rFonts w:ascii="Times New Roman" w:eastAsia="Times New Roman" w:hAnsi="Times New Roman" w:cs="Times New Roman"/>
          <w:noProof/>
          <w:sz w:val="24"/>
          <w:szCs w:val="24"/>
          <w:lang w:val="en-GB"/>
        </w:rPr>
        <w:t>b</w:t>
      </w:r>
      <w:r w:rsidR="0B0BCDF1" w:rsidRPr="32C51857">
        <w:rPr>
          <w:rFonts w:ascii="Times New Roman" w:eastAsia="Times New Roman" w:hAnsi="Times New Roman" w:cs="Times New Roman"/>
          <w:noProof/>
          <w:sz w:val="24"/>
          <w:szCs w:val="24"/>
          <w:lang w:val="en-GB"/>
        </w:rPr>
        <w:t>anks</w:t>
      </w:r>
      <w:r w:rsidRPr="70225B87">
        <w:rPr>
          <w:rFonts w:ascii="Times New Roman" w:eastAsia="Times New Roman" w:hAnsi="Times New Roman" w:cs="Times New Roman"/>
          <w:noProof/>
          <w:sz w:val="24"/>
          <w:szCs w:val="24"/>
          <w:lang w:val="en-GB"/>
        </w:rPr>
        <w:t xml:space="preserve"> and banking associations focused on the need to avoid regulatory arbitrage, competitive distortions and the migration of risks to entities operating outside the banking perimeter, particularly where investment firms perform activities that may be comparable to those of banks. Investment firms and their respective associations, by contrast, stressed that the prudential treatment of investment firms should remain clearly distinct from that of credit institutions, especially for firms trading on own account that do not take deposits, grant loans, create money-like liabilities or engage in maturity transformation. These respondents considered that certain conservative requirements, including nominal balance-sheet thresholds, Class 1 and Class 1 minus classifications and certain K-factors, may be insufficiently risk-sensitive. Other investment firms, trading venues and market infrastructures further linked these issues to the broader objective of deepening EU capital markets, noting that insufficiently proportionate requirements could affect market depth, spreads, price discovery and competitiveness. Public authorities generally supported targeted revisions rather than a fundamental redesign, with a view to preserving the differentiated nature of the IFR/IFD while enhancing its proportionality, clarity and supervisory consistency.</w:t>
      </w:r>
    </w:p>
    <w:p w14:paraId="26F13FB9" w14:textId="77777777" w:rsidR="00A742CF" w:rsidRPr="0036474B" w:rsidRDefault="00A742CF" w:rsidP="00A742CF">
      <w:pPr>
        <w:jc w:val="both"/>
        <w:rPr>
          <w:rFonts w:ascii="Times New Roman" w:hAnsi="Times New Roman" w:cs="Times New Roman"/>
          <w:bCs/>
          <w:noProof/>
          <w:sz w:val="24"/>
          <w:szCs w:val="24"/>
          <w:lang w:val="en-GB"/>
        </w:rPr>
      </w:pPr>
      <w:r w:rsidRPr="0036474B">
        <w:rPr>
          <w:rFonts w:ascii="Times New Roman" w:hAnsi="Times New Roman" w:cs="Times New Roman"/>
          <w:bCs/>
          <w:noProof/>
          <w:sz w:val="24"/>
          <w:szCs w:val="24"/>
          <w:lang w:val="en-GB"/>
        </w:rPr>
        <w:t xml:space="preserve">The </w:t>
      </w:r>
      <w:r w:rsidRPr="0036474B">
        <w:rPr>
          <w:rFonts w:ascii="Times New Roman" w:hAnsi="Times New Roman" w:cs="Times New Roman"/>
          <w:noProof/>
          <w:sz w:val="24"/>
          <w:szCs w:val="24"/>
          <w:lang w:val="en-GB"/>
        </w:rPr>
        <w:t>introduction of a tailored prudential</w:t>
      </w:r>
      <w:r w:rsidRPr="0036474B">
        <w:rPr>
          <w:rFonts w:ascii="Times New Roman" w:hAnsi="Times New Roman" w:cs="Times New Roman"/>
          <w:bCs/>
          <w:noProof/>
          <w:sz w:val="24"/>
          <w:szCs w:val="24"/>
          <w:lang w:val="en-GB"/>
        </w:rPr>
        <w:t xml:space="preserve"> framework </w:t>
      </w:r>
      <w:r w:rsidRPr="0036474B">
        <w:rPr>
          <w:rFonts w:ascii="Times New Roman" w:hAnsi="Times New Roman" w:cs="Times New Roman"/>
          <w:noProof/>
          <w:sz w:val="24"/>
          <w:szCs w:val="24"/>
          <w:lang w:val="en-GB"/>
        </w:rPr>
        <w:t>for investment firms sought to establish a more proportionate and risk-sensitive regime, better aligned with the nature, size and complexity of their activities, than the CRR/CRD, which previously applied.</w:t>
      </w:r>
      <w:r w:rsidRPr="0036474B">
        <w:rPr>
          <w:rFonts w:ascii="Times New Roman" w:hAnsi="Times New Roman" w:cs="Times New Roman"/>
          <w:bCs/>
          <w:noProof/>
          <w:sz w:val="24"/>
          <w:szCs w:val="24"/>
          <w:lang w:val="en-GB"/>
        </w:rPr>
        <w:t xml:space="preserve"> </w:t>
      </w:r>
      <w:r w:rsidRPr="0036474B">
        <w:rPr>
          <w:rFonts w:ascii="Times New Roman" w:hAnsi="Times New Roman" w:cs="Times New Roman"/>
          <w:noProof/>
          <w:sz w:val="24"/>
          <w:szCs w:val="24"/>
          <w:lang w:val="en-GB"/>
        </w:rPr>
        <w:t>The largest and most systemic investment firms are authorised as credit institutions and thus continue to fall under the CRR/CRD. Furthermore, the</w:t>
      </w:r>
      <w:r w:rsidRPr="0036474B">
        <w:rPr>
          <w:rFonts w:ascii="Times New Roman" w:hAnsi="Times New Roman" w:cs="Times New Roman"/>
          <w:bCs/>
          <w:noProof/>
          <w:sz w:val="24"/>
          <w:szCs w:val="24"/>
          <w:lang w:val="en-GB"/>
        </w:rPr>
        <w:t xml:space="preserve"> IFR/IFD</w:t>
      </w:r>
      <w:r w:rsidRPr="0036474B" w:rsidDel="00074A08">
        <w:rPr>
          <w:rFonts w:ascii="Times New Roman" w:hAnsi="Times New Roman" w:cs="Times New Roman"/>
          <w:bCs/>
          <w:noProof/>
          <w:sz w:val="24"/>
          <w:szCs w:val="24"/>
          <w:lang w:val="en-GB"/>
        </w:rPr>
        <w:t xml:space="preserve"> </w:t>
      </w:r>
      <w:r w:rsidRPr="0036474B">
        <w:rPr>
          <w:rFonts w:ascii="Times New Roman" w:hAnsi="Times New Roman" w:cs="Times New Roman"/>
          <w:bCs/>
          <w:noProof/>
          <w:sz w:val="24"/>
          <w:szCs w:val="24"/>
          <w:lang w:val="en-GB"/>
        </w:rPr>
        <w:t xml:space="preserve">aimed to better reflect the diversity of business models of investment firms and to accommodate the business they conduct. It also </w:t>
      </w:r>
      <w:r w:rsidRPr="0036474B">
        <w:rPr>
          <w:rFonts w:ascii="Times New Roman" w:hAnsi="Times New Roman" w:cs="Times New Roman"/>
          <w:noProof/>
          <w:sz w:val="24"/>
          <w:szCs w:val="24"/>
          <w:lang w:val="en-GB"/>
        </w:rPr>
        <w:t>introduced</w:t>
      </w:r>
      <w:r w:rsidRPr="0036474B">
        <w:rPr>
          <w:rFonts w:ascii="Times New Roman" w:hAnsi="Times New Roman" w:cs="Times New Roman"/>
          <w:bCs/>
          <w:noProof/>
          <w:sz w:val="24"/>
          <w:szCs w:val="24"/>
          <w:lang w:val="en-GB"/>
        </w:rPr>
        <w:t xml:space="preserve"> a streamlined</w:t>
      </w:r>
      <w:r w:rsidRPr="0036474B">
        <w:rPr>
          <w:rFonts w:ascii="Times New Roman" w:hAnsi="Times New Roman" w:cs="Times New Roman"/>
          <w:noProof/>
          <w:sz w:val="24"/>
          <w:szCs w:val="24"/>
          <w:lang w:val="en-GB"/>
        </w:rPr>
        <w:t xml:space="preserve"> and targeted</w:t>
      </w:r>
      <w:r w:rsidRPr="0036474B">
        <w:rPr>
          <w:rFonts w:ascii="Times New Roman" w:hAnsi="Times New Roman" w:cs="Times New Roman"/>
          <w:bCs/>
          <w:noProof/>
          <w:sz w:val="24"/>
          <w:szCs w:val="24"/>
          <w:lang w:val="en-GB"/>
        </w:rPr>
        <w:t xml:space="preserve"> regulatory and supervisory toolkit to facilitate effective oversight by CAs.</w:t>
      </w:r>
    </w:p>
    <w:p w14:paraId="10267048" w14:textId="0D7E5C0F" w:rsidR="00A742CF" w:rsidRDefault="00A742CF" w:rsidP="00A742CF">
      <w:pPr>
        <w:jc w:val="both"/>
        <w:rPr>
          <w:rFonts w:ascii="Times New Roman" w:eastAsia="Times New Roman" w:hAnsi="Times New Roman" w:cs="Times New Roman"/>
          <w:noProof/>
          <w:sz w:val="24"/>
          <w:szCs w:val="24"/>
        </w:rPr>
      </w:pPr>
      <w:r w:rsidRPr="2B47B16B">
        <w:rPr>
          <w:rFonts w:ascii="Times New Roman" w:hAnsi="Times New Roman" w:cs="Times New Roman"/>
          <w:noProof/>
          <w:sz w:val="24"/>
          <w:szCs w:val="24"/>
          <w:lang w:val="en-GB"/>
        </w:rPr>
        <w:t xml:space="preserve">The term ‘investment firm’ serves as an umbrella definition capturing a diverse group of financial institutions, varying significantly in size and scope, and performing a broad range of investment services (in public speak also referred to as “brokers”, “market makers”, “high-frequency traders”, “asset managers”, “market/investment intermediaries”, specific “trading venues” amongst others). </w:t>
      </w:r>
      <w:r w:rsidRPr="2B47B16B">
        <w:rPr>
          <w:rFonts w:ascii="Times New Roman" w:eastAsia="Times New Roman" w:hAnsi="Times New Roman" w:cs="Times New Roman"/>
          <w:noProof/>
          <w:sz w:val="24"/>
          <w:szCs w:val="24"/>
          <w:lang w:val="en-GB"/>
        </w:rPr>
        <w:t>This ranges from a one-person German firm offering investment advice and portfolio management to a local community, to a ten-person Latvian brokerage platform offering asset-backed securities to retail clients across borders, to internationally active medium-sized market makers in the Netherlands and to a global top ten asset manager in France, amongst many other examples. Moreover, it is evident that investment firms’ business models are not distributed uniformly across the Union but tend to cluster in specific Member States. This pattern reflects differences in national market structures, the presence of specialised financial centres, and the development of local expertise around particular investment services and activities. Consequently, changes to the regulatory or supervisory framework may affect Member States differently, even where EU rules are harmonised. The substantial diversity in the activities, size and complexity of investment firms, highlights the importance of a framework that is sufficiently proportional, simple, and prevents barriers to entry. The diversity also underlines the importance of taking into account single market impacts when assessing the framework.</w:t>
      </w:r>
    </w:p>
    <w:p w14:paraId="2DAE25FE" w14:textId="77777777" w:rsidR="00A742CF" w:rsidRDefault="00A742CF" w:rsidP="00A742CF">
      <w:pPr>
        <w:jc w:val="both"/>
        <w:rPr>
          <w:rFonts w:ascii="Times New Roman" w:eastAsia="Times New Roman" w:hAnsi="Times New Roman" w:cs="Times New Roman"/>
          <w:noProof/>
          <w:sz w:val="24"/>
          <w:szCs w:val="24"/>
          <w:lang w:val="en-GB"/>
        </w:rPr>
      </w:pPr>
      <w:r w:rsidRPr="007A3EBD">
        <w:rPr>
          <w:rFonts w:ascii="Times New Roman" w:eastAsia="Times" w:hAnsi="Times New Roman" w:cs="Times New Roman"/>
          <w:noProof/>
          <w:sz w:val="24"/>
          <w:szCs w:val="24"/>
        </w:rPr>
        <w:t>The development of supervisory practices under the IFR/IFD also merits further consideration. While the framework establishes a harmonised prudential regime and a common supervisory toolkit, its effective application depends on consistent and sufficiently convergent supervisory approaches across Member States. Given the diversity of investment firm business models, their uneven distribution across the Union and the cross-border nature of some activities, differences in supervisory priorities, expectations and information available to competent authorities may affect the comparability of supervisory outcomes. Further efforts to strengthen supervisory convergence, home-host cooperation and horizontal oversight would therefore support the coherent functioning of the IFR/IFD framework, while preserving proportionality and allowing supervisory practices to reflect the size, complexity, risk profile and cross-border relevance of the firms concerned.</w:t>
      </w:r>
    </w:p>
    <w:p w14:paraId="0CF43EB8" w14:textId="74EAFD0F" w:rsidR="00A742CF" w:rsidRPr="0036474B" w:rsidRDefault="00A742CF" w:rsidP="00A742CF">
      <w:pPr>
        <w:jc w:val="both"/>
        <w:rPr>
          <w:rFonts w:ascii="Times New Roman" w:eastAsia="Times" w:hAnsi="Times New Roman" w:cs="Times New Roman"/>
          <w:noProof/>
          <w:sz w:val="24"/>
          <w:szCs w:val="24"/>
          <w:lang w:val="en-GB"/>
        </w:rPr>
      </w:pPr>
      <w:r w:rsidRPr="5071218C">
        <w:rPr>
          <w:rFonts w:ascii="Times New Roman" w:eastAsia="Times" w:hAnsi="Times New Roman" w:cs="Times New Roman"/>
          <w:noProof/>
          <w:sz w:val="24"/>
          <w:szCs w:val="24"/>
          <w:lang w:val="en-GB"/>
        </w:rPr>
        <w:t xml:space="preserve">Investment firms perform an important intermediation function in the EU financial system and make a significant contribution to the functioning of Union capital markets. Market makers support secondary-market liquidity and orderly trading conditions. Underwriters and placement agents facilitate primary-market issuance and corporate access to funding. Portfolio managers and investment advisers contribute to the allocation of savings across asset classes, sectors and Member States. Trading venues, brokers and other intermediaries support market access and execution. </w:t>
      </w:r>
      <w:r w:rsidR="00CC3B6B">
        <w:rPr>
          <w:rFonts w:ascii="Times New Roman" w:eastAsia="Times" w:hAnsi="Times New Roman" w:cs="Times New Roman"/>
          <w:noProof/>
          <w:sz w:val="24"/>
          <w:szCs w:val="24"/>
          <w:lang w:val="en-GB"/>
        </w:rPr>
        <w:t>T</w:t>
      </w:r>
      <w:r w:rsidRPr="5071218C">
        <w:rPr>
          <w:rFonts w:ascii="Times New Roman" w:eastAsia="Times" w:hAnsi="Times New Roman" w:cs="Times New Roman"/>
          <w:noProof/>
          <w:sz w:val="24"/>
          <w:szCs w:val="24"/>
          <w:lang w:val="en-GB"/>
        </w:rPr>
        <w:t>aken together, these activities are relevant to the development of deeper, more integrated and more competitive EU capital markets. At the same time, EU capital markets remain less deep and liquid than those of other major jurisdictions, which reflects a comparatively smaller scale of capital-market-based financing. Against this background, investment firms have an important role to play in supporting the objectives of the SIU, notably by strengthening market intermediation, improving access to finance, and helping channel savings towards productive investment. The prudential framework should enable this intermediation and ensure there are no undue obstacles to growth.</w:t>
      </w:r>
    </w:p>
    <w:p w14:paraId="1116CA3A" w14:textId="77777777" w:rsidR="00A742CF" w:rsidRPr="0036474B" w:rsidRDefault="00A742CF" w:rsidP="00A742CF">
      <w:pPr>
        <w:jc w:val="both"/>
        <w:rPr>
          <w:rFonts w:ascii="Times New Roman" w:eastAsia="Times" w:hAnsi="Times New Roman" w:cs="Times New Roman"/>
          <w:noProof/>
          <w:sz w:val="24"/>
          <w:szCs w:val="24"/>
          <w:lang w:val="en-GB"/>
        </w:rPr>
      </w:pPr>
      <w:r w:rsidRPr="5071218C">
        <w:rPr>
          <w:rFonts w:ascii="Times New Roman" w:eastAsia="Times" w:hAnsi="Times New Roman" w:cs="Times New Roman"/>
          <w:noProof/>
          <w:sz w:val="24"/>
          <w:szCs w:val="24"/>
          <w:lang w:val="en-GB"/>
        </w:rPr>
        <w:t>A further consideration is the need to ensure appropriate competitive conditions for investment firms within and outside of the Union. Without international standards tailored to investment firms, regulatory frameworks have evolved differently across jurisdictions. This has implications for the assessment of international competitiveness and level playing field considerations. As in banking, large third-country investment firms are active in EU markets and compete successfully in several segments. At the same time, EU-headquartered investment firms with significant international activities perceive certain elements of the EU regulatory framework as constraining their ability to compete globally, including (1) the EU classification system that is primarily based on nominal thresholds such as gross total assets and (2) governance and remuneration requirements. These external competitive considerations should be assessed alongside the competitive dynamics within the EU single market. For example, in some areas, investment firms provide services that are complementary to those offered by banks, thereby supporting a diversified financial ecosystem. In other areas, they compete directly with banks, including in market making, brokerage, portfolio management and advisory services. The intensity of this competition varies depending on the specific investment services and activities concerned. In addition, while the IFR-IFD provides a bespoke framework for investment firms, many built-in links remain. Consistency between the prudential treatment of credit institutions and investment firms should therefore be considered, while taking into account proportionality and the different nature of investment firms.</w:t>
      </w:r>
    </w:p>
    <w:p w14:paraId="3258BB15" w14:textId="77777777" w:rsidR="00A742CF" w:rsidRPr="0036474B" w:rsidRDefault="00A742CF" w:rsidP="00A742CF">
      <w:pPr>
        <w:jc w:val="both"/>
        <w:rPr>
          <w:rFonts w:ascii="Times New Roman" w:hAnsi="Times New Roman" w:cs="Times New Roman"/>
          <w:noProof/>
          <w:sz w:val="24"/>
          <w:szCs w:val="24"/>
        </w:rPr>
      </w:pPr>
      <w:r w:rsidRPr="5071218C">
        <w:rPr>
          <w:rFonts w:ascii="Times New Roman" w:hAnsi="Times New Roman" w:cs="Times New Roman"/>
          <w:noProof/>
          <w:sz w:val="24"/>
          <w:szCs w:val="24"/>
          <w:lang w:val="en-GB"/>
        </w:rPr>
        <w:t xml:space="preserve">Through the </w:t>
      </w:r>
      <w:r w:rsidRPr="5071218C">
        <w:rPr>
          <w:rFonts w:ascii="Times New Roman" w:hAnsi="Times New Roman" w:cs="Times New Roman"/>
          <w:noProof/>
          <w:sz w:val="24"/>
          <w:szCs w:val="24"/>
        </w:rPr>
        <w:t xml:space="preserve">Communication on the competitiveness of the banking sector and the single market in banking, together with this complementary Staff Working Document, the Commission fulfils the abovementioned IFR/IFD review clauses. The Commission recognises that the prudential framework for investment firms generally functions well. At the same time, it concludes that any obstacles </w:t>
      </w:r>
      <w:r w:rsidRPr="5071218C">
        <w:rPr>
          <w:rFonts w:ascii="Times New Roman" w:hAnsi="Times New Roman" w:cs="Times New Roman"/>
          <w:noProof/>
          <w:sz w:val="24"/>
          <w:szCs w:val="24"/>
          <w:lang w:val="en-GB"/>
        </w:rPr>
        <w:t xml:space="preserve">limiting </w:t>
      </w:r>
      <w:r w:rsidRPr="5071218C">
        <w:rPr>
          <w:rFonts w:ascii="Times New Roman" w:hAnsi="Times New Roman" w:cs="Times New Roman"/>
          <w:noProof/>
          <w:sz w:val="24"/>
          <w:szCs w:val="24"/>
        </w:rPr>
        <w:t>investment firms’ contribution to the European capital markets, such as a lack of proportionality, undue complexity or an uneven international level playing field, should be addressed.</w:t>
      </w:r>
    </w:p>
    <w:p w14:paraId="110DEE52" w14:textId="77777777" w:rsidR="00A742CF" w:rsidRPr="00055A15" w:rsidRDefault="00A742CF" w:rsidP="00A742CF">
      <w:pPr>
        <w:jc w:val="both"/>
        <w:rPr>
          <w:rFonts w:ascii="Times New Roman" w:hAnsi="Times New Roman" w:cs="Times New Roman"/>
          <w:noProof/>
          <w:sz w:val="24"/>
          <w:szCs w:val="24"/>
          <w:u w:val="single"/>
          <w:lang w:val="en-GB"/>
        </w:rPr>
      </w:pPr>
      <w:r w:rsidRPr="00055A15">
        <w:rPr>
          <w:rFonts w:ascii="Times New Roman" w:hAnsi="Times New Roman" w:cs="Times New Roman"/>
          <w:noProof/>
          <w:sz w:val="24"/>
          <w:szCs w:val="24"/>
          <w:u w:val="single"/>
          <w:lang w:val="en-GB"/>
        </w:rPr>
        <w:t>Issues identified:</w:t>
      </w:r>
    </w:p>
    <w:p w14:paraId="5E7C8386" w14:textId="77777777" w:rsidR="00A742CF" w:rsidRPr="0036474B" w:rsidRDefault="00A742CF" w:rsidP="00EE3BEB">
      <w:pPr>
        <w:pStyle w:val="ListParagraph"/>
        <w:numPr>
          <w:ilvl w:val="0"/>
          <w:numId w:val="34"/>
        </w:numPr>
        <w:spacing w:after="120"/>
        <w:ind w:left="714" w:hanging="357"/>
        <w:contextualSpacing w:val="0"/>
        <w:jc w:val="both"/>
        <w:rPr>
          <w:rFonts w:ascii="Times New Roman" w:hAnsi="Times New Roman" w:cs="Times New Roman"/>
          <w:noProof/>
          <w:sz w:val="24"/>
          <w:szCs w:val="24"/>
          <w:lang w:val="en-GB"/>
        </w:rPr>
      </w:pPr>
      <w:r w:rsidRPr="2B47B16B">
        <w:rPr>
          <w:rFonts w:ascii="Times New Roman" w:hAnsi="Times New Roman" w:cs="Times New Roman"/>
          <w:noProof/>
          <w:sz w:val="24"/>
          <w:szCs w:val="24"/>
          <w:lang w:val="en-GB"/>
        </w:rPr>
        <w:t>The IFR/IFD provides a bespoke regime for investment firms. However, proportionality can be further increased</w:t>
      </w:r>
      <w:r w:rsidRPr="2B47B16B">
        <w:rPr>
          <w:rFonts w:ascii="Times New Roman" w:eastAsiaTheme="minorEastAsia" w:hAnsi="Times New Roman" w:cs="Times New Roman"/>
          <w:noProof/>
          <w:sz w:val="24"/>
          <w:szCs w:val="24"/>
          <w:lang w:val="en-GB"/>
        </w:rPr>
        <w:t xml:space="preserve"> to better reflect the diversity of investment firm activities and reduce the compliance burden. This review should include concerns raised by stakeholders in the consultation and reflected in EBA-ESMA recommendations. These topics include: the perceived over-conservatism of the threshold-based classification system; the appropriateness of the </w:t>
      </w:r>
      <w:r w:rsidRPr="2B47B16B">
        <w:rPr>
          <w:rFonts w:ascii="Times New Roman" w:eastAsiaTheme="minorEastAsia" w:hAnsi="Times New Roman" w:cs="Times New Roman"/>
          <w:noProof/>
          <w:sz w:val="24"/>
          <w:szCs w:val="24"/>
        </w:rPr>
        <w:t>calibration of capital and liquidity requirements</w:t>
      </w:r>
      <w:r w:rsidRPr="2B47B16B">
        <w:rPr>
          <w:rFonts w:ascii="Times New Roman" w:eastAsiaTheme="minorEastAsia" w:hAnsi="Times New Roman" w:cs="Times New Roman"/>
          <w:noProof/>
          <w:sz w:val="24"/>
          <w:szCs w:val="24"/>
          <w:lang w:val="en-GB"/>
        </w:rPr>
        <w:t xml:space="preserve">; undue complexities and red tape, especially where specific governance and remuneration </w:t>
      </w:r>
      <w:r w:rsidRPr="2B47B16B">
        <w:rPr>
          <w:rFonts w:ascii="Times New Roman" w:hAnsi="Times New Roman" w:cs="Times New Roman"/>
          <w:noProof/>
          <w:sz w:val="24"/>
          <w:szCs w:val="24"/>
          <w:lang w:val="en-GB"/>
        </w:rPr>
        <w:t>requirements constrain the investment firms’ activities or give rise to unintended consequences.</w:t>
      </w:r>
    </w:p>
    <w:p w14:paraId="69CE8D4F" w14:textId="0CCE590A" w:rsidR="00A742CF" w:rsidRDefault="00A742CF" w:rsidP="00EE3BEB">
      <w:pPr>
        <w:pStyle w:val="ListParagraph"/>
        <w:numPr>
          <w:ilvl w:val="0"/>
          <w:numId w:val="34"/>
        </w:numPr>
        <w:spacing w:after="120"/>
        <w:ind w:left="714" w:hanging="357"/>
        <w:contextualSpacing w:val="0"/>
        <w:jc w:val="both"/>
        <w:rPr>
          <w:rFonts w:ascii="Times New Roman" w:eastAsia="Aptos" w:hAnsi="Times New Roman" w:cs="Times New Roman"/>
          <w:noProof/>
          <w:sz w:val="24"/>
          <w:szCs w:val="24"/>
          <w:lang w:val="en-GB"/>
        </w:rPr>
      </w:pPr>
      <w:r w:rsidRPr="001752EA">
        <w:rPr>
          <w:rFonts w:ascii="Times New Roman" w:eastAsia="Aptos" w:hAnsi="Times New Roman" w:cs="Times New Roman"/>
          <w:noProof/>
          <w:sz w:val="24"/>
          <w:szCs w:val="24"/>
          <w:lang w:val="en-GB"/>
        </w:rPr>
        <w:t>The application of the IFR/IFD may not yet be sufficiently convergent across Member States.</w:t>
      </w:r>
      <w:r w:rsidRPr="2B47B16B">
        <w:rPr>
          <w:rFonts w:ascii="Times New Roman" w:eastAsia="Aptos" w:hAnsi="Times New Roman" w:cs="Times New Roman"/>
          <w:noProof/>
          <w:sz w:val="24"/>
          <w:szCs w:val="24"/>
          <w:lang w:val="en-GB"/>
        </w:rPr>
        <w:t xml:space="preserve"> More consistent practices and information would support the coherent application of the framework across the Union.</w:t>
      </w:r>
    </w:p>
    <w:p w14:paraId="3410038A" w14:textId="77777777" w:rsidR="00A742CF" w:rsidRPr="0036474B" w:rsidRDefault="00A742CF" w:rsidP="00EE3BEB">
      <w:pPr>
        <w:pStyle w:val="ListParagraph"/>
        <w:numPr>
          <w:ilvl w:val="0"/>
          <w:numId w:val="34"/>
        </w:numPr>
        <w:spacing w:after="120"/>
        <w:ind w:left="714" w:hanging="357"/>
        <w:contextualSpacing w:val="0"/>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rPr>
        <w:t>In the absence of international standards for the regulation of investment firms, the stringency and design of prudential regimes differ across jurisdictions. To foster strong EU capital markets, it is essential to ensure the competitiveness of EU investment firms vis-à-vis international peers, both within the single market and on the global stage.</w:t>
      </w:r>
    </w:p>
    <w:p w14:paraId="656497ED" w14:textId="4E989C32" w:rsidR="00A742CF" w:rsidRPr="0036474B" w:rsidRDefault="00A742CF" w:rsidP="00EE3BEB">
      <w:pPr>
        <w:pStyle w:val="ListParagraph"/>
        <w:numPr>
          <w:ilvl w:val="0"/>
          <w:numId w:val="34"/>
        </w:numPr>
        <w:spacing w:after="120"/>
        <w:ind w:left="714" w:hanging="357"/>
        <w:contextualSpacing w:val="0"/>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rPr>
        <w:t>As financial intermediaries, investment firms make an important contribution to the functioning of EU capital market and to the efficient allocation of capital within the Union. They support cross-border investment and foster market integration, while also contributing to market liquidity and price discovery. Moreover, they facilitate the issuance of equity and debt securities – activities that are essential to the competitiveness of the EU economy. However, there are indications that, in some cases, the prudential framework may create unintended incentives, constrain growth and place burdens on a more integrated market for investment services.</w:t>
      </w:r>
      <w:r w:rsidR="00AC2B0B">
        <w:rPr>
          <w:rFonts w:ascii="Times New Roman" w:hAnsi="Times New Roman" w:cs="Times New Roman"/>
          <w:noProof/>
          <w:sz w:val="24"/>
          <w:szCs w:val="24"/>
          <w:lang w:val="en-GB"/>
        </w:rPr>
        <w:t xml:space="preserve"> </w:t>
      </w:r>
      <w:r w:rsidRPr="0036474B">
        <w:rPr>
          <w:rFonts w:ascii="Times New Roman" w:hAnsi="Times New Roman" w:cs="Times New Roman"/>
          <w:noProof/>
          <w:sz w:val="24"/>
          <w:szCs w:val="24"/>
          <w:lang w:val="en-GB"/>
        </w:rPr>
        <w:t>It should be ensured that investment firms can effectively support the well-functioning of EU capital markets.</w:t>
      </w:r>
    </w:p>
    <w:p w14:paraId="5F255449" w14:textId="77777777" w:rsidR="00A742CF" w:rsidRPr="0036474B" w:rsidRDefault="00A742CF" w:rsidP="00EE3BEB">
      <w:pPr>
        <w:numPr>
          <w:ilvl w:val="0"/>
          <w:numId w:val="34"/>
        </w:numPr>
        <w:spacing w:after="120"/>
        <w:ind w:left="714" w:hanging="357"/>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rPr>
        <w:t>Taking into account the recommendations in the EBA and ESMA joint advice, where necessary, targeted changes should be made to existing technical standards to ensure they are fit for purpose and continue to support the effective and proportionate application of the framework.</w:t>
      </w:r>
    </w:p>
    <w:p w14:paraId="2CBEFF0C" w14:textId="4822720D" w:rsidR="00A742CF" w:rsidRPr="0036474B" w:rsidRDefault="00A742CF" w:rsidP="00EE3BEB">
      <w:pPr>
        <w:pStyle w:val="ListParagraph"/>
        <w:numPr>
          <w:ilvl w:val="0"/>
          <w:numId w:val="34"/>
        </w:numPr>
        <w:spacing w:after="120"/>
        <w:ind w:left="714" w:hanging="357"/>
        <w:contextualSpacing w:val="0"/>
        <w:jc w:val="both"/>
        <w:rPr>
          <w:rFonts w:ascii="Times New Roman" w:hAnsi="Times New Roman" w:cs="Times New Roman"/>
          <w:noProof/>
          <w:sz w:val="24"/>
          <w:szCs w:val="24"/>
          <w:lang w:val="en-GB"/>
        </w:rPr>
      </w:pPr>
      <w:r w:rsidRPr="0036474B">
        <w:rPr>
          <w:rFonts w:ascii="Times New Roman" w:hAnsi="Times New Roman" w:cs="Times New Roman"/>
          <w:noProof/>
          <w:sz w:val="24"/>
          <w:szCs w:val="24"/>
          <w:lang w:val="en-GB"/>
        </w:rPr>
        <w:t>The IFR/IFD draws on bank regulation and interlinkages between the two frameworks remain. Given these interlinkages, consistency should be maintained, taking into account any amendments to the CRR/CRD.</w:t>
      </w:r>
    </w:p>
    <w:sectPr w:rsidR="00A742CF" w:rsidRPr="0036474B" w:rsidSect="0063664B">
      <w:headerReference w:type="even" r:id="rId51"/>
      <w:headerReference w:type="default" r:id="rId52"/>
      <w:footerReference w:type="even" r:id="rId53"/>
      <w:footerReference w:type="default" r:id="rId54"/>
      <w:headerReference w:type="first" r:id="rId55"/>
      <w:footerReference w:type="first" r:id="rId56"/>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F195CF" w14:textId="77777777" w:rsidR="00C61154" w:rsidRDefault="00C61154" w:rsidP="00216675">
      <w:pPr>
        <w:spacing w:after="0" w:line="240" w:lineRule="auto"/>
      </w:pPr>
      <w:r>
        <w:separator/>
      </w:r>
    </w:p>
  </w:endnote>
  <w:endnote w:type="continuationSeparator" w:id="0">
    <w:p w14:paraId="145481FE" w14:textId="77777777" w:rsidR="00C61154" w:rsidRDefault="00C61154" w:rsidP="00216675">
      <w:pPr>
        <w:spacing w:after="0" w:line="240" w:lineRule="auto"/>
      </w:pPr>
      <w:r>
        <w:continuationSeparator/>
      </w:r>
    </w:p>
  </w:endnote>
  <w:endnote w:type="continuationNotice" w:id="1">
    <w:p w14:paraId="1D3FA1A4" w14:textId="77777777" w:rsidR="00C61154" w:rsidRDefault="00C611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85F6E" w14:textId="2E68ADEA" w:rsidR="00F57171" w:rsidRPr="00F57171" w:rsidRDefault="00F57171" w:rsidP="00F57171">
    <w:pPr>
      <w:pStyle w:val="FooterCoverPage"/>
      <w:rPr>
        <w:rFonts w:ascii="Arial" w:hAnsi="Arial" w:cs="Arial"/>
        <w:b/>
        <w:sz w:val="48"/>
      </w:rPr>
    </w:pPr>
    <w:r w:rsidRPr="00F57171">
      <w:rPr>
        <w:rFonts w:ascii="Arial" w:hAnsi="Arial" w:cs="Arial"/>
        <w:b/>
        <w:sz w:val="48"/>
      </w:rPr>
      <w:t>EN</w:t>
    </w:r>
    <w:r w:rsidRPr="00F57171">
      <w:rPr>
        <w:rFonts w:ascii="Arial" w:hAnsi="Arial" w:cs="Arial"/>
        <w:b/>
        <w:sz w:val="48"/>
      </w:rPr>
      <w:tab/>
    </w:r>
    <w:r w:rsidRPr="00F57171">
      <w:rPr>
        <w:rFonts w:ascii="Arial" w:hAnsi="Arial" w:cs="Arial"/>
        <w:b/>
        <w:sz w:val="48"/>
      </w:rPr>
      <w:tab/>
    </w:r>
    <w:r w:rsidRPr="00F57171">
      <w:tab/>
    </w:r>
    <w:r w:rsidRPr="00F5717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EBFB5" w14:textId="34B0186B" w:rsidR="00F57171" w:rsidRPr="00F57171" w:rsidRDefault="00F57171" w:rsidP="00F57171">
    <w:pPr>
      <w:pStyle w:val="FooterCoverPage"/>
      <w:rPr>
        <w:rFonts w:ascii="Arial" w:hAnsi="Arial" w:cs="Arial"/>
        <w:b/>
        <w:sz w:val="48"/>
      </w:rPr>
    </w:pPr>
    <w:r w:rsidRPr="00F57171">
      <w:rPr>
        <w:rFonts w:ascii="Arial" w:hAnsi="Arial" w:cs="Arial"/>
        <w:b/>
        <w:sz w:val="48"/>
      </w:rPr>
      <w:t>EN</w:t>
    </w:r>
    <w:r w:rsidRPr="00F57171">
      <w:rPr>
        <w:rFonts w:ascii="Arial" w:hAnsi="Arial" w:cs="Arial"/>
        <w:b/>
        <w:sz w:val="48"/>
      </w:rPr>
      <w:tab/>
    </w:r>
    <w:r w:rsidRPr="00F57171">
      <w:rPr>
        <w:rFonts w:ascii="Arial" w:hAnsi="Arial" w:cs="Arial"/>
        <w:b/>
        <w:sz w:val="48"/>
      </w:rPr>
      <w:tab/>
    </w:r>
    <w:r w:rsidRPr="00F57171">
      <w:tab/>
    </w:r>
    <w:r w:rsidRPr="00F5717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9CF54" w14:textId="77777777" w:rsidR="00F57171" w:rsidRPr="00F57171" w:rsidRDefault="00F57171" w:rsidP="00F5717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DAFCD" w14:textId="77777777" w:rsidR="005713CF" w:rsidRDefault="005713C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8966900"/>
      <w:docPartObj>
        <w:docPartGallery w:val="Page Numbers (Bottom of Page)"/>
        <w:docPartUnique/>
      </w:docPartObj>
    </w:sdtPr>
    <w:sdtEndPr>
      <w:rPr>
        <w:rFonts w:ascii="Times New Roman" w:hAnsi="Times New Roman" w:cs="Times New Roman"/>
        <w:noProof/>
      </w:rPr>
    </w:sdtEndPr>
    <w:sdtContent>
      <w:p w14:paraId="5083EFCB" w14:textId="07B8B1D4" w:rsidR="00E774F4" w:rsidRPr="00E774F4" w:rsidRDefault="00E774F4">
        <w:pPr>
          <w:pStyle w:val="Footer"/>
          <w:jc w:val="center"/>
          <w:rPr>
            <w:rFonts w:ascii="Times New Roman" w:hAnsi="Times New Roman" w:cs="Times New Roman"/>
          </w:rPr>
        </w:pPr>
        <w:r w:rsidRPr="00E774F4">
          <w:rPr>
            <w:rFonts w:ascii="Times New Roman" w:hAnsi="Times New Roman" w:cs="Times New Roman"/>
          </w:rPr>
          <w:fldChar w:fldCharType="begin"/>
        </w:r>
        <w:r w:rsidRPr="00E774F4">
          <w:rPr>
            <w:rFonts w:ascii="Times New Roman" w:hAnsi="Times New Roman" w:cs="Times New Roman"/>
          </w:rPr>
          <w:instrText xml:space="preserve"> PAGE   \* MERGEFORMAT </w:instrText>
        </w:r>
        <w:r w:rsidRPr="00E774F4">
          <w:rPr>
            <w:rFonts w:ascii="Times New Roman" w:hAnsi="Times New Roman" w:cs="Times New Roman"/>
          </w:rPr>
          <w:fldChar w:fldCharType="separate"/>
        </w:r>
        <w:r w:rsidR="00F57171">
          <w:rPr>
            <w:rFonts w:ascii="Times New Roman" w:hAnsi="Times New Roman" w:cs="Times New Roman"/>
            <w:noProof/>
          </w:rPr>
          <w:t>1</w:t>
        </w:r>
        <w:r w:rsidRPr="00E774F4">
          <w:rPr>
            <w:rFonts w:ascii="Times New Roman" w:hAnsi="Times New Roman" w:cs="Times New Roman"/>
            <w:noProof/>
          </w:rPr>
          <w:fldChar w:fldCharType="end"/>
        </w:r>
      </w:p>
    </w:sdtContent>
  </w:sdt>
  <w:p w14:paraId="7A35603C" w14:textId="77777777" w:rsidR="00107ED7" w:rsidRDefault="00107ED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BB72A0" w14:textId="77777777" w:rsidR="00F724BA" w:rsidRDefault="00F724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ED2650" w14:textId="77777777" w:rsidR="00C61154" w:rsidRDefault="00C61154" w:rsidP="00216675">
      <w:pPr>
        <w:spacing w:after="0" w:line="240" w:lineRule="auto"/>
      </w:pPr>
      <w:r>
        <w:separator/>
      </w:r>
    </w:p>
  </w:footnote>
  <w:footnote w:type="continuationSeparator" w:id="0">
    <w:p w14:paraId="0C0AD53E" w14:textId="77777777" w:rsidR="00C61154" w:rsidRDefault="00C61154" w:rsidP="00216675">
      <w:pPr>
        <w:spacing w:after="0" w:line="240" w:lineRule="auto"/>
      </w:pPr>
      <w:r>
        <w:continuationSeparator/>
      </w:r>
    </w:p>
  </w:footnote>
  <w:footnote w:type="continuationNotice" w:id="1">
    <w:p w14:paraId="1557EAFA" w14:textId="77777777" w:rsidR="00C61154" w:rsidRDefault="00C61154">
      <w:pPr>
        <w:spacing w:after="0" w:line="240" w:lineRule="auto"/>
      </w:pPr>
    </w:p>
  </w:footnote>
  <w:footnote w:id="2">
    <w:p w14:paraId="34BEF1C5" w14:textId="64F1CBD1" w:rsidR="00336D89" w:rsidRPr="00D81879" w:rsidRDefault="00336D89"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t xml:space="preserve">European Commission, </w:t>
      </w:r>
      <w:hyperlink r:id="rId1" w:history="1">
        <w:r w:rsidRPr="00D81879">
          <w:rPr>
            <w:rStyle w:val="Hyperlink"/>
            <w:rFonts w:ascii="Times New Roman" w:hAnsi="Times New Roman" w:cs="Times New Roman"/>
            <w:i/>
            <w:lang w:val="en-GB"/>
          </w:rPr>
          <w:t>Savings and Investments Union Strategy</w:t>
        </w:r>
      </w:hyperlink>
      <w:r w:rsidRPr="00D81879">
        <w:rPr>
          <w:rFonts w:ascii="Times New Roman" w:hAnsi="Times New Roman" w:cs="Times New Roman"/>
          <w:lang w:val="en-GB"/>
        </w:rPr>
        <w:t>, 2025.</w:t>
      </w:r>
    </w:p>
  </w:footnote>
  <w:footnote w:id="3">
    <w:p w14:paraId="423B531D" w14:textId="4ED900E5" w:rsidR="00457237" w:rsidRPr="00D81879" w:rsidRDefault="00457237"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r>
      <w:r w:rsidR="0E42CE7D" w:rsidRPr="00D81879">
        <w:rPr>
          <w:rFonts w:ascii="Times New Roman" w:hAnsi="Times New Roman" w:cs="Times New Roman"/>
          <w:lang w:val="en-GB"/>
        </w:rPr>
        <w:t xml:space="preserve">European Commission, </w:t>
      </w:r>
      <w:hyperlink r:id="rId2">
        <w:r w:rsidR="0E42CE7D" w:rsidRPr="00D81879">
          <w:rPr>
            <w:rStyle w:val="Hyperlink"/>
            <w:rFonts w:ascii="Times New Roman" w:hAnsi="Times New Roman" w:cs="Times New Roman"/>
            <w:i/>
            <w:lang w:val="en-GB"/>
          </w:rPr>
          <w:t>Single market in banking workshop: The economics of banking in the single market</w:t>
        </w:r>
      </w:hyperlink>
      <w:r w:rsidR="0E42CE7D" w:rsidRPr="00D81879">
        <w:rPr>
          <w:rFonts w:ascii="Times New Roman" w:hAnsi="Times New Roman" w:cs="Times New Roman"/>
          <w:lang w:val="en-GB"/>
        </w:rPr>
        <w:t>, 2025.</w:t>
      </w:r>
    </w:p>
  </w:footnote>
  <w:footnote w:id="4">
    <w:p w14:paraId="4955692E" w14:textId="263DEC59" w:rsidR="00457237" w:rsidRPr="00D81879" w:rsidRDefault="00457237"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r>
      <w:r w:rsidR="0E42CE7D" w:rsidRPr="00D81879">
        <w:rPr>
          <w:rFonts w:ascii="Times New Roman" w:hAnsi="Times New Roman" w:cs="Times New Roman"/>
          <w:lang w:val="en-GB"/>
        </w:rPr>
        <w:t xml:space="preserve">European Commission, </w:t>
      </w:r>
      <w:hyperlink r:id="rId3">
        <w:r w:rsidR="0E42CE7D" w:rsidRPr="00D81879">
          <w:rPr>
            <w:rStyle w:val="Hyperlink"/>
            <w:rFonts w:ascii="Times New Roman" w:hAnsi="Times New Roman" w:cs="Times New Roman"/>
            <w:i/>
            <w:lang w:val="en-GB"/>
          </w:rPr>
          <w:t>Reality check on the complexity of the EU banking regulatory framework</w:t>
        </w:r>
      </w:hyperlink>
      <w:r w:rsidR="0E42CE7D" w:rsidRPr="00D81879">
        <w:rPr>
          <w:rFonts w:ascii="Times New Roman" w:hAnsi="Times New Roman" w:cs="Times New Roman"/>
          <w:lang w:val="en-GB"/>
        </w:rPr>
        <w:t>, 2025.</w:t>
      </w:r>
    </w:p>
  </w:footnote>
  <w:footnote w:id="5">
    <w:p w14:paraId="59B1D742" w14:textId="53F41DEE" w:rsidR="00D5539A" w:rsidRPr="00D81879" w:rsidRDefault="00D5539A"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r>
      <w:r w:rsidR="0E42CE7D" w:rsidRPr="00D81879">
        <w:rPr>
          <w:rFonts w:ascii="Times New Roman" w:hAnsi="Times New Roman" w:cs="Times New Roman"/>
          <w:lang w:val="en-GB"/>
        </w:rPr>
        <w:t xml:space="preserve">European Commission, </w:t>
      </w:r>
      <w:hyperlink r:id="rId4">
        <w:r w:rsidR="0E42CE7D" w:rsidRPr="00D81879">
          <w:rPr>
            <w:rStyle w:val="Hyperlink"/>
            <w:rFonts w:ascii="Times New Roman" w:hAnsi="Times New Roman" w:cs="Times New Roman"/>
            <w:i/>
            <w:lang w:val="en-GB"/>
          </w:rPr>
          <w:t>Implementation dialogue on banking integration and competitiveness</w:t>
        </w:r>
      </w:hyperlink>
      <w:r w:rsidR="0E42CE7D" w:rsidRPr="00D81879">
        <w:rPr>
          <w:rFonts w:ascii="Times New Roman" w:hAnsi="Times New Roman" w:cs="Times New Roman"/>
          <w:lang w:val="en-GB"/>
        </w:rPr>
        <w:t>, 2025</w:t>
      </w:r>
      <w:r w:rsidR="00DB73EB" w:rsidRPr="00D81879">
        <w:rPr>
          <w:rFonts w:ascii="Times New Roman" w:hAnsi="Times New Roman" w:cs="Times New Roman"/>
          <w:lang w:val="en-GB"/>
        </w:rPr>
        <w:t>.</w:t>
      </w:r>
    </w:p>
  </w:footnote>
  <w:footnote w:id="6">
    <w:p w14:paraId="654A8279" w14:textId="28C05A86" w:rsidR="00100CF7" w:rsidRPr="00D81879" w:rsidRDefault="00100CF7"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r>
      <w:r w:rsidR="0E42CE7D" w:rsidRPr="00D81879">
        <w:rPr>
          <w:rFonts w:ascii="Times New Roman" w:hAnsi="Times New Roman" w:cs="Times New Roman"/>
          <w:lang w:val="en-GB"/>
        </w:rPr>
        <w:t xml:space="preserve">European Commission, </w:t>
      </w:r>
      <w:hyperlink r:id="rId5">
        <w:r w:rsidR="0E42CE7D" w:rsidRPr="00D81879">
          <w:rPr>
            <w:rStyle w:val="Hyperlink"/>
            <w:rFonts w:ascii="Times New Roman" w:hAnsi="Times New Roman" w:cs="Times New Roman"/>
            <w:i/>
            <w:lang w:val="en-GB"/>
          </w:rPr>
          <w:t>Targeted consultation on the competitiveness of the EU banking sector</w:t>
        </w:r>
      </w:hyperlink>
      <w:r w:rsidR="0E42CE7D" w:rsidRPr="00D81879">
        <w:rPr>
          <w:rFonts w:ascii="Times New Roman" w:hAnsi="Times New Roman" w:cs="Times New Roman"/>
          <w:lang w:val="en-GB"/>
        </w:rPr>
        <w:t>, 2026.</w:t>
      </w:r>
    </w:p>
  </w:footnote>
  <w:footnote w:id="7">
    <w:p w14:paraId="08E85990" w14:textId="7F06456B" w:rsidR="1F722A72" w:rsidRPr="00D81879" w:rsidRDefault="1F722A72" w:rsidP="006A0DF4">
      <w:pPr>
        <w:pStyle w:val="FootnoteText"/>
        <w:ind w:left="709" w:hanging="709"/>
        <w:contextualSpacing/>
        <w:jc w:val="both"/>
        <w:rPr>
          <w:rFonts w:ascii="Times New Roman" w:hAnsi="Times New Roman" w:cs="Times New Roman"/>
          <w:lang w:val="en-GB"/>
        </w:rPr>
      </w:pPr>
      <w:r w:rsidRPr="00D81879">
        <w:rPr>
          <w:rFonts w:ascii="Times New Roman" w:hAnsi="Times New Roman" w:cs="Times New Roman"/>
          <w:vertAlign w:val="superscript"/>
          <w:lang w:val="en-GB"/>
        </w:rPr>
        <w:footnoteRef/>
      </w:r>
      <w:r w:rsidR="002E5919" w:rsidRPr="00D81879">
        <w:rPr>
          <w:rFonts w:ascii="Times New Roman" w:hAnsi="Times New Roman" w:cs="Times New Roman"/>
          <w:lang w:val="en-GB"/>
        </w:rPr>
        <w:tab/>
      </w:r>
      <w:r w:rsidRPr="00D81879">
        <w:rPr>
          <w:rFonts w:ascii="Times New Roman" w:eastAsia="Segoe UI" w:hAnsi="Times New Roman" w:cs="Times New Roman"/>
          <w:color w:val="242424"/>
          <w:lang w:val="en-GB"/>
        </w:rPr>
        <w:t xml:space="preserve">Money </w:t>
      </w:r>
      <w:r w:rsidRPr="00D81879">
        <w:rPr>
          <w:rFonts w:ascii="Times New Roman" w:hAnsi="Times New Roman" w:cs="Times New Roman"/>
          <w:lang w:val="en-GB"/>
        </w:rPr>
        <w:t>and</w:t>
      </w:r>
      <w:r w:rsidRPr="00D81879">
        <w:rPr>
          <w:rFonts w:ascii="Times New Roman" w:eastAsia="Segoe UI" w:hAnsi="Times New Roman" w:cs="Times New Roman"/>
          <w:color w:val="242424"/>
          <w:lang w:val="en-GB"/>
        </w:rPr>
        <w:t xml:space="preserve"> credit dynamics in the euro area and a comparison with the United States. Economic Bulletin, Box 7/2024. </w:t>
      </w:r>
      <w:r w:rsidRPr="00D81879">
        <w:rPr>
          <w:rFonts w:ascii="Times New Roman" w:hAnsi="Times New Roman" w:cs="Times New Roman"/>
          <w:lang w:val="en-GB"/>
        </w:rPr>
        <w:t>European</w:t>
      </w:r>
      <w:r w:rsidRPr="00D81879">
        <w:rPr>
          <w:rFonts w:ascii="Times New Roman" w:eastAsia="Segoe UI" w:hAnsi="Times New Roman" w:cs="Times New Roman"/>
          <w:color w:val="242424"/>
          <w:lang w:val="en-GB"/>
        </w:rPr>
        <w:t xml:space="preserve"> Central Bank. </w:t>
      </w:r>
      <w:hyperlink r:id="rId6" w:history="1">
        <w:r w:rsidR="00DC3D11" w:rsidRPr="00D81879">
          <w:rPr>
            <w:rStyle w:val="Hyperlink"/>
            <w:rFonts w:ascii="Times New Roman" w:hAnsi="Times New Roman" w:cs="Times New Roman"/>
            <w:lang w:val="en-GB"/>
          </w:rPr>
          <w:t>https://www.ecb.europa.eu/press/economic-bulletin/focus/2024/html/ecb.ebbox202406_07~925b6bd4c3.en.html</w:t>
        </w:r>
      </w:hyperlink>
      <w:r w:rsidR="00086D98">
        <w:rPr>
          <w:rFonts w:ascii="Times New Roman" w:eastAsia="Segoe UI" w:hAnsi="Times New Roman" w:cs="Times New Roman"/>
          <w:color w:val="242424"/>
          <w:lang w:val="en-GB"/>
        </w:rPr>
        <w:t xml:space="preserve">  </w:t>
      </w:r>
    </w:p>
  </w:footnote>
  <w:footnote w:id="8">
    <w:p w14:paraId="655C1485" w14:textId="2EA22577" w:rsidR="00853BF3" w:rsidRPr="00D81879" w:rsidRDefault="00853BF3" w:rsidP="006A0DF4">
      <w:pPr>
        <w:pStyle w:val="FootnoteText"/>
        <w:ind w:left="709" w:hanging="709"/>
        <w:contextualSpacing/>
        <w:jc w:val="both"/>
        <w:rPr>
          <w:rFonts w:ascii="Times New Roman" w:hAnsi="Times New Roman" w:cs="Times New Roman"/>
          <w:lang w:val="en-GB"/>
        </w:rPr>
      </w:pPr>
      <w:r w:rsidRPr="00D81879">
        <w:rPr>
          <w:rFonts w:ascii="Times New Roman" w:hAnsi="Times New Roman" w:cs="Times New Roman"/>
          <w:vertAlign w:val="superscript"/>
          <w:lang w:val="en-GB"/>
        </w:rPr>
        <w:footnoteRef/>
      </w:r>
      <w:r w:rsidR="002E5919" w:rsidRPr="00D81879">
        <w:rPr>
          <w:rFonts w:ascii="Times New Roman" w:hAnsi="Times New Roman" w:cs="Times New Roman"/>
          <w:lang w:val="en-GB"/>
        </w:rPr>
        <w:tab/>
      </w:r>
      <w:r w:rsidRPr="00D81879">
        <w:rPr>
          <w:rFonts w:ascii="Times New Roman" w:eastAsia="Segoe UI" w:hAnsi="Times New Roman" w:cs="Times New Roman"/>
          <w:color w:val="242424"/>
          <w:lang w:val="en-GB"/>
        </w:rPr>
        <w:t>EBA</w:t>
      </w:r>
      <w:r w:rsidRPr="00D81879">
        <w:rPr>
          <w:rFonts w:ascii="Times New Roman" w:hAnsi="Times New Roman" w:cs="Times New Roman"/>
          <w:lang w:val="en-GB"/>
        </w:rPr>
        <w:t xml:space="preserve"> risk dashboard – Q4 2025 (</w:t>
      </w:r>
      <w:hyperlink r:id="rId7" w:history="1">
        <w:r w:rsidRPr="00D81879">
          <w:rPr>
            <w:rStyle w:val="Hyperlink"/>
            <w:rFonts w:ascii="Times New Roman" w:hAnsi="Times New Roman" w:cs="Times New Roman"/>
            <w:lang w:val="en-GB"/>
          </w:rPr>
          <w:t>link</w:t>
        </w:r>
      </w:hyperlink>
      <w:r w:rsidRPr="00D81879">
        <w:rPr>
          <w:rFonts w:ascii="Times New Roman" w:hAnsi="Times New Roman" w:cs="Times New Roman"/>
          <w:lang w:val="en-GB"/>
        </w:rPr>
        <w:t>)</w:t>
      </w:r>
    </w:p>
  </w:footnote>
  <w:footnote w:id="9">
    <w:p w14:paraId="7C996A29" w14:textId="1D8408FE" w:rsidR="00420DE2" w:rsidRPr="00D81879" w:rsidRDefault="00420DE2" w:rsidP="006A0DF4">
      <w:pPr>
        <w:pStyle w:val="FootnoteText"/>
        <w:ind w:left="709" w:hanging="709"/>
        <w:contextualSpacing/>
        <w:jc w:val="both"/>
        <w:rPr>
          <w:rFonts w:ascii="Times New Roman" w:hAnsi="Times New Roman" w:cs="Times New Roman"/>
        </w:rPr>
      </w:pPr>
      <w:r w:rsidRPr="00D81879">
        <w:rPr>
          <w:rStyle w:val="FootnoteReference"/>
          <w:rFonts w:ascii="Times New Roman" w:hAnsi="Times New Roman" w:cs="Times New Roman"/>
        </w:rPr>
        <w:footnoteRef/>
      </w:r>
      <w:r w:rsidR="002E5919" w:rsidRPr="00D81879">
        <w:rPr>
          <w:rFonts w:ascii="Times New Roman" w:hAnsi="Times New Roman" w:cs="Times New Roman"/>
        </w:rPr>
        <w:tab/>
      </w:r>
      <w:r w:rsidRPr="00D81879">
        <w:rPr>
          <w:rFonts w:ascii="Times New Roman" w:hAnsi="Times New Roman" w:cs="Times New Roman"/>
          <w:lang w:val="en-GB"/>
        </w:rPr>
        <w:t xml:space="preserve">European Financial Stability and Integration Review, 2026: </w:t>
      </w:r>
      <w:hyperlink r:id="rId8" w:history="1">
        <w:r w:rsidRPr="00D81879">
          <w:rPr>
            <w:rFonts w:ascii="Times New Roman" w:hAnsi="Times New Roman" w:cs="Times New Roman"/>
            <w:lang w:val="en-GB"/>
          </w:rPr>
          <w:t>European Financial Stability and Integration Review 2026</w:t>
        </w:r>
      </w:hyperlink>
      <w:r w:rsidR="009504C4">
        <w:rPr>
          <w:rFonts w:ascii="Times New Roman" w:hAnsi="Times New Roman" w:cs="Times New Roman"/>
          <w:lang w:val="en-GB"/>
        </w:rPr>
        <w:t xml:space="preserve"> (</w:t>
      </w:r>
      <w:hyperlink r:id="rId9" w:history="1">
        <w:r w:rsidR="009504C4" w:rsidRPr="00DD0D29">
          <w:rPr>
            <w:rStyle w:val="Hyperlink"/>
            <w:rFonts w:ascii="Times New Roman" w:hAnsi="Times New Roman" w:cs="Times New Roman"/>
            <w:lang w:val="en-GB"/>
          </w:rPr>
          <w:t>link</w:t>
        </w:r>
      </w:hyperlink>
      <w:r w:rsidR="009504C4">
        <w:rPr>
          <w:rFonts w:ascii="Times New Roman" w:hAnsi="Times New Roman" w:cs="Times New Roman"/>
          <w:lang w:val="en-GB"/>
        </w:rPr>
        <w:t>)</w:t>
      </w:r>
    </w:p>
  </w:footnote>
  <w:footnote w:id="10">
    <w:p w14:paraId="1A3A79B9" w14:textId="6D59CC0A" w:rsidR="00D00972" w:rsidRPr="00D81879" w:rsidRDefault="00D00972" w:rsidP="006A0DF4">
      <w:pPr>
        <w:spacing w:after="0"/>
        <w:ind w:left="709" w:hanging="709"/>
        <w:contextualSpacing/>
        <w:rPr>
          <w:rFonts w:ascii="Times New Roman" w:eastAsia="Times New Roman" w:hAnsi="Times New Roman" w:cs="Times New Roman"/>
          <w:sz w:val="20"/>
          <w:szCs w:val="20"/>
          <w:lang w:val="en-GB"/>
        </w:rPr>
      </w:pPr>
      <w:r w:rsidRPr="00D81879">
        <w:rPr>
          <w:rFonts w:ascii="Times New Roman" w:eastAsia="Times New Roman" w:hAnsi="Times New Roman" w:cs="Times New Roman"/>
          <w:sz w:val="20"/>
          <w:szCs w:val="20"/>
          <w:vertAlign w:val="superscript"/>
          <w:lang w:val="en-GB"/>
        </w:rPr>
        <w:footnoteRef/>
      </w:r>
      <w:r w:rsidR="003B6F24">
        <w:rPr>
          <w:rFonts w:ascii="Times New Roman" w:eastAsia="Times New Roman" w:hAnsi="Times New Roman" w:cs="Times New Roman"/>
          <w:sz w:val="20"/>
          <w:szCs w:val="20"/>
          <w:lang w:val="en-GB"/>
        </w:rPr>
        <w:tab/>
      </w:r>
      <w:r w:rsidRPr="00D81879">
        <w:rPr>
          <w:rFonts w:ascii="Times New Roman" w:eastAsia="Times New Roman" w:hAnsi="Times New Roman" w:cs="Times New Roman"/>
          <w:color w:val="000000" w:themeColor="text1"/>
          <w:sz w:val="20"/>
          <w:szCs w:val="20"/>
          <w:lang w:val="en-GB"/>
        </w:rPr>
        <w:t>Capital Markets Union: a deep dive. Occasional Paper No. 369. European Central Bank (</w:t>
      </w:r>
      <w:hyperlink r:id="rId10" w:history="1">
        <w:r w:rsidRPr="00D81879">
          <w:rPr>
            <w:rStyle w:val="Hyperlink"/>
            <w:rFonts w:ascii="Times New Roman" w:eastAsia="Times New Roman" w:hAnsi="Times New Roman" w:cs="Times New Roman"/>
            <w:sz w:val="20"/>
            <w:szCs w:val="20"/>
            <w:lang w:val="en-GB"/>
          </w:rPr>
          <w:t>link</w:t>
        </w:r>
      </w:hyperlink>
      <w:r w:rsidRPr="00D81879">
        <w:rPr>
          <w:rFonts w:ascii="Times New Roman" w:eastAsia="Times New Roman" w:hAnsi="Times New Roman" w:cs="Times New Roman"/>
          <w:color w:val="000000" w:themeColor="text1"/>
          <w:sz w:val="20"/>
          <w:szCs w:val="20"/>
          <w:lang w:val="en-GB"/>
        </w:rPr>
        <w:t xml:space="preserve">) </w:t>
      </w:r>
    </w:p>
  </w:footnote>
  <w:footnote w:id="11">
    <w:p w14:paraId="1DF40E93" w14:textId="28F59EAF" w:rsidR="008E17D4" w:rsidRPr="00D81879" w:rsidRDefault="008E17D4"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00D972B1">
        <w:rPr>
          <w:rFonts w:ascii="Times New Roman" w:hAnsi="Times New Roman" w:cs="Times New Roman"/>
          <w:lang w:val="en-GB"/>
        </w:rPr>
        <w:tab/>
      </w:r>
      <w:r w:rsidR="0063123C" w:rsidRPr="00D81879">
        <w:rPr>
          <w:rFonts w:ascii="Times New Roman" w:hAnsi="Times New Roman" w:cs="Times New Roman"/>
          <w:lang w:val="en-GB"/>
        </w:rPr>
        <w:t xml:space="preserve">SMEs represent over 99% </w:t>
      </w:r>
      <w:r w:rsidR="00F80671" w:rsidRPr="00D81879">
        <w:rPr>
          <w:rFonts w:ascii="Times New Roman" w:hAnsi="Times New Roman" w:cs="Times New Roman"/>
          <w:lang w:val="en-GB"/>
        </w:rPr>
        <w:t>of EU businesses and account for roughly t</w:t>
      </w:r>
      <w:r w:rsidR="00A34AD3" w:rsidRPr="00D81879">
        <w:rPr>
          <w:rFonts w:ascii="Times New Roman" w:hAnsi="Times New Roman" w:cs="Times New Roman"/>
          <w:lang w:val="en-GB"/>
        </w:rPr>
        <w:t xml:space="preserve">wo-third of employment in the EU. </w:t>
      </w:r>
    </w:p>
  </w:footnote>
  <w:footnote w:id="12">
    <w:p w14:paraId="411271C7" w14:textId="71D56D92" w:rsidR="00DB0CD7" w:rsidRPr="00D81879" w:rsidRDefault="00DB0CD7"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00D972B1">
        <w:rPr>
          <w:rFonts w:ascii="Times New Roman" w:hAnsi="Times New Roman" w:cs="Times New Roman"/>
          <w:lang w:val="en-GB"/>
        </w:rPr>
        <w:tab/>
      </w:r>
      <w:r w:rsidRPr="00D81879">
        <w:rPr>
          <w:rFonts w:ascii="Times New Roman" w:eastAsia="Aptos" w:hAnsi="Times New Roman" w:cs="Times New Roman"/>
          <w:lang w:val="en-GB"/>
        </w:rPr>
        <w:t xml:space="preserve">Enrico Letta, </w:t>
      </w:r>
      <w:hyperlink r:id="rId11">
        <w:r w:rsidRPr="00D81879">
          <w:rPr>
            <w:rStyle w:val="Hyperlink"/>
            <w:rFonts w:ascii="Times New Roman" w:eastAsia="Aptos" w:hAnsi="Times New Roman" w:cs="Times New Roman"/>
            <w:i/>
            <w:lang w:val="en-GB"/>
          </w:rPr>
          <w:t>Much more than a market</w:t>
        </w:r>
      </w:hyperlink>
      <w:r w:rsidRPr="00D81879">
        <w:rPr>
          <w:rFonts w:ascii="Times New Roman" w:eastAsia="Aptos" w:hAnsi="Times New Roman" w:cs="Times New Roman"/>
          <w:lang w:val="en-GB"/>
        </w:rPr>
        <w:t>, April 2024</w:t>
      </w:r>
    </w:p>
  </w:footnote>
  <w:footnote w:id="13">
    <w:p w14:paraId="22FA5995" w14:textId="23D97D9D" w:rsidR="00467152" w:rsidRPr="00D81879" w:rsidRDefault="00467152"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00D972B1">
        <w:rPr>
          <w:rFonts w:ascii="Times New Roman" w:hAnsi="Times New Roman" w:cs="Times New Roman"/>
          <w:lang w:val="en-GB"/>
        </w:rPr>
        <w:tab/>
      </w:r>
      <w:r w:rsidRPr="00D81879">
        <w:rPr>
          <w:rFonts w:ascii="Times New Roman" w:eastAsia="Aptos" w:hAnsi="Times New Roman" w:cs="Times New Roman"/>
          <w:lang w:val="en-GB"/>
        </w:rPr>
        <w:t xml:space="preserve">Mario Draghi, </w:t>
      </w:r>
      <w:hyperlink r:id="rId12">
        <w:r w:rsidRPr="00D81879">
          <w:rPr>
            <w:rStyle w:val="Hyperlink"/>
            <w:rFonts w:ascii="Times New Roman" w:eastAsia="Aptos" w:hAnsi="Times New Roman" w:cs="Times New Roman"/>
            <w:i/>
            <w:lang w:val="en-GB"/>
          </w:rPr>
          <w:t>The future of European competitiveness</w:t>
        </w:r>
      </w:hyperlink>
      <w:r w:rsidRPr="00D81879">
        <w:rPr>
          <w:rFonts w:ascii="Times New Roman" w:eastAsia="Aptos" w:hAnsi="Times New Roman" w:cs="Times New Roman"/>
          <w:lang w:val="en-GB"/>
        </w:rPr>
        <w:t>, September 2025</w:t>
      </w:r>
    </w:p>
  </w:footnote>
  <w:footnote w:id="14">
    <w:p w14:paraId="6CC0427C" w14:textId="69B4C860" w:rsidR="00AB75C5" w:rsidRPr="00D81879" w:rsidRDefault="00AB75C5"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rPr>
        <w:footnoteRef/>
      </w:r>
      <w:r w:rsidR="00D972B1">
        <w:rPr>
          <w:rFonts w:ascii="Times New Roman" w:hAnsi="Times New Roman" w:cs="Times New Roman"/>
        </w:rPr>
        <w:tab/>
      </w:r>
      <w:r w:rsidR="00B45682" w:rsidRPr="00D81879">
        <w:rPr>
          <w:rFonts w:ascii="Times New Roman" w:hAnsi="Times New Roman" w:cs="Times New Roman"/>
        </w:rPr>
        <w:t>For further reference (</w:t>
      </w:r>
      <w:hyperlink r:id="rId13" w:history="1">
        <w:r w:rsidR="00B45682" w:rsidRPr="00D81879">
          <w:rPr>
            <w:rStyle w:val="Hyperlink"/>
            <w:rFonts w:ascii="Times New Roman" w:hAnsi="Times New Roman" w:cs="Times New Roman"/>
          </w:rPr>
          <w:t>link</w:t>
        </w:r>
      </w:hyperlink>
      <w:r w:rsidR="00B45682" w:rsidRPr="00D81879">
        <w:rPr>
          <w:rFonts w:ascii="Times New Roman" w:hAnsi="Times New Roman" w:cs="Times New Roman"/>
        </w:rPr>
        <w:t>)</w:t>
      </w:r>
    </w:p>
  </w:footnote>
  <w:footnote w:id="15">
    <w:p w14:paraId="199440CF" w14:textId="5777EAA2" w:rsidR="00A423AD" w:rsidRPr="00D81879" w:rsidRDefault="00A423AD"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00D972B1">
        <w:rPr>
          <w:rFonts w:ascii="Times New Roman" w:hAnsi="Times New Roman" w:cs="Times New Roman"/>
          <w:lang w:val="en-GB"/>
        </w:rPr>
        <w:tab/>
      </w:r>
      <w:r w:rsidR="001F77E2" w:rsidRPr="00D81879">
        <w:rPr>
          <w:rFonts w:ascii="Times New Roman" w:hAnsi="Times New Roman" w:cs="Times New Roman"/>
          <w:lang w:val="en-GB"/>
        </w:rPr>
        <w:t>“Mid-Tech Europe? A Sectoral Account on Total Factor Productivity Growth from the Latest Vintage of the EU-KLEMs Database” (</w:t>
      </w:r>
      <w:hyperlink r:id="rId14" w:history="1">
        <w:r w:rsidR="001F77E2" w:rsidRPr="00D81879">
          <w:rPr>
            <w:rStyle w:val="Hyperlink"/>
            <w:rFonts w:ascii="Times New Roman" w:hAnsi="Times New Roman" w:cs="Times New Roman"/>
            <w:lang w:val="en-GB"/>
          </w:rPr>
          <w:t>link</w:t>
        </w:r>
      </w:hyperlink>
      <w:r w:rsidR="001F77E2" w:rsidRPr="00D81879">
        <w:rPr>
          <w:rFonts w:ascii="Times New Roman" w:hAnsi="Times New Roman" w:cs="Times New Roman"/>
          <w:lang w:val="en-GB"/>
        </w:rPr>
        <w:t>).</w:t>
      </w:r>
    </w:p>
  </w:footnote>
  <w:footnote w:id="16">
    <w:p w14:paraId="23F12425" w14:textId="2E7127F0" w:rsidR="649454A6" w:rsidRPr="00D81879" w:rsidRDefault="649454A6" w:rsidP="006A0DF4">
      <w:pPr>
        <w:spacing w:after="0"/>
        <w:ind w:left="709" w:hanging="709"/>
        <w:contextualSpacing/>
        <w:jc w:val="both"/>
        <w:rPr>
          <w:rFonts w:ascii="Times New Roman" w:eastAsia="Times New Roman" w:hAnsi="Times New Roman" w:cs="Times New Roman"/>
          <w:color w:val="000000" w:themeColor="text1"/>
          <w:sz w:val="20"/>
          <w:szCs w:val="20"/>
          <w:lang w:val="en-GB"/>
        </w:rPr>
      </w:pPr>
      <w:r w:rsidRPr="00D81879">
        <w:rPr>
          <w:rFonts w:ascii="Times New Roman" w:eastAsia="Times New Roman" w:hAnsi="Times New Roman" w:cs="Times New Roman"/>
          <w:sz w:val="20"/>
          <w:szCs w:val="20"/>
          <w:vertAlign w:val="superscript"/>
          <w:lang w:val="en-GB"/>
        </w:rPr>
        <w:footnoteRef/>
      </w:r>
      <w:r w:rsidR="00D972B1">
        <w:rPr>
          <w:rFonts w:ascii="Times New Roman" w:eastAsia="Times New Roman" w:hAnsi="Times New Roman" w:cs="Times New Roman"/>
          <w:sz w:val="20"/>
          <w:szCs w:val="20"/>
          <w:lang w:val="en-GB"/>
        </w:rPr>
        <w:tab/>
      </w:r>
      <w:r w:rsidR="696164A4" w:rsidRPr="00D81879">
        <w:rPr>
          <w:rFonts w:ascii="Times New Roman" w:eastAsia="Times New Roman" w:hAnsi="Times New Roman" w:cs="Times New Roman"/>
          <w:color w:val="000000" w:themeColor="text1"/>
          <w:sz w:val="20"/>
          <w:szCs w:val="20"/>
          <w:lang w:val="en-GB"/>
        </w:rPr>
        <w:t>Low firm productivity: the role of finance and the implications for financial stability. Financial Stability Review, Special Feature, November 2024. European Central Bank</w:t>
      </w:r>
      <w:r w:rsidR="00175571" w:rsidRPr="00D81879">
        <w:rPr>
          <w:rFonts w:ascii="Times New Roman" w:eastAsia="Times New Roman" w:hAnsi="Times New Roman" w:cs="Times New Roman"/>
          <w:color w:val="000000" w:themeColor="text1"/>
          <w:sz w:val="20"/>
          <w:szCs w:val="20"/>
          <w:lang w:val="en-GB"/>
        </w:rPr>
        <w:t xml:space="preserve"> (</w:t>
      </w:r>
      <w:hyperlink r:id="rId15" w:history="1">
        <w:r w:rsidR="00175571" w:rsidRPr="00D81879">
          <w:rPr>
            <w:rStyle w:val="Hyperlink"/>
            <w:rFonts w:ascii="Times New Roman" w:eastAsia="Times New Roman" w:hAnsi="Times New Roman" w:cs="Times New Roman"/>
            <w:sz w:val="20"/>
            <w:szCs w:val="20"/>
            <w:lang w:val="en-GB"/>
          </w:rPr>
          <w:t>link</w:t>
        </w:r>
      </w:hyperlink>
      <w:r w:rsidR="00175571" w:rsidRPr="00D81879">
        <w:rPr>
          <w:rFonts w:ascii="Times New Roman" w:eastAsia="Times New Roman" w:hAnsi="Times New Roman" w:cs="Times New Roman"/>
          <w:color w:val="000000" w:themeColor="text1"/>
          <w:sz w:val="20"/>
          <w:szCs w:val="20"/>
          <w:lang w:val="en-GB"/>
        </w:rPr>
        <w:t>)</w:t>
      </w:r>
    </w:p>
  </w:footnote>
  <w:footnote w:id="17">
    <w:p w14:paraId="3462BB01" w14:textId="4615E8EB" w:rsidR="5709E292" w:rsidRPr="00D81879" w:rsidRDefault="5709E292" w:rsidP="006A0DF4">
      <w:pPr>
        <w:spacing w:after="0"/>
        <w:ind w:left="709" w:hanging="709"/>
        <w:contextualSpacing/>
        <w:jc w:val="both"/>
        <w:rPr>
          <w:rFonts w:ascii="Times New Roman" w:eastAsia="Times New Roman" w:hAnsi="Times New Roman" w:cs="Times New Roman"/>
          <w:color w:val="000000" w:themeColor="text1"/>
          <w:sz w:val="20"/>
          <w:szCs w:val="20"/>
          <w:lang w:val="en-GB"/>
        </w:rPr>
      </w:pPr>
      <w:r w:rsidRPr="00D81879">
        <w:rPr>
          <w:rFonts w:ascii="Times New Roman" w:eastAsia="Times New Roman" w:hAnsi="Times New Roman" w:cs="Times New Roman"/>
          <w:sz w:val="20"/>
          <w:szCs w:val="20"/>
          <w:vertAlign w:val="superscript"/>
          <w:lang w:val="en-GB"/>
        </w:rPr>
        <w:footnoteRef/>
      </w:r>
      <w:r w:rsidR="00D972B1">
        <w:rPr>
          <w:rFonts w:ascii="Times New Roman" w:eastAsia="Times New Roman" w:hAnsi="Times New Roman" w:cs="Times New Roman"/>
          <w:sz w:val="20"/>
          <w:szCs w:val="20"/>
          <w:lang w:val="en-GB"/>
        </w:rPr>
        <w:tab/>
      </w:r>
      <w:r w:rsidR="696164A4" w:rsidRPr="00D81879">
        <w:rPr>
          <w:rFonts w:ascii="Times New Roman" w:eastAsia="Times New Roman" w:hAnsi="Times New Roman" w:cs="Times New Roman"/>
          <w:color w:val="000000" w:themeColor="text1"/>
          <w:sz w:val="20"/>
          <w:szCs w:val="20"/>
          <w:lang w:val="en-GB"/>
        </w:rPr>
        <w:t>Determinants of bank performance: evidence from replicating portfolios. Working Paper No. 2937. European Central Bank</w:t>
      </w:r>
      <w:r w:rsidR="00175571" w:rsidRPr="00D81879">
        <w:rPr>
          <w:rFonts w:ascii="Times New Roman" w:eastAsia="Times New Roman" w:hAnsi="Times New Roman" w:cs="Times New Roman"/>
          <w:color w:val="000000" w:themeColor="text1"/>
          <w:sz w:val="20"/>
          <w:szCs w:val="20"/>
          <w:lang w:val="en-GB"/>
        </w:rPr>
        <w:t xml:space="preserve"> (</w:t>
      </w:r>
      <w:hyperlink r:id="rId16" w:history="1">
        <w:r w:rsidR="00175571" w:rsidRPr="00D81879">
          <w:rPr>
            <w:rStyle w:val="Hyperlink"/>
            <w:rFonts w:ascii="Times New Roman" w:eastAsia="Times New Roman" w:hAnsi="Times New Roman" w:cs="Times New Roman"/>
            <w:sz w:val="20"/>
            <w:szCs w:val="20"/>
            <w:lang w:val="en-GB"/>
          </w:rPr>
          <w:t>link</w:t>
        </w:r>
      </w:hyperlink>
      <w:r w:rsidR="00175571" w:rsidRPr="00D81879">
        <w:rPr>
          <w:rFonts w:ascii="Times New Roman" w:eastAsia="Times New Roman" w:hAnsi="Times New Roman" w:cs="Times New Roman"/>
          <w:color w:val="000000" w:themeColor="text1"/>
          <w:sz w:val="20"/>
          <w:szCs w:val="20"/>
          <w:lang w:val="en-GB"/>
        </w:rPr>
        <w:t>)</w:t>
      </w:r>
    </w:p>
  </w:footnote>
  <w:footnote w:id="18">
    <w:p w14:paraId="01601105" w14:textId="51956B31" w:rsidR="49EA6702" w:rsidRPr="00D81879" w:rsidRDefault="49EA6702" w:rsidP="009B6054">
      <w:pPr>
        <w:spacing w:after="0"/>
        <w:ind w:left="709" w:hanging="709"/>
        <w:contextualSpacing/>
        <w:jc w:val="both"/>
        <w:rPr>
          <w:rFonts w:ascii="Times New Roman" w:hAnsi="Times New Roman" w:cs="Times New Roman"/>
          <w:sz w:val="20"/>
          <w:szCs w:val="20"/>
          <w:lang w:val="en-GB"/>
        </w:rPr>
      </w:pPr>
      <w:r w:rsidRPr="00D81879">
        <w:rPr>
          <w:rFonts w:ascii="Times New Roman" w:hAnsi="Times New Roman" w:cs="Times New Roman"/>
          <w:sz w:val="20"/>
          <w:szCs w:val="20"/>
          <w:vertAlign w:val="superscript"/>
          <w:lang w:val="en-GB"/>
        </w:rPr>
        <w:footnoteRef/>
      </w:r>
      <w:r w:rsidR="00D81879" w:rsidRPr="00D81879">
        <w:rPr>
          <w:rFonts w:ascii="Times New Roman" w:hAnsi="Times New Roman" w:cs="Times New Roman"/>
          <w:sz w:val="20"/>
          <w:szCs w:val="20"/>
          <w:lang w:val="en-GB"/>
        </w:rPr>
        <w:tab/>
      </w:r>
      <w:r w:rsidR="33C88CE0" w:rsidRPr="00D81879">
        <w:rPr>
          <w:rFonts w:ascii="Times New Roman" w:eastAsia="Times New Roman" w:hAnsi="Times New Roman" w:cs="Times New Roman"/>
          <w:sz w:val="20"/>
          <w:szCs w:val="20"/>
          <w:lang w:val="en-GB"/>
        </w:rPr>
        <w:t>Repo markets are where financial institutions borrow and lend securities (typically government bonds) as collateral in exchange for short-term cash, with an agreement to reverse the transaction at a set future date</w:t>
      </w:r>
      <w:r w:rsidR="009B6054">
        <w:rPr>
          <w:rFonts w:ascii="Times New Roman" w:eastAsia="Times New Roman" w:hAnsi="Times New Roman" w:cs="Times New Roman"/>
          <w:sz w:val="20"/>
          <w:szCs w:val="20"/>
          <w:lang w:val="en-GB"/>
        </w:rPr>
        <w:t>.</w:t>
      </w:r>
    </w:p>
  </w:footnote>
  <w:footnote w:id="19">
    <w:p w14:paraId="4E35959B" w14:textId="6C3E1F40" w:rsidR="04D1A873" w:rsidRPr="00D81879" w:rsidRDefault="04D1A873" w:rsidP="009B6054">
      <w:pPr>
        <w:spacing w:after="0"/>
        <w:ind w:left="709" w:hanging="709"/>
        <w:contextualSpacing/>
        <w:jc w:val="both"/>
        <w:rPr>
          <w:rFonts w:ascii="Times New Roman" w:eastAsia="Aptos" w:hAnsi="Times New Roman" w:cs="Times New Roman"/>
          <w:sz w:val="20"/>
          <w:szCs w:val="20"/>
          <w:lang w:val="en-GB"/>
        </w:rPr>
      </w:pPr>
      <w:r w:rsidRPr="00D81879">
        <w:rPr>
          <w:rFonts w:ascii="Times New Roman" w:eastAsia="Times New Roman" w:hAnsi="Times New Roman" w:cs="Times New Roman"/>
          <w:sz w:val="20"/>
          <w:szCs w:val="20"/>
          <w:vertAlign w:val="superscript"/>
          <w:lang w:val="en-GB"/>
        </w:rPr>
        <w:footnoteRef/>
      </w:r>
      <w:r w:rsidR="00D81879" w:rsidRPr="00D81879">
        <w:rPr>
          <w:rFonts w:ascii="Times New Roman" w:eastAsia="Times New Roman" w:hAnsi="Times New Roman" w:cs="Times New Roman"/>
          <w:sz w:val="20"/>
          <w:szCs w:val="20"/>
          <w:lang w:val="en-GB"/>
        </w:rPr>
        <w:tab/>
      </w:r>
      <w:r w:rsidR="318D6A26" w:rsidRPr="00D81879">
        <w:rPr>
          <w:rFonts w:ascii="Times New Roman" w:eastAsia="Times New Roman" w:hAnsi="Times New Roman" w:cs="Times New Roman"/>
          <w:color w:val="000000" w:themeColor="text1"/>
          <w:sz w:val="20"/>
          <w:szCs w:val="20"/>
          <w:lang w:val="en-GB"/>
        </w:rPr>
        <w:t xml:space="preserve">ECB Financial Stability Review, November 2025, Special Feature: "Systemic risks in linkages between banks and the non-bank financial sector" - </w:t>
      </w:r>
      <w:hyperlink r:id="rId17" w:history="1">
        <w:r w:rsidR="00AD7113" w:rsidRPr="00D81879">
          <w:rPr>
            <w:rStyle w:val="Hyperlink"/>
            <w:rFonts w:ascii="Times New Roman" w:eastAsia="Times New Roman" w:hAnsi="Times New Roman" w:cs="Times New Roman"/>
            <w:sz w:val="20"/>
            <w:szCs w:val="20"/>
            <w:lang w:val="en-GB"/>
          </w:rPr>
          <w:t>https://www.ecb.europa.eu/press/financial-stability-publications/fsr/special/html/ecb.fsrart202511_02~e2f82a64bf.en.html</w:t>
        </w:r>
      </w:hyperlink>
      <w:r w:rsidR="00AD7113" w:rsidRPr="00D81879">
        <w:rPr>
          <w:rFonts w:ascii="Times New Roman" w:eastAsia="Times New Roman" w:hAnsi="Times New Roman" w:cs="Times New Roman"/>
          <w:color w:val="000000" w:themeColor="text1"/>
          <w:sz w:val="20"/>
          <w:szCs w:val="20"/>
          <w:lang w:val="en-GB"/>
        </w:rPr>
        <w:t xml:space="preserve">. </w:t>
      </w:r>
    </w:p>
  </w:footnote>
  <w:footnote w:id="20">
    <w:p w14:paraId="1FB685D7" w14:textId="2641BC09" w:rsidR="40B305D4" w:rsidRPr="00D81879" w:rsidRDefault="40B305D4" w:rsidP="009B6054">
      <w:pPr>
        <w:spacing w:after="0"/>
        <w:ind w:left="709" w:hanging="709"/>
        <w:contextualSpacing/>
        <w:jc w:val="both"/>
        <w:rPr>
          <w:rFonts w:ascii="Times New Roman" w:eastAsia="Times New Roman" w:hAnsi="Times New Roman" w:cs="Times New Roman"/>
          <w:sz w:val="20"/>
          <w:szCs w:val="20"/>
          <w:lang w:val="en-GB"/>
        </w:rPr>
      </w:pPr>
      <w:r w:rsidRPr="00D81879">
        <w:rPr>
          <w:rFonts w:ascii="Times New Roman" w:eastAsia="Times New Roman" w:hAnsi="Times New Roman" w:cs="Times New Roman"/>
          <w:sz w:val="20"/>
          <w:szCs w:val="20"/>
          <w:vertAlign w:val="superscript"/>
          <w:lang w:val="en-GB"/>
        </w:rPr>
        <w:footnoteRef/>
      </w:r>
      <w:r w:rsidR="00D972B1">
        <w:rPr>
          <w:rFonts w:ascii="Times New Roman" w:eastAsia="Times New Roman" w:hAnsi="Times New Roman" w:cs="Times New Roman"/>
          <w:sz w:val="20"/>
          <w:szCs w:val="20"/>
          <w:lang w:val="en-GB"/>
        </w:rPr>
        <w:tab/>
      </w:r>
      <w:r w:rsidR="696164A4" w:rsidRPr="00D81879">
        <w:rPr>
          <w:rFonts w:ascii="Times New Roman" w:eastAsia="Times New Roman" w:hAnsi="Times New Roman" w:cs="Times New Roman"/>
          <w:color w:val="000000" w:themeColor="text1"/>
          <w:sz w:val="20"/>
          <w:szCs w:val="20"/>
          <w:lang w:val="en-GB"/>
        </w:rPr>
        <w:t>Euro area banks</w:t>
      </w:r>
      <w:r w:rsidR="001611A1" w:rsidRPr="00D81879">
        <w:rPr>
          <w:rFonts w:ascii="Times New Roman" w:eastAsia="Times New Roman" w:hAnsi="Times New Roman" w:cs="Times New Roman"/>
          <w:color w:val="000000" w:themeColor="text1"/>
          <w:sz w:val="20"/>
          <w:szCs w:val="20"/>
          <w:lang w:val="en-GB"/>
        </w:rPr>
        <w:t>’</w:t>
      </w:r>
      <w:r w:rsidR="696164A4" w:rsidRPr="00D81879">
        <w:rPr>
          <w:rFonts w:ascii="Times New Roman" w:eastAsia="Times New Roman" w:hAnsi="Times New Roman" w:cs="Times New Roman"/>
          <w:color w:val="000000" w:themeColor="text1"/>
          <w:sz w:val="20"/>
          <w:szCs w:val="20"/>
          <w:lang w:val="en-GB"/>
        </w:rPr>
        <w:t xml:space="preserve"> role in market-based intermediation. Financial Stability Review, Special Feature, May 2025. European Central Bank</w:t>
      </w:r>
      <w:r w:rsidR="00AD7113" w:rsidRPr="00D81879">
        <w:rPr>
          <w:rFonts w:ascii="Times New Roman" w:eastAsia="Times New Roman" w:hAnsi="Times New Roman" w:cs="Times New Roman"/>
          <w:color w:val="000000" w:themeColor="text1"/>
          <w:sz w:val="20"/>
          <w:szCs w:val="20"/>
          <w:lang w:val="en-GB"/>
        </w:rPr>
        <w:t>.</w:t>
      </w:r>
    </w:p>
  </w:footnote>
  <w:footnote w:id="21">
    <w:p w14:paraId="121602E9" w14:textId="42D75A65" w:rsidR="20F6D4AB" w:rsidRPr="00D81879" w:rsidRDefault="20F6D4AB" w:rsidP="009B6054">
      <w:pPr>
        <w:spacing w:after="0"/>
        <w:ind w:left="709" w:hanging="709"/>
        <w:contextualSpacing/>
        <w:jc w:val="both"/>
        <w:rPr>
          <w:rFonts w:ascii="Times New Roman" w:eastAsia="Times New Roman" w:hAnsi="Times New Roman" w:cs="Times New Roman"/>
          <w:sz w:val="20"/>
          <w:szCs w:val="20"/>
          <w:lang w:val="en-GB"/>
        </w:rPr>
      </w:pPr>
      <w:r w:rsidRPr="00D81879">
        <w:rPr>
          <w:rFonts w:ascii="Times New Roman" w:eastAsia="Times New Roman" w:hAnsi="Times New Roman" w:cs="Times New Roman"/>
          <w:sz w:val="20"/>
          <w:szCs w:val="20"/>
          <w:vertAlign w:val="superscript"/>
          <w:lang w:val="en-GB"/>
        </w:rPr>
        <w:footnoteRef/>
      </w:r>
      <w:r w:rsidR="00D972B1">
        <w:rPr>
          <w:rFonts w:ascii="Times New Roman" w:eastAsia="Times New Roman" w:hAnsi="Times New Roman" w:cs="Times New Roman"/>
          <w:sz w:val="20"/>
          <w:szCs w:val="20"/>
          <w:lang w:val="en-GB"/>
        </w:rPr>
        <w:tab/>
      </w:r>
      <w:r w:rsidR="696164A4" w:rsidRPr="00D81879">
        <w:rPr>
          <w:rFonts w:ascii="Times New Roman" w:eastAsia="Times New Roman" w:hAnsi="Times New Roman" w:cs="Times New Roman"/>
          <w:sz w:val="20"/>
          <w:szCs w:val="20"/>
          <w:lang w:val="en-GB"/>
        </w:rPr>
        <w:t>Financial Stability Review, November 2024</w:t>
      </w:r>
      <w:r w:rsidR="00AD7113" w:rsidRPr="00D81879">
        <w:rPr>
          <w:rFonts w:ascii="Times New Roman" w:eastAsia="Times New Roman" w:hAnsi="Times New Roman" w:cs="Times New Roman"/>
          <w:sz w:val="20"/>
          <w:szCs w:val="20"/>
          <w:lang w:val="en-GB"/>
        </w:rPr>
        <w:t>.</w:t>
      </w:r>
    </w:p>
  </w:footnote>
  <w:footnote w:id="22">
    <w:p w14:paraId="18F6B4B3" w14:textId="5AB3A636" w:rsidR="292E94EB" w:rsidRPr="00D81879" w:rsidRDefault="292E94EB" w:rsidP="009B6054">
      <w:pPr>
        <w:spacing w:after="0"/>
        <w:ind w:left="709" w:hanging="709"/>
        <w:contextualSpacing/>
        <w:jc w:val="both"/>
        <w:rPr>
          <w:rFonts w:ascii="Times New Roman" w:eastAsia="Times New Roman" w:hAnsi="Times New Roman" w:cs="Times New Roman"/>
          <w:sz w:val="20"/>
          <w:szCs w:val="20"/>
          <w:lang w:val="en-GB"/>
        </w:rPr>
      </w:pPr>
      <w:r w:rsidRPr="00D81879">
        <w:rPr>
          <w:rFonts w:ascii="Times New Roman" w:eastAsia="Times New Roman" w:hAnsi="Times New Roman" w:cs="Times New Roman"/>
          <w:sz w:val="20"/>
          <w:szCs w:val="20"/>
          <w:vertAlign w:val="superscript"/>
          <w:lang w:val="en-GB"/>
        </w:rPr>
        <w:footnoteRef/>
      </w:r>
      <w:r w:rsidR="00D972B1">
        <w:rPr>
          <w:rFonts w:ascii="Times New Roman" w:eastAsia="Times New Roman" w:hAnsi="Times New Roman" w:cs="Times New Roman"/>
          <w:sz w:val="20"/>
          <w:szCs w:val="20"/>
          <w:lang w:val="en-GB"/>
        </w:rPr>
        <w:tab/>
      </w:r>
      <w:r w:rsidR="696164A4" w:rsidRPr="00D81879">
        <w:rPr>
          <w:rFonts w:ascii="Times New Roman" w:eastAsia="Times New Roman" w:hAnsi="Times New Roman" w:cs="Times New Roman"/>
          <w:sz w:val="20"/>
          <w:szCs w:val="20"/>
          <w:lang w:val="en-GB"/>
        </w:rPr>
        <w:t xml:space="preserve">ECB and ESRB issue joint report analysing financial stability risks from linkages between banks and the NBFI sector </w:t>
      </w:r>
      <w:r w:rsidR="00B74BC4" w:rsidRPr="00D81879">
        <w:rPr>
          <w:rFonts w:ascii="Times New Roman" w:eastAsia="Times New Roman" w:hAnsi="Times New Roman" w:cs="Times New Roman"/>
          <w:sz w:val="20"/>
          <w:szCs w:val="20"/>
          <w:lang w:val="en-GB"/>
        </w:rPr>
        <w:t>(</w:t>
      </w:r>
      <w:hyperlink r:id="rId18" w:history="1">
        <w:r w:rsidR="00B74BC4" w:rsidRPr="00D81879">
          <w:rPr>
            <w:rStyle w:val="Hyperlink"/>
            <w:rFonts w:ascii="Times New Roman" w:eastAsia="Times New Roman" w:hAnsi="Times New Roman" w:cs="Times New Roman"/>
            <w:sz w:val="20"/>
            <w:szCs w:val="20"/>
            <w:lang w:val="en-GB"/>
          </w:rPr>
          <w:t>link</w:t>
        </w:r>
      </w:hyperlink>
      <w:r w:rsidR="00B74BC4" w:rsidRPr="00D81879">
        <w:rPr>
          <w:rFonts w:ascii="Times New Roman" w:eastAsia="Times New Roman" w:hAnsi="Times New Roman" w:cs="Times New Roman"/>
          <w:sz w:val="20"/>
          <w:szCs w:val="20"/>
          <w:lang w:val="en-GB"/>
        </w:rPr>
        <w:t>)</w:t>
      </w:r>
      <w:r w:rsidR="009B6054">
        <w:rPr>
          <w:rFonts w:ascii="Times New Roman" w:eastAsia="Times New Roman" w:hAnsi="Times New Roman" w:cs="Times New Roman"/>
          <w:sz w:val="20"/>
          <w:szCs w:val="20"/>
          <w:lang w:val="en-GB"/>
        </w:rPr>
        <w:t>.</w:t>
      </w:r>
    </w:p>
  </w:footnote>
  <w:footnote w:id="23">
    <w:p w14:paraId="4FE03B6D" w14:textId="38FC576F" w:rsidR="001C47DC" w:rsidRPr="00D81879" w:rsidRDefault="001C47DC"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00FD6C98" w:rsidRPr="00D81879">
        <w:rPr>
          <w:rFonts w:ascii="Times New Roman" w:hAnsi="Times New Roman" w:cs="Times New Roman"/>
          <w:lang w:val="en-GB"/>
        </w:rPr>
        <w:tab/>
      </w:r>
      <w:r w:rsidRPr="00D81879">
        <w:rPr>
          <w:rFonts w:ascii="Times New Roman" w:hAnsi="Times New Roman" w:cs="Times New Roman"/>
          <w:lang w:val="en-GB"/>
        </w:rPr>
        <w:t xml:space="preserve">The EU wide stress test </w:t>
      </w:r>
      <w:r w:rsidR="00FD6C98" w:rsidRPr="00D81879">
        <w:rPr>
          <w:rFonts w:ascii="Times New Roman" w:hAnsi="Times New Roman" w:cs="Times New Roman"/>
          <w:lang w:val="en-GB"/>
        </w:rPr>
        <w:t xml:space="preserve">sample comprised 64 banks, covering 75% of total banking assets in the EU and Norway. </w:t>
      </w:r>
      <w:r w:rsidR="00B878E5" w:rsidRPr="00D81879">
        <w:rPr>
          <w:rFonts w:ascii="Times New Roman" w:hAnsi="Times New Roman" w:cs="Times New Roman"/>
          <w:lang w:val="en-GB"/>
        </w:rPr>
        <w:t>75% of EU</w:t>
      </w:r>
      <w:r w:rsidR="009B6054">
        <w:rPr>
          <w:rFonts w:ascii="Times New Roman" w:hAnsi="Times New Roman" w:cs="Times New Roman"/>
          <w:lang w:val="en-GB"/>
        </w:rPr>
        <w:t>.</w:t>
      </w:r>
    </w:p>
  </w:footnote>
  <w:footnote w:id="24">
    <w:p w14:paraId="1D52112B" w14:textId="6EB96B06" w:rsidR="00476BCD" w:rsidRPr="00D81879" w:rsidRDefault="00476BCD"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001D58DE" w:rsidRPr="00D81879">
        <w:rPr>
          <w:rFonts w:ascii="Times New Roman" w:hAnsi="Times New Roman" w:cs="Times New Roman"/>
          <w:lang w:val="en-GB"/>
        </w:rPr>
        <w:tab/>
        <w:t>EBA Risk Dashboard – Q4 2025</w:t>
      </w:r>
      <w:r w:rsidR="00875A63" w:rsidRPr="00D81879">
        <w:rPr>
          <w:rFonts w:ascii="Times New Roman" w:hAnsi="Times New Roman" w:cs="Times New Roman"/>
          <w:lang w:val="en-GB"/>
        </w:rPr>
        <w:t xml:space="preserve"> (</w:t>
      </w:r>
      <w:hyperlink r:id="rId19" w:history="1">
        <w:r w:rsidR="00875A63" w:rsidRPr="00D81879">
          <w:rPr>
            <w:rStyle w:val="Hyperlink"/>
            <w:rFonts w:ascii="Times New Roman" w:hAnsi="Times New Roman" w:cs="Times New Roman"/>
            <w:lang w:val="en-GB"/>
          </w:rPr>
          <w:t>link</w:t>
        </w:r>
      </w:hyperlink>
      <w:r w:rsidR="00875A63" w:rsidRPr="00D81879">
        <w:rPr>
          <w:rFonts w:ascii="Times New Roman" w:hAnsi="Times New Roman" w:cs="Times New Roman"/>
          <w:lang w:val="en-GB"/>
        </w:rPr>
        <w:t>).</w:t>
      </w:r>
      <w:r w:rsidR="001D58DE" w:rsidRPr="00D81879">
        <w:rPr>
          <w:rFonts w:ascii="Times New Roman" w:hAnsi="Times New Roman" w:cs="Times New Roman"/>
          <w:lang w:val="en-GB"/>
        </w:rPr>
        <w:t xml:space="preserve"> </w:t>
      </w:r>
    </w:p>
  </w:footnote>
  <w:footnote w:id="25">
    <w:p w14:paraId="210E8C6B" w14:textId="77777777" w:rsidR="00AA7F95" w:rsidRPr="00D81879" w:rsidRDefault="00AA7F95"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t>The maximum distributable amount (MDA) represents the maximum limit to the distributions (e.g. dividends, buybacks and bonuses) that a bank can make once it falls below its overall capital requirements (OCR). The OCR is the sum of the total SREP capital requirement (TSCR), notably the sum of bank’s Pillar 1 and Pillar 2 requirements and the combined buffer requirement (CBR), which includes the capital conservation buffer, the countercyclical capital buffer, the global systemically important institutions (G-SII) buffer if applicable, the O-SII buffer if applicable and the systemic risk buffer if applicable. The MDA is part of the capital conservation plan that a bank falling below its OCR must submit to its supervisor, detailing, among others, a timeframe and set of measures to increase the capital ratios.</w:t>
      </w:r>
    </w:p>
  </w:footnote>
  <w:footnote w:id="26">
    <w:p w14:paraId="32BA1FEA" w14:textId="43B313CB" w:rsidR="005C1EAE" w:rsidRPr="00D81879" w:rsidRDefault="005C1EAE"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00194EE6" w:rsidRPr="00D81879">
        <w:rPr>
          <w:rFonts w:ascii="Times New Roman" w:hAnsi="Times New Roman" w:cs="Times New Roman"/>
          <w:lang w:val="en-GB"/>
        </w:rPr>
        <w:tab/>
      </w:r>
      <w:r w:rsidR="00301499" w:rsidRPr="00D81879">
        <w:rPr>
          <w:rFonts w:ascii="Times New Roman" w:hAnsi="Times New Roman" w:cs="Times New Roman"/>
          <w:lang w:val="en-GB"/>
        </w:rPr>
        <w:t>In March 2023, at the time of failure</w:t>
      </w:r>
      <w:r w:rsidR="002A7493" w:rsidRPr="00D81879">
        <w:rPr>
          <w:rFonts w:ascii="Times New Roman" w:hAnsi="Times New Roman" w:cs="Times New Roman"/>
          <w:lang w:val="en-GB"/>
        </w:rPr>
        <w:t>,</w:t>
      </w:r>
      <w:r w:rsidR="00301499" w:rsidRPr="00D81879">
        <w:rPr>
          <w:rFonts w:ascii="Times New Roman" w:hAnsi="Times New Roman" w:cs="Times New Roman"/>
          <w:lang w:val="en-GB"/>
        </w:rPr>
        <w:t xml:space="preserve"> </w:t>
      </w:r>
      <w:r w:rsidRPr="00D81879">
        <w:rPr>
          <w:rFonts w:ascii="Times New Roman" w:hAnsi="Times New Roman" w:cs="Times New Roman"/>
          <w:lang w:val="en-GB"/>
        </w:rPr>
        <w:t>SVB was the 16</w:t>
      </w:r>
      <w:r w:rsidRPr="00D81879">
        <w:rPr>
          <w:rFonts w:ascii="Times New Roman" w:hAnsi="Times New Roman" w:cs="Times New Roman"/>
          <w:vertAlign w:val="superscript"/>
          <w:lang w:val="en-GB"/>
        </w:rPr>
        <w:t>th</w:t>
      </w:r>
      <w:r w:rsidRPr="00D81879">
        <w:rPr>
          <w:rFonts w:ascii="Times New Roman" w:hAnsi="Times New Roman" w:cs="Times New Roman"/>
          <w:lang w:val="en-GB"/>
        </w:rPr>
        <w:t xml:space="preserve"> largest bank in the US with around USD 200 billion in assets</w:t>
      </w:r>
      <w:r w:rsidR="00F678D1" w:rsidRPr="00D81879">
        <w:rPr>
          <w:rFonts w:ascii="Times New Roman" w:hAnsi="Times New Roman" w:cs="Times New Roman"/>
          <w:lang w:val="en-GB"/>
        </w:rPr>
        <w:t xml:space="preserve">, while the </w:t>
      </w:r>
      <w:r w:rsidRPr="00D81879">
        <w:rPr>
          <w:rFonts w:ascii="Times New Roman" w:hAnsi="Times New Roman" w:cs="Times New Roman"/>
          <w:lang w:val="en-GB"/>
        </w:rPr>
        <w:t>other two banks</w:t>
      </w:r>
      <w:r w:rsidR="00F678D1" w:rsidRPr="00D81879">
        <w:rPr>
          <w:rFonts w:ascii="Times New Roman" w:hAnsi="Times New Roman" w:cs="Times New Roman"/>
          <w:lang w:val="en-GB"/>
        </w:rPr>
        <w:t>,</w:t>
      </w:r>
      <w:r w:rsidRPr="00D81879">
        <w:rPr>
          <w:rFonts w:ascii="Times New Roman" w:hAnsi="Times New Roman" w:cs="Times New Roman"/>
          <w:lang w:val="en-GB"/>
        </w:rPr>
        <w:t xml:space="preserve"> Signature Bank and Silvergate, </w:t>
      </w:r>
      <w:r w:rsidR="00F678D1" w:rsidRPr="00D81879">
        <w:rPr>
          <w:rFonts w:ascii="Times New Roman" w:hAnsi="Times New Roman" w:cs="Times New Roman"/>
          <w:lang w:val="en-GB"/>
        </w:rPr>
        <w:t xml:space="preserve">were </w:t>
      </w:r>
      <w:r w:rsidRPr="00D81879">
        <w:rPr>
          <w:rFonts w:ascii="Times New Roman" w:hAnsi="Times New Roman" w:cs="Times New Roman"/>
          <w:lang w:val="en-GB"/>
        </w:rPr>
        <w:t xml:space="preserve">at the time USD 110 billion and USD 15 billion in asset. They were followed in May </w:t>
      </w:r>
      <w:r w:rsidR="00301499" w:rsidRPr="00D81879">
        <w:rPr>
          <w:rFonts w:ascii="Times New Roman" w:hAnsi="Times New Roman" w:cs="Times New Roman"/>
          <w:lang w:val="en-GB"/>
        </w:rPr>
        <w:t>2023</w:t>
      </w:r>
      <w:r w:rsidR="00F678D1" w:rsidRPr="00D81879">
        <w:rPr>
          <w:rFonts w:ascii="Times New Roman" w:hAnsi="Times New Roman" w:cs="Times New Roman"/>
          <w:lang w:val="en-GB"/>
        </w:rPr>
        <w:t xml:space="preserve"> by First Republic Bank (USD 229 billion at the time of failure) that was eventually resolved by the FDIC and then acquired by JP Morgan</w:t>
      </w:r>
    </w:p>
  </w:footnote>
  <w:footnote w:id="27">
    <w:p w14:paraId="326C75B8" w14:textId="480B1DC0" w:rsidR="007C3430" w:rsidRPr="00D81879" w:rsidRDefault="007C3430"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00F75909" w:rsidRPr="00D81879">
        <w:rPr>
          <w:rFonts w:ascii="Times New Roman" w:hAnsi="Times New Roman" w:cs="Times New Roman"/>
          <w:lang w:val="en-GB"/>
        </w:rPr>
        <w:tab/>
      </w:r>
      <w:r w:rsidRPr="00D81879">
        <w:rPr>
          <w:rFonts w:ascii="Times New Roman" w:hAnsi="Times New Roman" w:cs="Times New Roman"/>
          <w:lang w:val="en-GB"/>
        </w:rPr>
        <w:t>Credit Suisse was one of 30 Global Systemically Important Banks (G-SIB) and had a size of CHF 531 billion as of end 2022.</w:t>
      </w:r>
    </w:p>
  </w:footnote>
  <w:footnote w:id="28">
    <w:p w14:paraId="0B4E65E4" w14:textId="77777777" w:rsidR="002849DF" w:rsidRPr="00D81879" w:rsidRDefault="002849DF"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t>For instance, the ECB Banking Supervision, SRB and EBA statement on the announcement on 19 March 2023 by Swiss authorities (</w:t>
      </w:r>
      <w:hyperlink r:id="rId20" w:history="1">
        <w:r w:rsidRPr="00D81879">
          <w:rPr>
            <w:rStyle w:val="Hyperlink"/>
            <w:rFonts w:ascii="Times New Roman" w:hAnsi="Times New Roman" w:cs="Times New Roman"/>
            <w:lang w:val="en-GB"/>
          </w:rPr>
          <w:t>here</w:t>
        </w:r>
      </w:hyperlink>
      <w:r w:rsidRPr="00D81879">
        <w:rPr>
          <w:rFonts w:ascii="Times New Roman" w:hAnsi="Times New Roman" w:cs="Times New Roman"/>
          <w:lang w:val="en-GB"/>
        </w:rPr>
        <w:t>) or the SSM’s introductory statement at the Hearing of the Committee on Economic and Monetary Affairs of the European Parliament (</w:t>
      </w:r>
      <w:hyperlink r:id="rId21" w:history="1">
        <w:r w:rsidRPr="00D81879">
          <w:rPr>
            <w:rStyle w:val="Hyperlink"/>
            <w:rFonts w:ascii="Times New Roman" w:hAnsi="Times New Roman" w:cs="Times New Roman"/>
            <w:lang w:val="en-GB"/>
          </w:rPr>
          <w:t>here</w:t>
        </w:r>
      </w:hyperlink>
      <w:r w:rsidRPr="00D81879">
        <w:rPr>
          <w:rFonts w:ascii="Times New Roman" w:hAnsi="Times New Roman" w:cs="Times New Roman"/>
          <w:lang w:val="en-GB"/>
        </w:rPr>
        <w:t>).</w:t>
      </w:r>
    </w:p>
  </w:footnote>
  <w:footnote w:id="29">
    <w:p w14:paraId="655DDA26" w14:textId="18930327" w:rsidR="001F1048" w:rsidRPr="00D81879" w:rsidRDefault="001F1048"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00F45664" w:rsidRPr="00D81879">
        <w:rPr>
          <w:rFonts w:ascii="Times New Roman" w:hAnsi="Times New Roman" w:cs="Times New Roman"/>
          <w:lang w:val="en-GB"/>
        </w:rPr>
        <w:tab/>
      </w:r>
      <w:r w:rsidRPr="00D81879">
        <w:rPr>
          <w:rFonts w:ascii="Times New Roman" w:hAnsi="Times New Roman" w:cs="Times New Roman"/>
          <w:lang w:val="en-GB"/>
        </w:rPr>
        <w:t>CE</w:t>
      </w:r>
      <w:r w:rsidR="00F160E5" w:rsidRPr="00D81879">
        <w:rPr>
          <w:rFonts w:ascii="Times New Roman" w:hAnsi="Times New Roman" w:cs="Times New Roman"/>
          <w:lang w:val="en-GB"/>
        </w:rPr>
        <w:t>T 1 was not defined consistently in 2009</w:t>
      </w:r>
      <w:r w:rsidR="007C1436" w:rsidRPr="00D81879">
        <w:rPr>
          <w:rFonts w:ascii="Times New Roman" w:hAnsi="Times New Roman" w:cs="Times New Roman"/>
          <w:lang w:val="en-GB"/>
        </w:rPr>
        <w:t>;</w:t>
      </w:r>
      <w:r w:rsidR="00DC1D5A" w:rsidRPr="00D81879">
        <w:rPr>
          <w:rFonts w:ascii="Times New Roman" w:hAnsi="Times New Roman" w:cs="Times New Roman"/>
          <w:lang w:val="en-GB"/>
        </w:rPr>
        <w:t xml:space="preserve"> </w:t>
      </w:r>
      <w:r w:rsidR="00031DA9" w:rsidRPr="00D81879">
        <w:rPr>
          <w:rFonts w:ascii="Times New Roman" w:hAnsi="Times New Roman" w:cs="Times New Roman"/>
          <w:lang w:val="en-GB"/>
        </w:rPr>
        <w:t>hence Tier 1 ratio is used as a reference</w:t>
      </w:r>
      <w:r w:rsidR="00AC5AD5" w:rsidRPr="00D81879">
        <w:rPr>
          <w:rFonts w:ascii="Times New Roman" w:hAnsi="Times New Roman" w:cs="Times New Roman"/>
          <w:lang w:val="en-GB"/>
        </w:rPr>
        <w:t xml:space="preserve"> offering a</w:t>
      </w:r>
      <w:r w:rsidR="00192BD0" w:rsidRPr="00D81879">
        <w:rPr>
          <w:rFonts w:ascii="Times New Roman" w:hAnsi="Times New Roman" w:cs="Times New Roman"/>
          <w:lang w:val="en-GB"/>
        </w:rPr>
        <w:t xml:space="preserve"> time series as consistent as possible over time.</w:t>
      </w:r>
    </w:p>
  </w:footnote>
  <w:footnote w:id="30">
    <w:p w14:paraId="03D40EAB" w14:textId="01550D28" w:rsidR="00AA7F95" w:rsidRPr="00D81879" w:rsidRDefault="00AA7F95"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t>To a lesser extent, and the gradual unwinding of legacy capital structures that were non-compliant with the fully phased-in Basel III definition of CET 1</w:t>
      </w:r>
      <w:r w:rsidR="009B6054">
        <w:rPr>
          <w:rFonts w:ascii="Times New Roman" w:hAnsi="Times New Roman" w:cs="Times New Roman"/>
          <w:lang w:val="en-GB"/>
        </w:rPr>
        <w:t>.</w:t>
      </w:r>
    </w:p>
  </w:footnote>
  <w:footnote w:id="31">
    <w:p w14:paraId="723683EA" w14:textId="36E661CB" w:rsidR="00AA7F95" w:rsidRPr="00D81879" w:rsidRDefault="00AA7F95"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t>Financial Stability Review, European Central Bank, May 2013 (p. 57)</w:t>
      </w:r>
      <w:r w:rsidR="009B6054">
        <w:rPr>
          <w:rFonts w:ascii="Times New Roman" w:hAnsi="Times New Roman" w:cs="Times New Roman"/>
          <w:lang w:val="en-GB"/>
        </w:rPr>
        <w:t>.</w:t>
      </w:r>
    </w:p>
  </w:footnote>
  <w:footnote w:id="32">
    <w:p w14:paraId="480780D1" w14:textId="6D8121C5" w:rsidR="00841BF6" w:rsidRPr="00D02381" w:rsidRDefault="00841BF6" w:rsidP="006A0DF4">
      <w:pPr>
        <w:pStyle w:val="FootnoteText"/>
        <w:ind w:left="709" w:hanging="709"/>
        <w:contextualSpacing/>
        <w:jc w:val="both"/>
        <w:rPr>
          <w:rFonts w:ascii="Times New Roman" w:hAnsi="Times New Roman" w:cs="Times New Roman"/>
        </w:rPr>
      </w:pPr>
      <w:r w:rsidRPr="00D02381">
        <w:rPr>
          <w:rStyle w:val="FootnoteReference"/>
          <w:rFonts w:ascii="Times New Roman" w:hAnsi="Times New Roman" w:cs="Times New Roman"/>
        </w:rPr>
        <w:footnoteRef/>
      </w:r>
      <w:r w:rsidR="00D02381">
        <w:rPr>
          <w:rFonts w:ascii="Times New Roman" w:hAnsi="Times New Roman" w:cs="Times New Roman"/>
        </w:rPr>
        <w:tab/>
      </w:r>
      <w:r w:rsidR="00D02381" w:rsidRPr="00D02381">
        <w:rPr>
          <w:rFonts w:ascii="Times New Roman" w:hAnsi="Times New Roman" w:cs="Times New Roman"/>
        </w:rPr>
        <w:t xml:space="preserve">Financial Stability Review, European Central Bank, May 2014 (p. 69). These countries were Greece, Italy, Ireland, </w:t>
      </w:r>
      <w:r w:rsidR="00D02381" w:rsidRPr="00D02381">
        <w:rPr>
          <w:rFonts w:ascii="Times New Roman" w:hAnsi="Times New Roman" w:cs="Times New Roman"/>
          <w:lang w:val="en-GB"/>
        </w:rPr>
        <w:t>Portugal</w:t>
      </w:r>
      <w:r w:rsidR="00D02381" w:rsidRPr="00D02381">
        <w:rPr>
          <w:rFonts w:ascii="Times New Roman" w:hAnsi="Times New Roman" w:cs="Times New Roman"/>
        </w:rPr>
        <w:t>, Spain.</w:t>
      </w:r>
    </w:p>
  </w:footnote>
  <w:footnote w:id="33">
    <w:p w14:paraId="16872241" w14:textId="0DF9664D" w:rsidR="00541EE5" w:rsidRPr="00D81879" w:rsidRDefault="00541EE5"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00254A22">
        <w:rPr>
          <w:rFonts w:ascii="Times New Roman" w:hAnsi="Times New Roman" w:cs="Times New Roman"/>
          <w:lang w:val="en-GB"/>
        </w:rPr>
        <w:tab/>
      </w:r>
      <w:r w:rsidRPr="00D81879">
        <w:rPr>
          <w:rFonts w:ascii="Times New Roman" w:hAnsi="Times New Roman" w:cs="Times New Roman"/>
          <w:lang w:val="en-GB"/>
        </w:rPr>
        <w:t>Return on Equity is defined as total profit or loss for the year divided by total equity</w:t>
      </w:r>
      <w:r w:rsidR="009B6054">
        <w:rPr>
          <w:rFonts w:ascii="Times New Roman" w:hAnsi="Times New Roman" w:cs="Times New Roman"/>
          <w:lang w:val="en-GB"/>
        </w:rPr>
        <w:t>.</w:t>
      </w:r>
    </w:p>
  </w:footnote>
  <w:footnote w:id="34">
    <w:p w14:paraId="38650CA1" w14:textId="33D64275" w:rsidR="00870B5C" w:rsidRPr="007A2890" w:rsidRDefault="00870B5C" w:rsidP="000A4CC3">
      <w:pPr>
        <w:pStyle w:val="FootnoteText"/>
        <w:ind w:left="709" w:hanging="709"/>
        <w:contextualSpacing/>
        <w:jc w:val="both"/>
        <w:rPr>
          <w:rFonts w:ascii="Times New Roman" w:hAnsi="Times New Roman" w:cs="Times New Roman"/>
        </w:rPr>
      </w:pPr>
      <w:r w:rsidRPr="000A4CC3">
        <w:rPr>
          <w:rStyle w:val="FootnoteReference"/>
          <w:rFonts w:ascii="Times New Roman" w:hAnsi="Times New Roman" w:cs="Times New Roman"/>
        </w:rPr>
        <w:footnoteRef/>
      </w:r>
      <w:r w:rsidR="0073398A">
        <w:rPr>
          <w:rFonts w:ascii="Times New Roman" w:hAnsi="Times New Roman" w:cs="Times New Roman"/>
        </w:rPr>
        <w:tab/>
        <w:t xml:space="preserve">The same cannot be said for US banks, even though </w:t>
      </w:r>
      <w:r w:rsidR="000C2582">
        <w:rPr>
          <w:rFonts w:ascii="Times New Roman" w:hAnsi="Times New Roman" w:cs="Times New Roman"/>
        </w:rPr>
        <w:t>they are close to those highs. In particular, the average quarterly RoE (FDIC Data) in the pre-</w:t>
      </w:r>
      <w:r w:rsidR="00333D96">
        <w:rPr>
          <w:rFonts w:ascii="Times New Roman" w:hAnsi="Times New Roman" w:cs="Times New Roman"/>
        </w:rPr>
        <w:t>crisis</w:t>
      </w:r>
      <w:r w:rsidR="000C2582">
        <w:rPr>
          <w:rFonts w:ascii="Times New Roman" w:hAnsi="Times New Roman" w:cs="Times New Roman"/>
        </w:rPr>
        <w:t xml:space="preserve"> period between 2001 and 2006 was </w:t>
      </w:r>
      <w:r w:rsidR="003A4BD9">
        <w:rPr>
          <w:rFonts w:ascii="Times New Roman" w:hAnsi="Times New Roman" w:cs="Times New Roman"/>
        </w:rPr>
        <w:t>13.5%, while recently</w:t>
      </w:r>
      <w:r w:rsidR="00FB6F12">
        <w:rPr>
          <w:rFonts w:ascii="Times New Roman" w:hAnsi="Times New Roman" w:cs="Times New Roman"/>
        </w:rPr>
        <w:t xml:space="preserve"> (</w:t>
      </w:r>
      <w:r w:rsidR="00333D96">
        <w:rPr>
          <w:rFonts w:ascii="Times New Roman" w:hAnsi="Times New Roman" w:cs="Times New Roman"/>
        </w:rPr>
        <w:t xml:space="preserve">in </w:t>
      </w:r>
      <w:r w:rsidR="003A4BD9">
        <w:rPr>
          <w:rFonts w:ascii="Times New Roman" w:hAnsi="Times New Roman" w:cs="Times New Roman"/>
        </w:rPr>
        <w:t>the period 2021-2026</w:t>
      </w:r>
      <w:r w:rsidR="00FB6F12">
        <w:rPr>
          <w:rFonts w:ascii="Times New Roman" w:hAnsi="Times New Roman" w:cs="Times New Roman"/>
        </w:rPr>
        <w:t>)</w:t>
      </w:r>
      <w:r w:rsidR="003A4BD9">
        <w:rPr>
          <w:rFonts w:ascii="Times New Roman" w:hAnsi="Times New Roman" w:cs="Times New Roman"/>
        </w:rPr>
        <w:t xml:space="preserve"> </w:t>
      </w:r>
      <w:r w:rsidR="00333D96">
        <w:rPr>
          <w:rFonts w:ascii="Times New Roman" w:hAnsi="Times New Roman" w:cs="Times New Roman"/>
        </w:rPr>
        <w:t xml:space="preserve">the average quarterly RoE </w:t>
      </w:r>
      <w:r w:rsidR="00FB6F12">
        <w:rPr>
          <w:rFonts w:ascii="Times New Roman" w:hAnsi="Times New Roman" w:cs="Times New Roman"/>
        </w:rPr>
        <w:t>stood at 11.</w:t>
      </w:r>
      <w:r w:rsidR="008926CE">
        <w:rPr>
          <w:rFonts w:ascii="Times New Roman" w:hAnsi="Times New Roman" w:cs="Times New Roman"/>
        </w:rPr>
        <w:t>8</w:t>
      </w:r>
      <w:r w:rsidR="00FB6F12">
        <w:rPr>
          <w:rFonts w:ascii="Times New Roman" w:hAnsi="Times New Roman" w:cs="Times New Roman"/>
        </w:rPr>
        <w:t>%</w:t>
      </w:r>
      <w:r w:rsidR="008926CE">
        <w:rPr>
          <w:rFonts w:ascii="Times New Roman" w:hAnsi="Times New Roman" w:cs="Times New Roman"/>
        </w:rPr>
        <w:t>.</w:t>
      </w:r>
      <w:r w:rsidR="00E00B14">
        <w:rPr>
          <w:rFonts w:ascii="Times New Roman" w:hAnsi="Times New Roman" w:cs="Times New Roman"/>
        </w:rPr>
        <w:t xml:space="preserve"> T</w:t>
      </w:r>
      <w:r w:rsidR="00C473B1">
        <w:rPr>
          <w:rFonts w:ascii="Times New Roman" w:hAnsi="Times New Roman" w:cs="Times New Roman"/>
        </w:rPr>
        <w:t>o note, t</w:t>
      </w:r>
      <w:r w:rsidR="00E00B14">
        <w:rPr>
          <w:rFonts w:ascii="Times New Roman" w:hAnsi="Times New Roman" w:cs="Times New Roman"/>
        </w:rPr>
        <w:t xml:space="preserve">he </w:t>
      </w:r>
      <w:r w:rsidR="00297F39">
        <w:rPr>
          <w:rFonts w:ascii="Times New Roman" w:hAnsi="Times New Roman" w:cs="Times New Roman"/>
        </w:rPr>
        <w:t>p</w:t>
      </w:r>
      <w:r w:rsidR="00D31CE5" w:rsidRPr="000A4CC3">
        <w:rPr>
          <w:rFonts w:ascii="Times New Roman" w:hAnsi="Times New Roman" w:cs="Times New Roman"/>
        </w:rPr>
        <w:t>re-financial crisis was a rather favourable period for banking</w:t>
      </w:r>
      <w:r w:rsidR="00297F39">
        <w:rPr>
          <w:rFonts w:ascii="Times New Roman" w:hAnsi="Times New Roman" w:cs="Times New Roman"/>
        </w:rPr>
        <w:t xml:space="preserve"> globally,</w:t>
      </w:r>
      <w:r w:rsidR="00C473B1">
        <w:rPr>
          <w:rFonts w:ascii="Times New Roman" w:hAnsi="Times New Roman" w:cs="Times New Roman"/>
        </w:rPr>
        <w:t xml:space="preserve"> whereas by contrast </w:t>
      </w:r>
      <w:r w:rsidR="000471A1">
        <w:rPr>
          <w:rFonts w:ascii="Times New Roman" w:hAnsi="Times New Roman" w:cs="Times New Roman"/>
        </w:rPr>
        <w:t xml:space="preserve">the banking turmoil of Spring 2023 </w:t>
      </w:r>
      <w:r w:rsidR="00BA3314">
        <w:rPr>
          <w:rFonts w:ascii="Times New Roman" w:hAnsi="Times New Roman" w:cs="Times New Roman"/>
        </w:rPr>
        <w:t>had a negative effect on bank returns.</w:t>
      </w:r>
    </w:p>
  </w:footnote>
  <w:footnote w:id="35">
    <w:p w14:paraId="36E22657" w14:textId="3DC05BF8" w:rsidR="00057B1E" w:rsidRPr="00D81879" w:rsidRDefault="00057B1E"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00662997">
        <w:rPr>
          <w:rFonts w:ascii="Times New Roman" w:hAnsi="Times New Roman" w:cs="Times New Roman"/>
          <w:lang w:val="en-GB"/>
        </w:rPr>
        <w:tab/>
      </w:r>
      <w:r w:rsidRPr="00D81879">
        <w:rPr>
          <w:rFonts w:ascii="Times New Roman" w:hAnsi="Times New Roman" w:cs="Times New Roman"/>
          <w:lang w:val="en-GB"/>
        </w:rPr>
        <w:t xml:space="preserve">Altavilla, C., Bochmann, P., De Ryck, J., Dumitru, A.-M., Grodzicki, M., Kick, H., Melo Fernandes, C., Mosthaf, J., O’Donnell, C. and Palligkinis, S., “Measuring the cost of equity of euro area banks”, </w:t>
      </w:r>
      <w:r w:rsidR="000E5376" w:rsidRPr="00D81879">
        <w:rPr>
          <w:rFonts w:ascii="Times New Roman" w:hAnsi="Times New Roman" w:cs="Times New Roman"/>
          <w:lang w:val="en-GB"/>
        </w:rPr>
        <w:t>O</w:t>
      </w:r>
      <w:r w:rsidRPr="00D81879">
        <w:rPr>
          <w:rFonts w:ascii="Times New Roman" w:hAnsi="Times New Roman" w:cs="Times New Roman"/>
          <w:lang w:val="en-GB"/>
        </w:rPr>
        <w:t>ccasional Paper Series, No 254, ECB, 2021</w:t>
      </w:r>
      <w:r w:rsidR="009B6054">
        <w:rPr>
          <w:rFonts w:ascii="Times New Roman" w:hAnsi="Times New Roman" w:cs="Times New Roman"/>
          <w:lang w:val="en-GB"/>
        </w:rPr>
        <w:t>.</w:t>
      </w:r>
    </w:p>
  </w:footnote>
  <w:footnote w:id="36">
    <w:p w14:paraId="137DBB50" w14:textId="17950E4A" w:rsidR="002419B9" w:rsidRPr="00D81879" w:rsidRDefault="002419B9"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008926CE">
        <w:rPr>
          <w:rFonts w:ascii="Times New Roman" w:hAnsi="Times New Roman" w:cs="Times New Roman"/>
          <w:lang w:val="en-GB"/>
        </w:rPr>
        <w:tab/>
      </w:r>
      <w:r w:rsidRPr="00D81879">
        <w:rPr>
          <w:rFonts w:ascii="Times New Roman" w:hAnsi="Times New Roman" w:cs="Times New Roman"/>
          <w:lang w:val="en-GB"/>
        </w:rPr>
        <w:t xml:space="preserve">This is particularly true for </w:t>
      </w:r>
      <w:r w:rsidR="00212E17" w:rsidRPr="00D81879">
        <w:rPr>
          <w:rFonts w:ascii="Times New Roman" w:hAnsi="Times New Roman" w:cs="Times New Roman"/>
          <w:lang w:val="en-GB"/>
        </w:rPr>
        <w:t>banks whose assets are predominantly earning a floating interest rate.</w:t>
      </w:r>
      <w:r w:rsidR="00934BAC" w:rsidRPr="00D81879">
        <w:rPr>
          <w:rFonts w:ascii="Times New Roman" w:hAnsi="Times New Roman" w:cs="Times New Roman"/>
          <w:lang w:val="en-GB"/>
        </w:rPr>
        <w:t xml:space="preserve"> </w:t>
      </w:r>
    </w:p>
  </w:footnote>
  <w:footnote w:id="37">
    <w:p w14:paraId="5939D32E" w14:textId="7F1E384D" w:rsidR="00541EE5" w:rsidRPr="00D81879" w:rsidRDefault="00541EE5"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007C2C8A">
        <w:rPr>
          <w:rFonts w:ascii="Times New Roman" w:hAnsi="Times New Roman" w:cs="Times New Roman"/>
          <w:lang w:val="en-GB"/>
        </w:rPr>
        <w:tab/>
      </w:r>
      <w:r w:rsidRPr="00D81879">
        <w:rPr>
          <w:rFonts w:ascii="Times New Roman" w:hAnsi="Times New Roman" w:cs="Times New Roman"/>
          <w:lang w:val="en-GB"/>
        </w:rPr>
        <w:t>Cost-income ratio = Administrative expenses divided by total net operating income</w:t>
      </w:r>
      <w:r w:rsidR="00662997">
        <w:rPr>
          <w:rFonts w:ascii="Times New Roman" w:hAnsi="Times New Roman" w:cs="Times New Roman"/>
          <w:lang w:val="en-GB"/>
        </w:rPr>
        <w:t>.</w:t>
      </w:r>
    </w:p>
  </w:footnote>
  <w:footnote w:id="38">
    <w:p w14:paraId="65AA9DED" w14:textId="4562E5B2" w:rsidR="0082444C" w:rsidRPr="00D81879" w:rsidRDefault="0082444C"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00B93A8E">
        <w:rPr>
          <w:rFonts w:ascii="Times New Roman" w:hAnsi="Times New Roman" w:cs="Times New Roman"/>
          <w:lang w:val="en-GB"/>
        </w:rPr>
        <w:tab/>
      </w:r>
      <w:r w:rsidRPr="00D81879">
        <w:rPr>
          <w:rFonts w:ascii="Times New Roman" w:hAnsi="Times New Roman" w:cs="Times New Roman"/>
          <w:lang w:val="en-GB"/>
        </w:rPr>
        <w:t>Financial Stability Review, May 2019 – Box 5 Recent developments in banks’ price-to-book ratios and their determinants (p. 66)</w:t>
      </w:r>
      <w:r w:rsidR="00662997">
        <w:rPr>
          <w:rFonts w:ascii="Times New Roman" w:hAnsi="Times New Roman" w:cs="Times New Roman"/>
          <w:lang w:val="en-GB"/>
        </w:rPr>
        <w:t>.</w:t>
      </w:r>
    </w:p>
  </w:footnote>
  <w:footnote w:id="39">
    <w:p w14:paraId="5D796BBB" w14:textId="7E12C416" w:rsidR="0082444C" w:rsidRPr="00D81879" w:rsidRDefault="0082444C"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00B93A8E">
        <w:rPr>
          <w:rFonts w:ascii="Times New Roman" w:hAnsi="Times New Roman" w:cs="Times New Roman"/>
          <w:lang w:val="en-GB"/>
        </w:rPr>
        <w:tab/>
      </w:r>
      <w:r w:rsidRPr="00D81879">
        <w:rPr>
          <w:rFonts w:ascii="Times New Roman" w:hAnsi="Times New Roman" w:cs="Times New Roman"/>
          <w:lang w:val="en-GB"/>
        </w:rPr>
        <w:t xml:space="preserve">See </w:t>
      </w:r>
      <w:r w:rsidR="002F50CB">
        <w:rPr>
          <w:rFonts w:ascii="Times New Roman" w:hAnsi="Times New Roman" w:cs="Times New Roman"/>
          <w:lang w:val="en-GB"/>
        </w:rPr>
        <w:t xml:space="preserve">previous </w:t>
      </w:r>
      <w:r w:rsidRPr="00D81879">
        <w:rPr>
          <w:rFonts w:ascii="Times New Roman" w:hAnsi="Times New Roman" w:cs="Times New Roman"/>
          <w:lang w:val="en-GB"/>
        </w:rPr>
        <w:t>footnote - Financial Stability Review, May 2019 – Box 5 Recent developments in banks’ price-to-book ratios and their determinants</w:t>
      </w:r>
      <w:r w:rsidR="00662997">
        <w:rPr>
          <w:rFonts w:ascii="Times New Roman" w:hAnsi="Times New Roman" w:cs="Times New Roman"/>
          <w:lang w:val="en-GB"/>
        </w:rPr>
        <w:t>.</w:t>
      </w:r>
    </w:p>
  </w:footnote>
  <w:footnote w:id="40">
    <w:p w14:paraId="1626CE96" w14:textId="30F98BCF" w:rsidR="0082444C" w:rsidRPr="00D81879" w:rsidRDefault="0082444C" w:rsidP="002F50CB">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00D247A7">
        <w:rPr>
          <w:rFonts w:ascii="Times New Roman" w:hAnsi="Times New Roman" w:cs="Times New Roman"/>
          <w:lang w:val="en-GB"/>
        </w:rPr>
        <w:tab/>
      </w:r>
      <w:hyperlink r:id="rId22" w:history="1">
        <w:r w:rsidRPr="00D81879">
          <w:rPr>
            <w:rStyle w:val="Hyperlink"/>
            <w:rFonts w:ascii="Times New Roman" w:hAnsi="Times New Roman" w:cs="Times New Roman"/>
            <w:lang w:val="en-GB"/>
          </w:rPr>
          <w:t>How have European banks developed along different dimensions of international competitiveness?</w:t>
        </w:r>
      </w:hyperlink>
      <w:r w:rsidRPr="00D81879">
        <w:rPr>
          <w:rFonts w:ascii="Times New Roman" w:hAnsi="Times New Roman" w:cs="Times New Roman"/>
          <w:lang w:val="en-GB"/>
        </w:rPr>
        <w:t xml:space="preserve"> – Resti et al (2025), p. 17</w:t>
      </w:r>
      <w:r w:rsidR="002F50CB">
        <w:rPr>
          <w:rFonts w:ascii="Times New Roman" w:hAnsi="Times New Roman" w:cs="Times New Roman"/>
          <w:lang w:val="en-GB"/>
        </w:rPr>
        <w:t>.</w:t>
      </w:r>
    </w:p>
  </w:footnote>
  <w:footnote w:id="41">
    <w:p w14:paraId="69D00850" w14:textId="70755BF0" w:rsidR="0082444C" w:rsidRPr="00D81879" w:rsidRDefault="0082444C" w:rsidP="002F50CB">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00D247A7">
        <w:rPr>
          <w:rFonts w:ascii="Times New Roman" w:hAnsi="Times New Roman" w:cs="Times New Roman"/>
          <w:lang w:val="en-GB"/>
        </w:rPr>
        <w:tab/>
      </w:r>
      <w:hyperlink r:id="rId23" w:history="1">
        <w:r w:rsidRPr="00D81879">
          <w:rPr>
            <w:rStyle w:val="Hyperlink"/>
            <w:rFonts w:ascii="Times New Roman" w:hAnsi="Times New Roman" w:cs="Times New Roman"/>
            <w:lang w:val="en-GB"/>
          </w:rPr>
          <w:t>How have European banks developed along different dimensions of international competitiveness?</w:t>
        </w:r>
      </w:hyperlink>
      <w:r w:rsidRPr="00D81879">
        <w:rPr>
          <w:rFonts w:ascii="Times New Roman" w:hAnsi="Times New Roman" w:cs="Times New Roman"/>
          <w:lang w:val="en-GB"/>
        </w:rPr>
        <w:t xml:space="preserve"> – Heider et al (2025), p. 22</w:t>
      </w:r>
      <w:r w:rsidR="002F50CB">
        <w:rPr>
          <w:rFonts w:ascii="Times New Roman" w:hAnsi="Times New Roman" w:cs="Times New Roman"/>
          <w:lang w:val="en-GB"/>
        </w:rPr>
        <w:t>.</w:t>
      </w:r>
    </w:p>
  </w:footnote>
  <w:footnote w:id="42">
    <w:p w14:paraId="6CDBCB43" w14:textId="6154FAED" w:rsidR="0082444C" w:rsidRPr="00D81879" w:rsidRDefault="0082444C" w:rsidP="002F50CB">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00D247A7">
        <w:rPr>
          <w:rFonts w:ascii="Times New Roman" w:hAnsi="Times New Roman" w:cs="Times New Roman"/>
          <w:lang w:val="en-GB"/>
        </w:rPr>
        <w:tab/>
      </w:r>
      <w:r w:rsidR="002F50CB">
        <w:rPr>
          <w:rFonts w:ascii="Times New Roman" w:hAnsi="Times New Roman" w:cs="Times New Roman"/>
          <w:lang w:val="en-GB"/>
        </w:rPr>
        <w:t>T</w:t>
      </w:r>
      <w:r w:rsidR="002F50CB" w:rsidRPr="00D81879">
        <w:rPr>
          <w:rFonts w:ascii="Times New Roman" w:hAnsi="Times New Roman" w:cs="Times New Roman"/>
          <w:lang w:val="en-GB"/>
        </w:rPr>
        <w:t xml:space="preserve">he </w:t>
      </w:r>
      <w:r w:rsidR="002F50CB">
        <w:rPr>
          <w:rFonts w:ascii="Times New Roman" w:hAnsi="Times New Roman" w:cs="Times New Roman"/>
          <w:lang w:val="en-GB"/>
        </w:rPr>
        <w:t>EU</w:t>
      </w:r>
      <w:r w:rsidR="002F50CB" w:rsidRPr="00D81879">
        <w:rPr>
          <w:rFonts w:ascii="Times New Roman" w:hAnsi="Times New Roman" w:cs="Times New Roman"/>
          <w:lang w:val="en-GB"/>
        </w:rPr>
        <w:t xml:space="preserve"> banking regulatory framework and its impact on banks and the economy </w:t>
      </w:r>
      <w:r w:rsidRPr="00D81879">
        <w:rPr>
          <w:rFonts w:ascii="Times New Roman" w:hAnsi="Times New Roman" w:cs="Times New Roman"/>
          <w:lang w:val="en-GB"/>
        </w:rPr>
        <w:t>– Oliver Wyman, EBF (2023), p. 50</w:t>
      </w:r>
      <w:r w:rsidR="002F50CB">
        <w:rPr>
          <w:rFonts w:ascii="Times New Roman" w:hAnsi="Times New Roman" w:cs="Times New Roman"/>
          <w:lang w:val="en-GB"/>
        </w:rPr>
        <w:t>.</w:t>
      </w:r>
    </w:p>
  </w:footnote>
  <w:footnote w:id="43">
    <w:p w14:paraId="4711C040" w14:textId="142B2FF1" w:rsidR="0082444C" w:rsidRPr="00D81879" w:rsidRDefault="0082444C"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00D247A7">
        <w:rPr>
          <w:rFonts w:ascii="Times New Roman" w:hAnsi="Times New Roman" w:cs="Times New Roman"/>
          <w:lang w:val="en-GB"/>
        </w:rPr>
        <w:tab/>
      </w:r>
      <w:r w:rsidRPr="00D81879">
        <w:rPr>
          <w:rFonts w:ascii="Times New Roman" w:hAnsi="Times New Roman" w:cs="Times New Roman"/>
          <w:lang w:val="en-GB"/>
        </w:rPr>
        <w:t>Among the costs considered in the analysis, there were SRF contributions. As SRF reached its target levels, these contributions are no longer being made and the estimates may now be on the high side. From the SRB’s Annual report, p. 5 (</w:t>
      </w:r>
      <w:hyperlink r:id="rId24" w:history="1">
        <w:r w:rsidRPr="00D81879">
          <w:rPr>
            <w:rStyle w:val="Hyperlink"/>
            <w:rFonts w:ascii="Times New Roman" w:hAnsi="Times New Roman" w:cs="Times New Roman"/>
            <w:lang w:val="en-GB"/>
          </w:rPr>
          <w:t>link</w:t>
        </w:r>
      </w:hyperlink>
      <w:r w:rsidRPr="00D81879">
        <w:rPr>
          <w:rFonts w:ascii="Times New Roman" w:hAnsi="Times New Roman" w:cs="Times New Roman"/>
          <w:lang w:val="en-GB"/>
        </w:rPr>
        <w:t>): “Having reached the target level of 1% of covered deposits end of 2023 and being still above the threshold in 2024, the Single Resolution Fund did not raise any contributions in 2024.”</w:t>
      </w:r>
    </w:p>
  </w:footnote>
  <w:footnote w:id="44">
    <w:p w14:paraId="0F093B48" w14:textId="57DADBDC" w:rsidR="0082444C" w:rsidRPr="00D81879" w:rsidRDefault="0082444C" w:rsidP="002F50CB">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00D247A7">
        <w:rPr>
          <w:rFonts w:ascii="Times New Roman" w:hAnsi="Times New Roman" w:cs="Times New Roman"/>
          <w:lang w:val="en-GB"/>
        </w:rPr>
        <w:tab/>
      </w:r>
      <w:r w:rsidRPr="00D81879">
        <w:rPr>
          <w:rFonts w:ascii="Times New Roman" w:hAnsi="Times New Roman" w:cs="Times New Roman"/>
          <w:lang w:val="en-GB"/>
        </w:rPr>
        <w:t>Recent analyses by Autonomous Research point to a similar takeaway, that the European framework ends up being more conservative than the one in the US.</w:t>
      </w:r>
    </w:p>
  </w:footnote>
  <w:footnote w:id="45">
    <w:p w14:paraId="7033FF70" w14:textId="02316051" w:rsidR="0082444C" w:rsidRPr="00D81879" w:rsidRDefault="0082444C" w:rsidP="002F50CB">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00D247A7">
        <w:rPr>
          <w:rFonts w:ascii="Times New Roman" w:hAnsi="Times New Roman" w:cs="Times New Roman"/>
          <w:lang w:val="en-GB"/>
        </w:rPr>
        <w:tab/>
      </w:r>
      <w:r w:rsidRPr="00D81879">
        <w:rPr>
          <w:rFonts w:ascii="Times New Roman" w:hAnsi="Times New Roman" w:cs="Times New Roman"/>
          <w:lang w:val="en-GB"/>
        </w:rPr>
        <w:t>In particular, the Occasional paper (</w:t>
      </w:r>
      <w:hyperlink r:id="rId25" w:history="1">
        <w:r w:rsidRPr="00D81879">
          <w:rPr>
            <w:rStyle w:val="Hyperlink"/>
            <w:rFonts w:ascii="Times New Roman" w:hAnsi="Times New Roman" w:cs="Times New Roman"/>
            <w:lang w:val="en-GB"/>
          </w:rPr>
          <w:t>here</w:t>
        </w:r>
      </w:hyperlink>
      <w:r w:rsidRPr="00D81879">
        <w:rPr>
          <w:rFonts w:ascii="Times New Roman" w:hAnsi="Times New Roman" w:cs="Times New Roman"/>
          <w:lang w:val="en-GB"/>
        </w:rPr>
        <w:t>) from the ECB “Understanding the banking sector capital framework in the European Union” and a similar analysis from the EBA</w:t>
      </w:r>
      <w:r w:rsidR="002F50CB">
        <w:rPr>
          <w:rFonts w:ascii="Times New Roman" w:hAnsi="Times New Roman" w:cs="Times New Roman"/>
          <w:lang w:val="en-GB"/>
        </w:rPr>
        <w:t>.</w:t>
      </w:r>
    </w:p>
  </w:footnote>
  <w:footnote w:id="46">
    <w:p w14:paraId="1A34C4B4" w14:textId="6DE001A3" w:rsidR="0082444C" w:rsidRPr="00D81879" w:rsidRDefault="0082444C"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000539B8">
        <w:rPr>
          <w:rFonts w:ascii="Times New Roman" w:hAnsi="Times New Roman" w:cs="Times New Roman"/>
          <w:lang w:val="en-GB"/>
        </w:rPr>
        <w:tab/>
      </w:r>
      <w:r w:rsidRPr="00D81879">
        <w:rPr>
          <w:rFonts w:ascii="Times New Roman" w:hAnsi="Times New Roman" w:cs="Times New Roman"/>
          <w:lang w:val="en-GB"/>
        </w:rPr>
        <w:t>Data from the World Bank (</w:t>
      </w:r>
      <w:hyperlink r:id="rId26" w:history="1">
        <w:r w:rsidRPr="00D81879">
          <w:rPr>
            <w:rStyle w:val="Hyperlink"/>
            <w:rFonts w:ascii="Times New Roman" w:hAnsi="Times New Roman" w:cs="Times New Roman"/>
            <w:lang w:val="en-GB"/>
          </w:rPr>
          <w:t>link</w:t>
        </w:r>
      </w:hyperlink>
      <w:r w:rsidRPr="00D81879">
        <w:rPr>
          <w:rFonts w:ascii="Times New Roman" w:hAnsi="Times New Roman" w:cs="Times New Roman"/>
          <w:lang w:val="en-GB"/>
        </w:rPr>
        <w:t>)</w:t>
      </w:r>
      <w:r w:rsidR="00525BDE">
        <w:rPr>
          <w:rFonts w:ascii="Times New Roman" w:hAnsi="Times New Roman" w:cs="Times New Roman"/>
          <w:lang w:val="en-GB"/>
        </w:rPr>
        <w:t>.</w:t>
      </w:r>
    </w:p>
  </w:footnote>
  <w:footnote w:id="47">
    <w:p w14:paraId="756AED87" w14:textId="45ABAD32" w:rsidR="0082444C" w:rsidRPr="00D81879" w:rsidRDefault="0082444C"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000539B8">
        <w:rPr>
          <w:rFonts w:ascii="Times New Roman" w:hAnsi="Times New Roman" w:cs="Times New Roman"/>
          <w:lang w:val="en-GB"/>
        </w:rPr>
        <w:tab/>
      </w:r>
      <w:r w:rsidRPr="00D81879">
        <w:rPr>
          <w:rFonts w:ascii="Times New Roman" w:hAnsi="Times New Roman" w:cs="Times New Roman"/>
          <w:lang w:val="en-GB"/>
        </w:rPr>
        <w:t xml:space="preserve">As of end-of the year 2025, see </w:t>
      </w:r>
      <w:hyperlink r:id="rId27" w:history="1">
        <w:r w:rsidRPr="00D81879">
          <w:rPr>
            <w:rStyle w:val="Hyperlink"/>
            <w:rFonts w:ascii="Times New Roman" w:hAnsi="Times New Roman" w:cs="Times New Roman"/>
            <w:lang w:val="en-GB"/>
          </w:rPr>
          <w:t>here</w:t>
        </w:r>
      </w:hyperlink>
      <w:r w:rsidRPr="00D81879">
        <w:rPr>
          <w:rFonts w:ascii="Times New Roman" w:hAnsi="Times New Roman" w:cs="Times New Roman"/>
          <w:lang w:val="en-GB"/>
        </w:rPr>
        <w:t xml:space="preserve"> Equity Primary Markets and Trading Report (AFME)</w:t>
      </w:r>
      <w:r w:rsidR="00525BDE">
        <w:rPr>
          <w:rFonts w:ascii="Times New Roman" w:hAnsi="Times New Roman" w:cs="Times New Roman"/>
          <w:lang w:val="en-GB"/>
        </w:rPr>
        <w:t>.</w:t>
      </w:r>
    </w:p>
  </w:footnote>
  <w:footnote w:id="48">
    <w:p w14:paraId="27FC321A" w14:textId="6496A62D" w:rsidR="00E1125A" w:rsidRPr="00D81879" w:rsidRDefault="00E1125A"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0043738B" w:rsidRPr="00D81879">
        <w:rPr>
          <w:rFonts w:ascii="Times New Roman" w:hAnsi="Times New Roman" w:cs="Times New Roman"/>
          <w:lang w:val="en-GB"/>
        </w:rPr>
        <w:tab/>
        <w:t>AFME</w:t>
      </w:r>
      <w:r w:rsidR="007A54F9" w:rsidRPr="00D81879">
        <w:rPr>
          <w:rFonts w:ascii="Times New Roman" w:hAnsi="Times New Roman" w:cs="Times New Roman"/>
          <w:lang w:val="en-GB"/>
        </w:rPr>
        <w:t xml:space="preserve">, </w:t>
      </w:r>
      <w:hyperlink r:id="rId28" w:history="1">
        <w:r w:rsidR="00520D4D" w:rsidRPr="00D81879">
          <w:rPr>
            <w:rStyle w:val="Hyperlink"/>
            <w:rFonts w:ascii="Times New Roman" w:hAnsi="Times New Roman" w:cs="Times New Roman"/>
            <w:i/>
            <w:lang w:val="en-GB"/>
          </w:rPr>
          <w:t>Banking Union: measuring progress and identifying implementation gaps</w:t>
        </w:r>
      </w:hyperlink>
      <w:r w:rsidR="007A54F9" w:rsidRPr="00D81879">
        <w:rPr>
          <w:rFonts w:ascii="Times New Roman" w:hAnsi="Times New Roman" w:cs="Times New Roman"/>
          <w:lang w:val="en-GB"/>
        </w:rPr>
        <w:t>,</w:t>
      </w:r>
      <w:r w:rsidR="00520D4D" w:rsidRPr="00D81879">
        <w:rPr>
          <w:rFonts w:ascii="Times New Roman" w:hAnsi="Times New Roman" w:cs="Times New Roman"/>
          <w:lang w:val="en-GB"/>
        </w:rPr>
        <w:t xml:space="preserve"> September 2025</w:t>
      </w:r>
      <w:r w:rsidR="007A54F9" w:rsidRPr="00D81879">
        <w:rPr>
          <w:rFonts w:ascii="Times New Roman" w:hAnsi="Times New Roman" w:cs="Times New Roman"/>
          <w:lang w:val="en-GB"/>
        </w:rPr>
        <w:t>,</w:t>
      </w:r>
      <w:r w:rsidR="00520D4D" w:rsidRPr="00D81879">
        <w:rPr>
          <w:rFonts w:ascii="Times New Roman" w:hAnsi="Times New Roman" w:cs="Times New Roman"/>
          <w:lang w:val="en-GB"/>
        </w:rPr>
        <w:t xml:space="preserve"> p.4</w:t>
      </w:r>
      <w:r w:rsidR="00525BDE">
        <w:rPr>
          <w:rFonts w:ascii="Times New Roman" w:hAnsi="Times New Roman" w:cs="Times New Roman"/>
          <w:lang w:val="en-GB"/>
        </w:rPr>
        <w:t>.</w:t>
      </w:r>
    </w:p>
  </w:footnote>
  <w:footnote w:id="49">
    <w:p w14:paraId="62B91AF0" w14:textId="5EA100F3" w:rsidR="001E7A22" w:rsidRPr="00D81879" w:rsidRDefault="001E7A22"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0043738B" w:rsidRPr="00D81879">
        <w:rPr>
          <w:rFonts w:ascii="Times New Roman" w:hAnsi="Times New Roman" w:cs="Times New Roman"/>
          <w:lang w:val="en-GB"/>
        </w:rPr>
        <w:tab/>
        <w:t>This estimate does not directly reflect the amount of capital that banks hold at subsidiary level as a result of prudential requirements applicable at subsidiary level, and there can be different reasons for which banks hold higher capital ratios at subsidiary level, including non-prudential reasons (e.g. tax reasons).</w:t>
      </w:r>
    </w:p>
  </w:footnote>
  <w:footnote w:id="50">
    <w:p w14:paraId="3A99DEAB" w14:textId="46D14025" w:rsidR="00365FEB" w:rsidRPr="00D81879" w:rsidRDefault="00365FEB"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00D20A3F" w:rsidRPr="00D81879">
        <w:rPr>
          <w:rFonts w:ascii="Times New Roman" w:hAnsi="Times New Roman" w:cs="Times New Roman"/>
          <w:lang w:val="en-GB"/>
        </w:rPr>
        <w:tab/>
        <w:t>International Monetary Fund</w:t>
      </w:r>
      <w:r w:rsidR="00C870D3" w:rsidRPr="00D81879">
        <w:rPr>
          <w:rFonts w:ascii="Times New Roman" w:hAnsi="Times New Roman" w:cs="Times New Roman"/>
          <w:lang w:val="en-GB"/>
        </w:rPr>
        <w:t xml:space="preserve">, </w:t>
      </w:r>
      <w:hyperlink r:id="rId29">
        <w:r w:rsidR="7B4CBCFC" w:rsidRPr="00D81879">
          <w:rPr>
            <w:rStyle w:val="Hyperlink"/>
            <w:rFonts w:ascii="Times New Roman" w:hAnsi="Times New Roman" w:cs="Times New Roman"/>
            <w:i/>
            <w:lang w:val="en-GB"/>
          </w:rPr>
          <w:t>A Recovery Short of Europe’s Full Potential</w:t>
        </w:r>
      </w:hyperlink>
      <w:r w:rsidR="00C870D3" w:rsidRPr="00D81879">
        <w:rPr>
          <w:rFonts w:ascii="Times New Roman" w:hAnsi="Times New Roman" w:cs="Times New Roman"/>
          <w:lang w:val="en-GB"/>
        </w:rPr>
        <w:t xml:space="preserve">, </w:t>
      </w:r>
      <w:r w:rsidR="7B4CBCFC" w:rsidRPr="00D81879">
        <w:rPr>
          <w:rFonts w:ascii="Times New Roman" w:hAnsi="Times New Roman" w:cs="Times New Roman"/>
          <w:lang w:val="en-GB"/>
        </w:rPr>
        <w:t>October 2024</w:t>
      </w:r>
      <w:r w:rsidR="00D20A3F" w:rsidRPr="00D81879">
        <w:rPr>
          <w:rFonts w:ascii="Times New Roman" w:hAnsi="Times New Roman" w:cs="Times New Roman"/>
          <w:lang w:val="en-GB"/>
        </w:rPr>
        <w:t>,</w:t>
      </w:r>
      <w:r w:rsidR="7B4CBCFC" w:rsidRPr="00D81879">
        <w:rPr>
          <w:rFonts w:ascii="Times New Roman" w:hAnsi="Times New Roman" w:cs="Times New Roman"/>
          <w:lang w:val="en-GB"/>
        </w:rPr>
        <w:t xml:space="preserve"> p.</w:t>
      </w:r>
      <w:r w:rsidR="41A73D76" w:rsidRPr="00D81879">
        <w:rPr>
          <w:rFonts w:ascii="Times New Roman" w:hAnsi="Times New Roman" w:cs="Times New Roman"/>
          <w:lang w:val="en-GB"/>
        </w:rPr>
        <w:t>19</w:t>
      </w:r>
      <w:r w:rsidR="00525BDE">
        <w:rPr>
          <w:rFonts w:ascii="Times New Roman" w:hAnsi="Times New Roman" w:cs="Times New Roman"/>
          <w:lang w:val="en-GB"/>
        </w:rPr>
        <w:t>.</w:t>
      </w:r>
    </w:p>
  </w:footnote>
  <w:footnote w:id="51">
    <w:p w14:paraId="3A0A755E" w14:textId="66202F0E" w:rsidR="0075782E" w:rsidRPr="00D81879" w:rsidRDefault="0075782E"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t xml:space="preserve">IMF (June 2026), </w:t>
      </w:r>
      <w:hyperlink r:id="rId30" w:history="1">
        <w:r w:rsidRPr="00D81879">
          <w:rPr>
            <w:rStyle w:val="Hyperlink"/>
            <w:rFonts w:ascii="Times New Roman" w:hAnsi="Times New Roman" w:cs="Times New Roman"/>
            <w:i/>
            <w:lang w:val="en-GB"/>
          </w:rPr>
          <w:t>Deeper and More Integrated Financial Markets to Foster Growth and Resilience in Europe.</w:t>
        </w:r>
      </w:hyperlink>
    </w:p>
  </w:footnote>
  <w:footnote w:id="52">
    <w:p w14:paraId="52943CF0" w14:textId="42A81F9A" w:rsidR="00D20A3F" w:rsidRPr="00D81879" w:rsidRDefault="00D20A3F"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r>
      <w:r w:rsidR="00C94A38" w:rsidRPr="00D81879">
        <w:rPr>
          <w:rFonts w:ascii="Times New Roman" w:hAnsi="Times New Roman" w:cs="Times New Roman"/>
          <w:lang w:val="en-GB"/>
        </w:rPr>
        <w:t>AFME, “</w:t>
      </w:r>
      <w:hyperlink r:id="rId31" w:history="1">
        <w:r w:rsidR="00C94A38" w:rsidRPr="00D81879">
          <w:rPr>
            <w:rStyle w:val="Hyperlink"/>
            <w:rFonts w:ascii="Times New Roman" w:hAnsi="Times New Roman" w:cs="Times New Roman"/>
            <w:i/>
            <w:lang w:val="en-GB"/>
          </w:rPr>
          <w:t>Banking Union: measuring progress and identifying implementation gaps</w:t>
        </w:r>
      </w:hyperlink>
      <w:r w:rsidR="00C94A38" w:rsidRPr="00D81879">
        <w:rPr>
          <w:rFonts w:ascii="Times New Roman" w:hAnsi="Times New Roman" w:cs="Times New Roman"/>
          <w:lang w:val="en-GB"/>
        </w:rPr>
        <w:t>, ” – AFME September (2025), p.10</w:t>
      </w:r>
      <w:r w:rsidR="00525BDE">
        <w:rPr>
          <w:rFonts w:ascii="Times New Roman" w:hAnsi="Times New Roman" w:cs="Times New Roman"/>
          <w:lang w:val="en-GB"/>
        </w:rPr>
        <w:t>.</w:t>
      </w:r>
    </w:p>
  </w:footnote>
  <w:footnote w:id="53">
    <w:p w14:paraId="36618B06" w14:textId="7BBA0865" w:rsidR="00BE7E8E" w:rsidRPr="00D81879" w:rsidRDefault="00BE7E8E" w:rsidP="00525BDE">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008F59EA" w:rsidRPr="00D81879">
        <w:rPr>
          <w:rFonts w:ascii="Times New Roman" w:hAnsi="Times New Roman" w:cs="Times New Roman"/>
          <w:lang w:val="en-GB"/>
        </w:rPr>
        <w:tab/>
      </w:r>
      <w:r w:rsidRPr="00D81879">
        <w:rPr>
          <w:rFonts w:ascii="Times New Roman" w:hAnsi="Times New Roman" w:cs="Times New Roman"/>
          <w:lang w:val="en-GB"/>
        </w:rPr>
        <w:t xml:space="preserve">Corporate and Investment Banking can be divided in two sub-business lines defined by asset class and type of activity. </w:t>
      </w:r>
    </w:p>
    <w:p w14:paraId="571F47EF" w14:textId="77777777" w:rsidR="00BE7E8E" w:rsidRPr="00D81879" w:rsidRDefault="00BE7E8E" w:rsidP="00525BDE">
      <w:pPr>
        <w:pStyle w:val="FootnoteText"/>
        <w:numPr>
          <w:ilvl w:val="0"/>
          <w:numId w:val="38"/>
        </w:numPr>
        <w:ind w:left="1135" w:hanging="284"/>
        <w:contextualSpacing/>
        <w:jc w:val="both"/>
        <w:rPr>
          <w:rFonts w:ascii="Times New Roman" w:hAnsi="Times New Roman" w:cs="Times New Roman"/>
          <w:lang w:val="en-GB"/>
        </w:rPr>
      </w:pPr>
      <w:r w:rsidRPr="00D81879">
        <w:rPr>
          <w:rFonts w:ascii="Times New Roman" w:hAnsi="Times New Roman" w:cs="Times New Roman"/>
          <w:lang w:val="en-GB"/>
        </w:rPr>
        <w:t>First, Global Markets (GM) business offers a broad suite of market-making and brokerage services to a global client base of corporations, financial institutions, government and municipal entities. Divided in two products suites: Equities, and Fixed Income and Commodities (FICC).</w:t>
      </w:r>
    </w:p>
    <w:p w14:paraId="462DA4EF" w14:textId="77777777" w:rsidR="00BE7E8E" w:rsidRPr="00D81879" w:rsidRDefault="00BE7E8E" w:rsidP="00525BDE">
      <w:pPr>
        <w:pStyle w:val="FootnoteText"/>
        <w:numPr>
          <w:ilvl w:val="0"/>
          <w:numId w:val="38"/>
        </w:numPr>
        <w:ind w:left="1135" w:hanging="284"/>
        <w:contextualSpacing/>
        <w:jc w:val="both"/>
        <w:rPr>
          <w:rFonts w:ascii="Times New Roman" w:hAnsi="Times New Roman" w:cs="Times New Roman"/>
          <w:lang w:val="en-GB"/>
        </w:rPr>
      </w:pPr>
      <w:r w:rsidRPr="00D81879">
        <w:rPr>
          <w:rFonts w:ascii="Times New Roman" w:hAnsi="Times New Roman" w:cs="Times New Roman"/>
          <w:lang w:val="en-GB"/>
        </w:rPr>
        <w:t>Second, Investment Banking (IB) business focuses on the advice, origination, structuring, listing and distribution for Debt Capital Markets (DCM), Equity Capital Markets (ECM, offering Initial Public Offerings, Follow-on offerings, private placements, etc.) and M&amp;A deals.</w:t>
      </w:r>
    </w:p>
  </w:footnote>
  <w:footnote w:id="54">
    <w:p w14:paraId="450D81F8" w14:textId="2AE10281" w:rsidR="001378DF" w:rsidRPr="00D81879" w:rsidRDefault="001378DF" w:rsidP="00525BDE">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006130EB" w:rsidRPr="00D81879">
        <w:rPr>
          <w:rFonts w:ascii="Times New Roman" w:hAnsi="Times New Roman" w:cs="Times New Roman"/>
          <w:lang w:val="en-GB"/>
        </w:rPr>
        <w:tab/>
      </w:r>
      <w:r w:rsidR="00C91778" w:rsidRPr="00D81879">
        <w:rPr>
          <w:rFonts w:ascii="Times New Roman" w:hAnsi="Times New Roman" w:cs="Times New Roman"/>
          <w:lang w:val="en-GB"/>
        </w:rPr>
        <w:t>From AFME</w:t>
      </w:r>
      <w:r w:rsidR="00E40FBE" w:rsidRPr="00D81879">
        <w:rPr>
          <w:rFonts w:ascii="Times New Roman" w:hAnsi="Times New Roman" w:cs="Times New Roman"/>
          <w:lang w:val="en-GB"/>
        </w:rPr>
        <w:t>’</w:t>
      </w:r>
      <w:r w:rsidR="00C91778" w:rsidRPr="00D81879">
        <w:rPr>
          <w:rFonts w:ascii="Times New Roman" w:hAnsi="Times New Roman" w:cs="Times New Roman"/>
          <w:lang w:val="en-GB"/>
        </w:rPr>
        <w:t>s response to the consultation</w:t>
      </w:r>
      <w:r w:rsidR="002C11CF" w:rsidRPr="00D81879">
        <w:rPr>
          <w:rFonts w:ascii="Times New Roman" w:hAnsi="Times New Roman" w:cs="Times New Roman"/>
          <w:lang w:val="en-GB"/>
        </w:rPr>
        <w:t xml:space="preserve"> (p. 18):</w:t>
      </w:r>
      <w:r w:rsidR="00CF597B" w:rsidRPr="00D81879">
        <w:rPr>
          <w:rFonts w:ascii="Times New Roman" w:hAnsi="Times New Roman" w:cs="Times New Roman"/>
          <w:lang w:val="en-GB"/>
        </w:rPr>
        <w:t xml:space="preserve"> </w:t>
      </w:r>
      <w:r w:rsidR="00935480" w:rsidRPr="00D81879">
        <w:rPr>
          <w:rFonts w:ascii="Times New Roman" w:hAnsi="Times New Roman" w:cs="Times New Roman"/>
          <w:lang w:val="en-GB"/>
        </w:rPr>
        <w:t>“</w:t>
      </w:r>
      <w:r w:rsidR="00CF597B" w:rsidRPr="00D81879">
        <w:rPr>
          <w:rFonts w:ascii="Times New Roman" w:hAnsi="Times New Roman" w:cs="Times New Roman"/>
          <w:lang w:val="en-GB"/>
        </w:rPr>
        <w:t>EU Banks have lost significant market shares in investment banking and capital market activities in Europe over the past 10/20 years. In M&amp;A down from 45% to 36% and in ECM, down from 58% to 36% over the past 20 years. In Global equity market, down from 35% to 20% over the past 10 years”</w:t>
      </w:r>
      <w:r w:rsidR="00525BDE">
        <w:rPr>
          <w:rFonts w:ascii="Times New Roman" w:hAnsi="Times New Roman" w:cs="Times New Roman"/>
          <w:lang w:val="en-GB"/>
        </w:rPr>
        <w:t>.</w:t>
      </w:r>
    </w:p>
  </w:footnote>
  <w:footnote w:id="55">
    <w:p w14:paraId="55E31186" w14:textId="1529D36D" w:rsidR="00921845" w:rsidRPr="00525BDE" w:rsidRDefault="00921845" w:rsidP="00525BDE">
      <w:pPr>
        <w:pStyle w:val="FootnoteText"/>
        <w:ind w:left="709" w:hanging="709"/>
        <w:contextualSpacing/>
        <w:jc w:val="both"/>
        <w:rPr>
          <w:rFonts w:ascii="Times New Roman" w:hAnsi="Times New Roman" w:cs="Times New Roman"/>
          <w:lang w:val="fr-BE"/>
        </w:rPr>
      </w:pPr>
      <w:r w:rsidRPr="00D81879">
        <w:rPr>
          <w:rStyle w:val="FootnoteReference"/>
          <w:rFonts w:ascii="Times New Roman" w:hAnsi="Times New Roman" w:cs="Times New Roman"/>
          <w:lang w:val="en-GB"/>
        </w:rPr>
        <w:footnoteRef/>
      </w:r>
      <w:r w:rsidR="008F59EA" w:rsidRPr="00525BDE">
        <w:rPr>
          <w:rFonts w:ascii="Times New Roman" w:hAnsi="Times New Roman" w:cs="Times New Roman"/>
          <w:lang w:val="fr-BE"/>
        </w:rPr>
        <w:tab/>
      </w:r>
      <w:r w:rsidRPr="00525BDE">
        <w:rPr>
          <w:rFonts w:ascii="Times New Roman" w:hAnsi="Times New Roman" w:cs="Times New Roman"/>
          <w:lang w:val="fr-BE"/>
        </w:rPr>
        <w:t xml:space="preserve">EBA non-EU dependencies </w:t>
      </w:r>
      <w:r w:rsidR="004B630B" w:rsidRPr="00525BDE">
        <w:rPr>
          <w:rFonts w:ascii="Times New Roman" w:hAnsi="Times New Roman" w:cs="Times New Roman"/>
          <w:lang w:val="fr-BE"/>
        </w:rPr>
        <w:t>report</w:t>
      </w:r>
      <w:r w:rsidR="00A8065D">
        <w:rPr>
          <w:rFonts w:ascii="Times New Roman" w:hAnsi="Times New Roman" w:cs="Times New Roman"/>
          <w:lang w:val="fr-BE"/>
        </w:rPr>
        <w:t xml:space="preserve"> (</w:t>
      </w:r>
      <w:hyperlink r:id="rId32" w:history="1">
        <w:r w:rsidR="00A8065D" w:rsidRPr="00A8065D">
          <w:rPr>
            <w:rStyle w:val="Hyperlink"/>
            <w:rFonts w:ascii="Times New Roman" w:hAnsi="Times New Roman" w:cs="Times New Roman"/>
            <w:lang w:val="fr-BE"/>
          </w:rPr>
          <w:t>link</w:t>
        </w:r>
      </w:hyperlink>
      <w:r w:rsidR="00A8065D">
        <w:rPr>
          <w:rFonts w:ascii="Times New Roman" w:hAnsi="Times New Roman" w:cs="Times New Roman"/>
          <w:lang w:val="fr-BE"/>
        </w:rPr>
        <w:t>)</w:t>
      </w:r>
      <w:r w:rsidR="00525BDE" w:rsidRPr="00525BDE">
        <w:rPr>
          <w:rFonts w:ascii="Times New Roman" w:hAnsi="Times New Roman" w:cs="Times New Roman"/>
          <w:lang w:val="fr-BE"/>
        </w:rPr>
        <w:t>.</w:t>
      </w:r>
    </w:p>
  </w:footnote>
  <w:footnote w:id="56">
    <w:p w14:paraId="1630E07E" w14:textId="00A0B7CC" w:rsidR="00A56669" w:rsidRPr="00D81879" w:rsidRDefault="00A56669" w:rsidP="00525BDE">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008F1B26">
        <w:rPr>
          <w:rFonts w:ascii="Times New Roman" w:hAnsi="Times New Roman" w:cs="Times New Roman"/>
          <w:lang w:val="en-GB"/>
        </w:rPr>
        <w:tab/>
      </w:r>
      <w:r w:rsidRPr="00D81879">
        <w:rPr>
          <w:rFonts w:ascii="Times New Roman" w:hAnsi="Times New Roman" w:cs="Times New Roman"/>
          <w:lang w:val="en-GB"/>
        </w:rPr>
        <w:t>For example: “</w:t>
      </w:r>
      <w:hyperlink r:id="rId33" w:history="1">
        <w:r w:rsidRPr="00D81879">
          <w:rPr>
            <w:rStyle w:val="Hyperlink"/>
            <w:rFonts w:ascii="Times New Roman" w:hAnsi="Times New Roman" w:cs="Times New Roman"/>
            <w:lang w:val="en-GB"/>
          </w:rPr>
          <w:t>Wall Street traders post triple the gains of European rivals</w:t>
        </w:r>
      </w:hyperlink>
      <w:r w:rsidRPr="00D81879">
        <w:rPr>
          <w:rFonts w:ascii="Times New Roman" w:hAnsi="Times New Roman" w:cs="Times New Roman"/>
          <w:lang w:val="en-GB"/>
        </w:rPr>
        <w:t>” – Financial Times 2 May 2026, Simon Foy and Joshua Franklin</w:t>
      </w:r>
      <w:r w:rsidR="00525BDE">
        <w:rPr>
          <w:rFonts w:ascii="Times New Roman" w:hAnsi="Times New Roman" w:cs="Times New Roman"/>
          <w:lang w:val="en-GB"/>
        </w:rPr>
        <w:t>.</w:t>
      </w:r>
    </w:p>
  </w:footnote>
  <w:footnote w:id="57">
    <w:p w14:paraId="77D06EED" w14:textId="30B7AD41" w:rsidR="008E7E97" w:rsidRPr="00D81879" w:rsidRDefault="008E7E97" w:rsidP="00525BDE">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008F1B26">
        <w:rPr>
          <w:rFonts w:ascii="Times New Roman" w:hAnsi="Times New Roman" w:cs="Times New Roman"/>
          <w:lang w:val="en-GB"/>
        </w:rPr>
        <w:tab/>
      </w:r>
      <w:r w:rsidRPr="00D81879">
        <w:rPr>
          <w:rFonts w:ascii="Times New Roman" w:hAnsi="Times New Roman" w:cs="Times New Roman"/>
          <w:lang w:val="en-GB"/>
        </w:rPr>
        <w:t>ECB and AFME</w:t>
      </w:r>
      <w:r w:rsidR="00525BDE">
        <w:rPr>
          <w:rFonts w:ascii="Times New Roman" w:hAnsi="Times New Roman" w:cs="Times New Roman"/>
          <w:lang w:val="en-GB"/>
        </w:rPr>
        <w:t>.</w:t>
      </w:r>
    </w:p>
  </w:footnote>
  <w:footnote w:id="58">
    <w:p w14:paraId="1F58F55C" w14:textId="117E6D89" w:rsidR="0072524E" w:rsidRPr="00D81879" w:rsidRDefault="0072524E" w:rsidP="00525BDE">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008F1B26">
        <w:rPr>
          <w:rFonts w:ascii="Times New Roman" w:hAnsi="Times New Roman" w:cs="Times New Roman"/>
          <w:lang w:val="en-GB"/>
        </w:rPr>
        <w:tab/>
      </w:r>
      <w:r w:rsidRPr="00D81879">
        <w:rPr>
          <w:rFonts w:ascii="Times New Roman" w:hAnsi="Times New Roman" w:cs="Times New Roman"/>
          <w:lang w:val="en-GB"/>
        </w:rPr>
        <w:t>Looking at the comparison in relative terms, scaled by each bank’s total asset</w:t>
      </w:r>
      <w:r w:rsidR="00184FF8" w:rsidRPr="00D81879">
        <w:rPr>
          <w:rFonts w:ascii="Times New Roman" w:hAnsi="Times New Roman" w:cs="Times New Roman"/>
          <w:lang w:val="en-GB"/>
        </w:rPr>
        <w:t xml:space="preserve">, </w:t>
      </w:r>
      <w:r w:rsidR="00666D04" w:rsidRPr="00D81879">
        <w:rPr>
          <w:rFonts w:ascii="Times New Roman" w:hAnsi="Times New Roman" w:cs="Times New Roman"/>
          <w:lang w:val="en-GB"/>
        </w:rPr>
        <w:t>the statement remains true with one exception</w:t>
      </w:r>
      <w:r w:rsidR="00502668" w:rsidRPr="00D81879">
        <w:rPr>
          <w:rFonts w:ascii="Times New Roman" w:hAnsi="Times New Roman" w:cs="Times New Roman"/>
          <w:lang w:val="en-GB"/>
        </w:rPr>
        <w:t>,</w:t>
      </w:r>
      <w:r w:rsidR="00666D04" w:rsidRPr="00D81879">
        <w:rPr>
          <w:rFonts w:ascii="Times New Roman" w:hAnsi="Times New Roman" w:cs="Times New Roman"/>
          <w:lang w:val="en-GB"/>
        </w:rPr>
        <w:t xml:space="preserve"> where </w:t>
      </w:r>
      <w:r w:rsidR="00502668" w:rsidRPr="00D81879">
        <w:rPr>
          <w:rFonts w:ascii="Times New Roman" w:hAnsi="Times New Roman" w:cs="Times New Roman"/>
          <w:lang w:val="en-GB"/>
        </w:rPr>
        <w:t xml:space="preserve">the EU bank that invests the most </w:t>
      </w:r>
      <w:r w:rsidR="00BE2748" w:rsidRPr="00D81879">
        <w:rPr>
          <w:rFonts w:ascii="Times New Roman" w:hAnsi="Times New Roman" w:cs="Times New Roman"/>
          <w:lang w:val="en-GB"/>
        </w:rPr>
        <w:t xml:space="preserve">has a higher relative budget than </w:t>
      </w:r>
      <w:r w:rsidR="00286A83" w:rsidRPr="00D81879">
        <w:rPr>
          <w:rFonts w:ascii="Times New Roman" w:hAnsi="Times New Roman" w:cs="Times New Roman"/>
          <w:lang w:val="en-GB"/>
        </w:rPr>
        <w:t>the US bank that invests</w:t>
      </w:r>
      <w:r w:rsidR="00BE2748" w:rsidRPr="00D81879">
        <w:rPr>
          <w:rFonts w:ascii="Times New Roman" w:hAnsi="Times New Roman" w:cs="Times New Roman"/>
          <w:lang w:val="en-GB"/>
        </w:rPr>
        <w:t xml:space="preserve"> the</w:t>
      </w:r>
      <w:r w:rsidR="00286A83" w:rsidRPr="00D81879">
        <w:rPr>
          <w:rFonts w:ascii="Times New Roman" w:hAnsi="Times New Roman" w:cs="Times New Roman"/>
          <w:lang w:val="en-GB"/>
        </w:rPr>
        <w:t xml:space="preserve"> le</w:t>
      </w:r>
      <w:r w:rsidR="00BE2748" w:rsidRPr="00D81879">
        <w:rPr>
          <w:rFonts w:ascii="Times New Roman" w:hAnsi="Times New Roman" w:cs="Times New Roman"/>
          <w:lang w:val="en-GB"/>
        </w:rPr>
        <w:t>ast.</w:t>
      </w:r>
      <w:r w:rsidR="00286A83" w:rsidRPr="00D81879">
        <w:rPr>
          <w:rFonts w:ascii="Times New Roman" w:hAnsi="Times New Roman" w:cs="Times New Roman"/>
          <w:lang w:val="en-GB"/>
        </w:rPr>
        <w:t xml:space="preserve"> </w:t>
      </w:r>
    </w:p>
  </w:footnote>
  <w:footnote w:id="59">
    <w:p w14:paraId="39172F87" w14:textId="57FC33AD" w:rsidR="0057181C" w:rsidRPr="00D81879" w:rsidRDefault="0057181C"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t xml:space="preserve">Gropp, R.E., Noth, F., and Schüwer, U. (2019), </w:t>
      </w:r>
      <w:hyperlink r:id="rId34" w:history="1">
        <w:r w:rsidRPr="00D81879">
          <w:rPr>
            <w:rStyle w:val="Hyperlink"/>
            <w:rFonts w:ascii="Times New Roman" w:hAnsi="Times New Roman" w:cs="Times New Roman"/>
            <w:i/>
            <w:lang w:val="en-GB"/>
          </w:rPr>
          <w:t>What drives banks’ geographic expansion?</w:t>
        </w:r>
        <w:r w:rsidRPr="00D81879">
          <w:rPr>
            <w:rStyle w:val="Hyperlink"/>
            <w:rFonts w:ascii="Times New Roman" w:hAnsi="Times New Roman" w:cs="Times New Roman"/>
            <w:lang w:val="en-GB"/>
          </w:rPr>
          <w:t xml:space="preserve"> The role of locally non-diversifiable risk</w:t>
        </w:r>
      </w:hyperlink>
      <w:r w:rsidRPr="00D81879">
        <w:rPr>
          <w:rFonts w:ascii="Times New Roman" w:hAnsi="Times New Roman" w:cs="Times New Roman"/>
          <w:lang w:val="en-GB"/>
        </w:rPr>
        <w:t xml:space="preserve">, SAFE Working Paper No. 246. However, the literature is inconclusive on the extent to which diversification lowers risks given that diversification also encourages banks to take more risks, which in turn increases their exposure to aggregate and local risk factors. </w:t>
      </w:r>
      <w:hyperlink r:id="rId35" w:history="1">
        <w:r w:rsidRPr="00D81879">
          <w:rPr>
            <w:rStyle w:val="Hyperlink"/>
            <w:rFonts w:ascii="Times New Roman" w:hAnsi="Times New Roman" w:cs="Times New Roman"/>
            <w:lang w:val="en-GB"/>
          </w:rPr>
          <w:t>Chavez (2017)</w:t>
        </w:r>
      </w:hyperlink>
      <w:r w:rsidRPr="00D81879">
        <w:rPr>
          <w:rFonts w:ascii="Times New Roman" w:hAnsi="Times New Roman" w:cs="Times New Roman"/>
          <w:lang w:val="en-GB"/>
        </w:rPr>
        <w:t xml:space="preserve"> shows that more geographically diversified banks in the US take larger risks and hold smaller liquidity buffers, which increases their vulnerability to aggregate shocks. Other US research like </w:t>
      </w:r>
      <w:hyperlink r:id="rId36" w:history="1">
        <w:r w:rsidRPr="00D81879">
          <w:rPr>
            <w:rStyle w:val="Hyperlink"/>
            <w:rFonts w:ascii="Times New Roman" w:hAnsi="Times New Roman" w:cs="Times New Roman"/>
            <w:lang w:val="en-GB"/>
          </w:rPr>
          <w:t>Meslier et al. (2016)</w:t>
        </w:r>
      </w:hyperlink>
      <w:r w:rsidRPr="00D81879">
        <w:rPr>
          <w:rFonts w:ascii="Times New Roman" w:hAnsi="Times New Roman" w:cs="Times New Roman"/>
          <w:lang w:val="en-GB"/>
        </w:rPr>
        <w:t xml:space="preserve"> or </w:t>
      </w:r>
      <w:hyperlink r:id="rId37" w:history="1">
        <w:r w:rsidRPr="00D81879">
          <w:rPr>
            <w:rStyle w:val="Hyperlink"/>
            <w:rFonts w:ascii="Times New Roman" w:hAnsi="Times New Roman" w:cs="Times New Roman"/>
            <w:lang w:val="en-GB"/>
          </w:rPr>
          <w:t>Goetz, et al. (2016)</w:t>
        </w:r>
      </w:hyperlink>
      <w:r w:rsidRPr="00D81879">
        <w:rPr>
          <w:rFonts w:ascii="Times New Roman" w:hAnsi="Times New Roman" w:cs="Times New Roman"/>
          <w:lang w:val="en-GB"/>
        </w:rPr>
        <w:t xml:space="preserve"> conclude that the relationship between geographical diversification and banks’ risk is non-linear.</w:t>
      </w:r>
    </w:p>
  </w:footnote>
  <w:footnote w:id="60">
    <w:p w14:paraId="4987129B" w14:textId="50E95378" w:rsidR="0057181C" w:rsidRPr="00D81879" w:rsidRDefault="0057181C"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t>Cimodomo et al, ‘</w:t>
      </w:r>
      <w:hyperlink r:id="rId38" w:history="1">
        <w:r w:rsidRPr="00D81879">
          <w:rPr>
            <w:rStyle w:val="Hyperlink"/>
            <w:rFonts w:ascii="Times New Roman" w:hAnsi="Times New Roman" w:cs="Times New Roman"/>
            <w:lang w:val="en-GB"/>
          </w:rPr>
          <w:t>Risk sharing in the Euroarea</w:t>
        </w:r>
      </w:hyperlink>
      <w:r w:rsidRPr="00D81879">
        <w:rPr>
          <w:rFonts w:ascii="Times New Roman" w:hAnsi="Times New Roman" w:cs="Times New Roman"/>
          <w:lang w:val="en-GB"/>
        </w:rPr>
        <w:t xml:space="preserve">’, Economic Bulletin Articles, European Central Bank, vol. 3, </w:t>
      </w:r>
      <w:r w:rsidR="00EE27E5" w:rsidRPr="00D81879">
        <w:rPr>
          <w:rFonts w:ascii="Times New Roman" w:hAnsi="Times New Roman" w:cs="Times New Roman"/>
          <w:lang w:val="en-GB"/>
        </w:rPr>
        <w:t>2018.</w:t>
      </w:r>
    </w:p>
  </w:footnote>
  <w:footnote w:id="61">
    <w:p w14:paraId="5DE19681" w14:textId="77777777" w:rsidR="0057181C" w:rsidRPr="00D81879" w:rsidRDefault="0057181C"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t>ESRB Working Paper No. 129, 2021, pp. 1, 12–16.</w:t>
      </w:r>
    </w:p>
  </w:footnote>
  <w:footnote w:id="62">
    <w:p w14:paraId="3257B6AB" w14:textId="05674BB0" w:rsidR="0057181C" w:rsidRPr="00D81879" w:rsidRDefault="0057181C"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t xml:space="preserve">Katharina Bergant, Mai Hakamada, Divya Kirti, and Rui Mano, </w:t>
      </w:r>
      <w:r w:rsidRPr="00D81879">
        <w:rPr>
          <w:rFonts w:ascii="Times New Roman" w:hAnsi="Times New Roman" w:cs="Times New Roman"/>
          <w:i/>
          <w:iCs/>
          <w:lang w:val="en-GB"/>
        </w:rPr>
        <w:t>‘</w:t>
      </w:r>
      <w:r w:rsidRPr="00D81879">
        <w:rPr>
          <w:rFonts w:ascii="Times New Roman" w:hAnsi="Times New Roman" w:cs="Times New Roman"/>
          <w:i/>
          <w:lang w:val="en-GB"/>
        </w:rPr>
        <w:t>Inflation and Bank Profits: Monetary Policy Trade-offs’</w:t>
      </w:r>
      <w:r w:rsidRPr="00D81879">
        <w:rPr>
          <w:rFonts w:ascii="Times New Roman" w:hAnsi="Times New Roman" w:cs="Times New Roman"/>
          <w:lang w:val="en-GB"/>
        </w:rPr>
        <w:t>, Staff Discussion Notes</w:t>
      </w:r>
      <w:r w:rsidR="00EE27E5" w:rsidRPr="00D81879">
        <w:rPr>
          <w:rFonts w:ascii="Times New Roman" w:hAnsi="Times New Roman" w:cs="Times New Roman"/>
          <w:lang w:val="en-GB"/>
        </w:rPr>
        <w:t xml:space="preserve">, </w:t>
      </w:r>
      <w:r w:rsidRPr="00D81879">
        <w:rPr>
          <w:rFonts w:ascii="Times New Roman" w:hAnsi="Times New Roman" w:cs="Times New Roman"/>
          <w:lang w:val="en-GB"/>
        </w:rPr>
        <w:t>2025</w:t>
      </w:r>
      <w:r w:rsidR="00EE27E5" w:rsidRPr="00D81879">
        <w:rPr>
          <w:rFonts w:ascii="Times New Roman" w:hAnsi="Times New Roman" w:cs="Times New Roman"/>
          <w:lang w:val="en-GB"/>
        </w:rPr>
        <w:t>.</w:t>
      </w:r>
    </w:p>
  </w:footnote>
  <w:footnote w:id="63">
    <w:p w14:paraId="6A0795DC" w14:textId="326A0DAC" w:rsidR="0057181C" w:rsidRPr="00D81879" w:rsidRDefault="0057181C"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t>Hausenblas and Lešanovská (2018) and the literature quoted therein. For further details, see Hausenblas, V., and Lešanovská, J.</w:t>
      </w:r>
      <w:r w:rsidR="00CB699E" w:rsidRPr="00D81879">
        <w:rPr>
          <w:rFonts w:ascii="Times New Roman" w:hAnsi="Times New Roman" w:cs="Times New Roman"/>
          <w:lang w:val="en-GB"/>
        </w:rPr>
        <w:t>,</w:t>
      </w:r>
      <w:r w:rsidRPr="00D81879">
        <w:rPr>
          <w:rFonts w:ascii="Times New Roman" w:hAnsi="Times New Roman" w:cs="Times New Roman"/>
          <w:lang w:val="en-GB"/>
        </w:rPr>
        <w:t xml:space="preserve"> </w:t>
      </w:r>
      <w:hyperlink r:id="rId39" w:history="1">
        <w:r w:rsidRPr="00D81879">
          <w:rPr>
            <w:rStyle w:val="Hyperlink"/>
            <w:rFonts w:ascii="Times New Roman" w:hAnsi="Times New Roman" w:cs="Times New Roman"/>
            <w:i/>
            <w:lang w:val="en-GB"/>
          </w:rPr>
          <w:t>How Do Large Banking Groups Manage the Efficiency of Their Subsidiaries? Evidence from CEE</w:t>
        </w:r>
      </w:hyperlink>
      <w:r w:rsidRPr="00D81879">
        <w:rPr>
          <w:rFonts w:ascii="Times New Roman" w:hAnsi="Times New Roman" w:cs="Times New Roman"/>
          <w:lang w:val="en-GB"/>
        </w:rPr>
        <w:t>, Czech National Bank Working Paper 13, October 2018.</w:t>
      </w:r>
    </w:p>
  </w:footnote>
  <w:footnote w:id="64">
    <w:p w14:paraId="0ED3CA35" w14:textId="00F98D68" w:rsidR="0057181C" w:rsidRPr="00D81879" w:rsidRDefault="0057181C"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r>
      <w:r w:rsidR="00FF2C82" w:rsidRPr="00D81879">
        <w:rPr>
          <w:rFonts w:ascii="Times New Roman" w:hAnsi="Times New Roman" w:cs="Times New Roman"/>
          <w:lang w:val="en-GB"/>
        </w:rPr>
        <w:t xml:space="preserve">Ervin W., </w:t>
      </w:r>
      <w:hyperlink r:id="rId40" w:history="1">
        <w:r w:rsidRPr="00D81879">
          <w:rPr>
            <w:rStyle w:val="Hyperlink"/>
            <w:rFonts w:ascii="Times New Roman" w:hAnsi="Times New Roman" w:cs="Times New Roman"/>
            <w:i/>
            <w:lang w:val="en-GB"/>
          </w:rPr>
          <w:t>Understanding ‘ring-fencing’ and how it could make banking riskier</w:t>
        </w:r>
      </w:hyperlink>
      <w:r w:rsidRPr="00D81879">
        <w:rPr>
          <w:rFonts w:ascii="Times New Roman" w:hAnsi="Times New Roman" w:cs="Times New Roman"/>
          <w:lang w:val="en-GB"/>
        </w:rPr>
        <w:t>, Brooking Institute, 2018.</w:t>
      </w:r>
    </w:p>
  </w:footnote>
  <w:footnote w:id="65">
    <w:p w14:paraId="6E00FA5D" w14:textId="66BA5D3E" w:rsidR="0057181C" w:rsidRPr="00D81879" w:rsidRDefault="0057181C"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r>
      <w:r w:rsidR="00E507CC" w:rsidRPr="00D81879">
        <w:rPr>
          <w:rFonts w:ascii="Times New Roman" w:hAnsi="Times New Roman" w:cs="Times New Roman"/>
          <w:lang w:val="en-GB"/>
        </w:rPr>
        <w:t xml:space="preserve">European Central Bank, </w:t>
      </w:r>
      <w:hyperlink r:id="rId41" w:history="1">
        <w:r w:rsidRPr="00D81879">
          <w:rPr>
            <w:rStyle w:val="Hyperlink"/>
            <w:rFonts w:ascii="Times New Roman" w:hAnsi="Times New Roman" w:cs="Times New Roman"/>
            <w:i/>
            <w:lang w:val="en-GB"/>
          </w:rPr>
          <w:t>Cross-border banking in the EU: from national silos to an integrated market</w:t>
        </w:r>
      </w:hyperlink>
      <w:r w:rsidRPr="00D81879">
        <w:rPr>
          <w:rFonts w:ascii="Times New Roman" w:hAnsi="Times New Roman" w:cs="Times New Roman"/>
          <w:lang w:val="en-GB"/>
        </w:rPr>
        <w:t>, 2025.</w:t>
      </w:r>
    </w:p>
  </w:footnote>
  <w:footnote w:id="66">
    <w:p w14:paraId="17381CF3" w14:textId="4F0DE893" w:rsidR="006E4A82" w:rsidRPr="00D81879" w:rsidRDefault="006E4A82"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rPr>
        <w:footnoteRef/>
      </w:r>
      <w:r w:rsidRPr="00D81879">
        <w:rPr>
          <w:rFonts w:ascii="Times New Roman" w:hAnsi="Times New Roman" w:cs="Times New Roman"/>
        </w:rPr>
        <w:t xml:space="preserve"> </w:t>
      </w:r>
      <w:r w:rsidR="008F1B26">
        <w:rPr>
          <w:rFonts w:ascii="Times New Roman" w:hAnsi="Times New Roman" w:cs="Times New Roman"/>
        </w:rPr>
        <w:tab/>
      </w:r>
      <w:r w:rsidRPr="00D81879">
        <w:rPr>
          <w:rFonts w:ascii="Times New Roman" w:hAnsi="Times New Roman" w:cs="Times New Roman"/>
        </w:rPr>
        <w:t xml:space="preserve">Notably the case </w:t>
      </w:r>
      <w:r w:rsidRPr="00D81879">
        <w:rPr>
          <w:rFonts w:ascii="Times New Roman" w:hAnsi="Times New Roman" w:cs="Times New Roman"/>
          <w:lang w:val="en-GB"/>
        </w:rPr>
        <w:t>where banks hold significant amounts of their MS’s sovereign debt</w:t>
      </w:r>
      <w:r w:rsidR="0075614A" w:rsidRPr="00D81879">
        <w:rPr>
          <w:rFonts w:ascii="Times New Roman" w:hAnsi="Times New Roman" w:cs="Times New Roman"/>
          <w:lang w:val="en-GB"/>
        </w:rPr>
        <w:t>,</w:t>
      </w:r>
      <w:r w:rsidRPr="00D81879">
        <w:rPr>
          <w:rFonts w:ascii="Times New Roman" w:hAnsi="Times New Roman" w:cs="Times New Roman"/>
          <w:lang w:val="en-GB"/>
        </w:rPr>
        <w:t xml:space="preserve"> and </w:t>
      </w:r>
      <w:r w:rsidR="0075614A" w:rsidRPr="00D81879">
        <w:rPr>
          <w:rFonts w:ascii="Times New Roman" w:hAnsi="Times New Roman" w:cs="Times New Roman"/>
          <w:lang w:val="en-GB"/>
        </w:rPr>
        <w:t xml:space="preserve">sovereign debt </w:t>
      </w:r>
      <w:r w:rsidRPr="00D81879">
        <w:rPr>
          <w:rFonts w:ascii="Times New Roman" w:hAnsi="Times New Roman" w:cs="Times New Roman"/>
          <w:lang w:val="en-GB"/>
        </w:rPr>
        <w:t xml:space="preserve">crises can trigger bank failures, and </w:t>
      </w:r>
      <w:r w:rsidR="00A059E2" w:rsidRPr="00D81879">
        <w:rPr>
          <w:rFonts w:ascii="Times New Roman" w:hAnsi="Times New Roman" w:cs="Times New Roman"/>
          <w:lang w:val="en-GB"/>
        </w:rPr>
        <w:t xml:space="preserve">vice versa where </w:t>
      </w:r>
      <w:r w:rsidRPr="00D81879">
        <w:rPr>
          <w:rFonts w:ascii="Times New Roman" w:hAnsi="Times New Roman" w:cs="Times New Roman"/>
          <w:lang w:val="en-GB"/>
        </w:rPr>
        <w:t>bank difficulties reverberate on sovereigns’ debt market access</w:t>
      </w:r>
      <w:r w:rsidR="00A059E2" w:rsidRPr="00D81879">
        <w:rPr>
          <w:rFonts w:ascii="Times New Roman" w:hAnsi="Times New Roman" w:cs="Times New Roman"/>
          <w:lang w:val="en-GB"/>
        </w:rPr>
        <w:t>.</w:t>
      </w:r>
    </w:p>
  </w:footnote>
  <w:footnote w:id="67">
    <w:p w14:paraId="3691BAF2" w14:textId="31A633C7" w:rsidR="0057181C" w:rsidRPr="00D81879" w:rsidRDefault="0057181C"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r>
      <w:r w:rsidR="00DD1D5D" w:rsidRPr="00D81879">
        <w:rPr>
          <w:rFonts w:ascii="Times New Roman" w:hAnsi="Times New Roman" w:cs="Times New Roman"/>
          <w:lang w:val="en-GB"/>
        </w:rPr>
        <w:t>Gardella A., Rimarchi M</w:t>
      </w:r>
      <w:r w:rsidR="003B0A30" w:rsidRPr="00D81879">
        <w:rPr>
          <w:rFonts w:ascii="Times New Roman" w:hAnsi="Times New Roman" w:cs="Times New Roman"/>
          <w:lang w:val="en-GB"/>
        </w:rPr>
        <w:t xml:space="preserve"> and Stroppa D., </w:t>
      </w:r>
      <w:hyperlink r:id="rId42" w:history="1">
        <w:r w:rsidRPr="00D81879">
          <w:rPr>
            <w:rStyle w:val="Hyperlink"/>
            <w:rFonts w:ascii="Times New Roman" w:hAnsi="Times New Roman" w:cs="Times New Roman"/>
            <w:i/>
            <w:lang w:val="en-GB"/>
          </w:rPr>
          <w:t>Potential regulatory obstacles to cross-border mergers and acquisitions in the EU banking sector</w:t>
        </w:r>
      </w:hyperlink>
      <w:r w:rsidRPr="00D81879">
        <w:rPr>
          <w:rFonts w:ascii="Times New Roman" w:hAnsi="Times New Roman" w:cs="Times New Roman"/>
          <w:lang w:val="en-GB"/>
        </w:rPr>
        <w:t>, E</w:t>
      </w:r>
      <w:r w:rsidR="00E507CC" w:rsidRPr="00D81879">
        <w:rPr>
          <w:rFonts w:ascii="Times New Roman" w:hAnsi="Times New Roman" w:cs="Times New Roman"/>
          <w:lang w:val="en-GB"/>
        </w:rPr>
        <w:t>uropean Banking Authority S</w:t>
      </w:r>
      <w:r w:rsidRPr="00D81879">
        <w:rPr>
          <w:rFonts w:ascii="Times New Roman" w:hAnsi="Times New Roman" w:cs="Times New Roman"/>
          <w:lang w:val="en-GB"/>
        </w:rPr>
        <w:t>taff paper series N.7, 2020.</w:t>
      </w:r>
    </w:p>
  </w:footnote>
  <w:footnote w:id="68">
    <w:p w14:paraId="6F81EECA" w14:textId="77777777" w:rsidR="00A253A5" w:rsidRPr="00D81879" w:rsidRDefault="00A253A5"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t>Steven Arons, ‘</w:t>
      </w:r>
      <w:r w:rsidRPr="00D81879">
        <w:rPr>
          <w:rFonts w:ascii="Times New Roman" w:hAnsi="Times New Roman" w:cs="Times New Roman"/>
          <w:i/>
          <w:lang w:val="en-GB"/>
        </w:rPr>
        <w:t>Big EU Bank Deals Hampered by Governments Despite Calls to Grow’</w:t>
      </w:r>
      <w:r w:rsidRPr="00D81879">
        <w:rPr>
          <w:rFonts w:ascii="Times New Roman" w:hAnsi="Times New Roman" w:cs="Times New Roman"/>
          <w:lang w:val="en-GB"/>
        </w:rPr>
        <w:t>, Bloomberg, May 2025.</w:t>
      </w:r>
    </w:p>
  </w:footnote>
  <w:footnote w:id="69">
    <w:p w14:paraId="66B2AA33" w14:textId="77777777" w:rsidR="00A253A5" w:rsidRPr="00D81879" w:rsidRDefault="00A253A5"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t xml:space="preserve">AFME, </w:t>
      </w:r>
      <w:hyperlink r:id="rId43" w:history="1">
        <w:r w:rsidRPr="00D81879">
          <w:rPr>
            <w:rStyle w:val="Hyperlink"/>
            <w:rFonts w:ascii="Times New Roman" w:hAnsi="Times New Roman" w:cs="Times New Roman"/>
            <w:i/>
            <w:lang w:val="en-GB"/>
          </w:rPr>
          <w:t>Bank Taxes in Europe (EU and UK)</w:t>
        </w:r>
      </w:hyperlink>
      <w:r w:rsidRPr="00D81879">
        <w:rPr>
          <w:rFonts w:ascii="Times New Roman" w:hAnsi="Times New Roman" w:cs="Times New Roman"/>
          <w:lang w:val="en-GB"/>
        </w:rPr>
        <w:t>, February 2026.</w:t>
      </w:r>
    </w:p>
  </w:footnote>
  <w:footnote w:id="70">
    <w:p w14:paraId="6F38593D" w14:textId="77777777" w:rsidR="00A253A5" w:rsidRPr="00D81879" w:rsidRDefault="00A253A5"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t xml:space="preserve">Empirical evidence that public support and especially nationalisation of banks lead to a withdrawal from foreign markets is presented in Kleymenova, A., Rose, A.K., and Wieladek, T. (2016), </w:t>
      </w:r>
      <w:hyperlink r:id="rId44" w:history="1">
        <w:r w:rsidRPr="00D81879">
          <w:rPr>
            <w:rStyle w:val="Hyperlink"/>
            <w:rFonts w:ascii="Times New Roman" w:hAnsi="Times New Roman" w:cs="Times New Roman"/>
            <w:lang w:val="en-GB"/>
          </w:rPr>
          <w:t>Does government intervention affect banking globalization?</w:t>
        </w:r>
      </w:hyperlink>
      <w:r w:rsidRPr="00D81879">
        <w:rPr>
          <w:rFonts w:ascii="Times New Roman" w:hAnsi="Times New Roman" w:cs="Times New Roman"/>
          <w:lang w:val="en-GB"/>
        </w:rPr>
        <w:t>, Journal of the Japanese and International Economies 40.</w:t>
      </w:r>
    </w:p>
  </w:footnote>
  <w:footnote w:id="71">
    <w:p w14:paraId="7968A3AA" w14:textId="3F1EF9F7" w:rsidR="0057181C" w:rsidRPr="00D81879" w:rsidRDefault="0057181C"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t>Losses in subsidiaries belonging to a resolution group should be upstreamed to the parent who is the sole entity planned to be placed in resolution should it reach the conditions for failing or likely to fail. Under a single point of entry strategy, the resolution of the banking group is conducted from the parent entity who holds bail-inable resources and will be restructured in accordance with the resolution strategy, thus ensuring also the recapitalisation and continuation of group activities</w:t>
      </w:r>
      <w:r w:rsidR="0017392F" w:rsidRPr="00D81879">
        <w:rPr>
          <w:rFonts w:ascii="Times New Roman" w:hAnsi="Times New Roman" w:cs="Times New Roman"/>
          <w:lang w:val="en-GB"/>
        </w:rPr>
        <w:t>.</w:t>
      </w:r>
    </w:p>
  </w:footnote>
  <w:footnote w:id="72">
    <w:p w14:paraId="3E5BA45F" w14:textId="47CFB95F" w:rsidR="0057181C" w:rsidRPr="00D81879" w:rsidRDefault="0057181C" w:rsidP="006A0DF4">
      <w:pPr>
        <w:spacing w:after="0"/>
        <w:ind w:left="709" w:hanging="709"/>
        <w:contextualSpacing/>
        <w:jc w:val="both"/>
        <w:rPr>
          <w:rFonts w:ascii="Times New Roman" w:hAnsi="Times New Roman" w:cs="Times New Roman"/>
          <w:sz w:val="20"/>
          <w:szCs w:val="20"/>
          <w:lang w:val="en-GB"/>
        </w:rPr>
      </w:pPr>
      <w:r w:rsidRPr="00D81879">
        <w:rPr>
          <w:rStyle w:val="FootnoteReference"/>
          <w:rFonts w:ascii="Times New Roman" w:hAnsi="Times New Roman" w:cs="Times New Roman"/>
          <w:sz w:val="20"/>
          <w:szCs w:val="20"/>
          <w:lang w:val="en-GB"/>
        </w:rPr>
        <w:footnoteRef/>
      </w:r>
      <w:r w:rsidRPr="00D81879">
        <w:rPr>
          <w:rFonts w:ascii="Times New Roman" w:hAnsi="Times New Roman" w:cs="Times New Roman"/>
          <w:sz w:val="20"/>
          <w:szCs w:val="20"/>
          <w:lang w:val="en-GB"/>
        </w:rPr>
        <w:tab/>
        <w:t xml:space="preserve">European Central Bank, </w:t>
      </w:r>
      <w:hyperlink r:id="rId45">
        <w:r w:rsidRPr="00D81879">
          <w:rPr>
            <w:rStyle w:val="Hyperlink"/>
            <w:rFonts w:ascii="Times New Roman" w:eastAsia="Aptos" w:hAnsi="Times New Roman" w:cs="Times New Roman"/>
            <w:i/>
            <w:iCs/>
            <w:sz w:val="20"/>
            <w:szCs w:val="20"/>
            <w:lang w:val="en-GB"/>
          </w:rPr>
          <w:t>Protecting depositors and saving money: Why deposit guarantee schemes in the EU should be able to support transfers of assets and liabilities when a bank fails</w:t>
        </w:r>
      </w:hyperlink>
      <w:r w:rsidRPr="00D81879">
        <w:rPr>
          <w:rFonts w:ascii="Times New Roman" w:eastAsia="Aptos" w:hAnsi="Times New Roman" w:cs="Times New Roman"/>
          <w:color w:val="000000" w:themeColor="text1"/>
          <w:sz w:val="20"/>
          <w:szCs w:val="20"/>
          <w:lang w:val="en-GB"/>
        </w:rPr>
        <w:t xml:space="preserve">, </w:t>
      </w:r>
      <w:r w:rsidR="00F26BD4" w:rsidRPr="00D81879">
        <w:rPr>
          <w:rFonts w:ascii="Times New Roman" w:hAnsi="Times New Roman" w:cs="Times New Roman"/>
          <w:sz w:val="20"/>
          <w:szCs w:val="20"/>
          <w:lang w:val="en-GB"/>
        </w:rPr>
        <w:t xml:space="preserve">Occasional Paper Series, </w:t>
      </w:r>
      <w:r w:rsidRPr="00D81879">
        <w:rPr>
          <w:rFonts w:ascii="Times New Roman" w:eastAsia="Aptos" w:hAnsi="Times New Roman" w:cs="Times New Roman"/>
          <w:color w:val="000000" w:themeColor="text1"/>
          <w:sz w:val="20"/>
          <w:szCs w:val="20"/>
          <w:lang w:val="en-GB"/>
        </w:rPr>
        <w:t>2023.</w:t>
      </w:r>
    </w:p>
  </w:footnote>
  <w:footnote w:id="73">
    <w:p w14:paraId="5CBDB4D7" w14:textId="6CFD83B2" w:rsidR="0057181C" w:rsidRPr="00D81879" w:rsidRDefault="0057181C"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r>
      <w:r w:rsidRPr="00D81879">
        <w:rPr>
          <w:rFonts w:ascii="Times New Roman" w:eastAsia="Times New Roman" w:hAnsi="Times New Roman" w:cs="Times New Roman"/>
          <w:lang w:val="en-GB"/>
        </w:rPr>
        <w:t xml:space="preserve">Simulations of the Joint Research Centre, </w:t>
      </w:r>
      <w:hyperlink r:id="rId46" w:history="1">
        <w:r w:rsidR="001465D0" w:rsidRPr="001465D0">
          <w:rPr>
            <w:rStyle w:val="Hyperlink"/>
            <w:rFonts w:ascii="Times New Roman" w:eastAsia="Times New Roman" w:hAnsi="Times New Roman" w:cs="Times New Roman"/>
          </w:rPr>
          <w:t>Quantitative analysis on selected deposits insurance issues for purposes of impact assessment</w:t>
        </w:r>
      </w:hyperlink>
      <w:r w:rsidRPr="00D81879">
        <w:rPr>
          <w:rFonts w:ascii="Times New Roman" w:eastAsia="Times New Roman" w:hAnsi="Times New Roman" w:cs="Times New Roman"/>
          <w:lang w:val="en-GB"/>
        </w:rPr>
        <w:t xml:space="preserve"> (2023) of a liquidity-only EDIS (fully pooled DGS resources but no loss mutualisation) and a hybrid EDIS (partially pooled DGS resources and mandatory lending of the remaining funds in national DGS, no loss mutualisation) confirms that pooling resources in a specific manner could reduce the amount of funds needed in the system.</w:t>
      </w:r>
    </w:p>
  </w:footnote>
  <w:footnote w:id="74">
    <w:p w14:paraId="74CF7E42" w14:textId="4403DB23" w:rsidR="0057181C" w:rsidRPr="00D81879" w:rsidRDefault="0057181C"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t xml:space="preserve">Financial Stability Board, </w:t>
      </w:r>
      <w:hyperlink r:id="rId47" w:history="1">
        <w:r w:rsidRPr="00D81879">
          <w:rPr>
            <w:rStyle w:val="Hyperlink"/>
            <w:rFonts w:ascii="Times New Roman" w:hAnsi="Times New Roman" w:cs="Times New Roman"/>
            <w:i/>
            <w:lang w:val="en-GB"/>
          </w:rPr>
          <w:t>2024 Resolution Report</w:t>
        </w:r>
      </w:hyperlink>
      <w:r w:rsidRPr="00D81879">
        <w:rPr>
          <w:rFonts w:ascii="Times New Roman" w:hAnsi="Times New Roman" w:cs="Times New Roman"/>
          <w:lang w:val="en-GB"/>
        </w:rPr>
        <w:t>, 2024.</w:t>
      </w:r>
    </w:p>
  </w:footnote>
  <w:footnote w:id="75">
    <w:p w14:paraId="572BA83B" w14:textId="11C37637" w:rsidR="0057181C" w:rsidRPr="00D81879" w:rsidRDefault="0057181C"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t xml:space="preserve">Financial Stability Board, </w:t>
      </w:r>
      <w:hyperlink r:id="rId48" w:history="1">
        <w:r w:rsidRPr="00D81879">
          <w:rPr>
            <w:rStyle w:val="Hyperlink"/>
            <w:rFonts w:ascii="Times New Roman" w:hAnsi="Times New Roman" w:cs="Times New Roman"/>
            <w:i/>
            <w:lang w:val="en-GB"/>
          </w:rPr>
          <w:t>Guiding principles on the temporary funding needed to support the orderly resolution of a global systemically important bank</w:t>
        </w:r>
      </w:hyperlink>
      <w:r w:rsidRPr="00D81879">
        <w:rPr>
          <w:rFonts w:ascii="Times New Roman" w:hAnsi="Times New Roman" w:cs="Times New Roman"/>
          <w:lang w:val="en-GB"/>
        </w:rPr>
        <w:t>, 2016.</w:t>
      </w:r>
    </w:p>
  </w:footnote>
  <w:footnote w:id="76">
    <w:p w14:paraId="556888A1" w14:textId="12A8B405" w:rsidR="00FB1DCF" w:rsidRPr="00D81879" w:rsidRDefault="00FB1DCF"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 xml:space="preserve"> </w:t>
      </w:r>
      <w:r w:rsidR="006F43E5">
        <w:rPr>
          <w:rFonts w:ascii="Times New Roman" w:hAnsi="Times New Roman" w:cs="Times New Roman"/>
          <w:lang w:val="en-GB"/>
        </w:rPr>
        <w:tab/>
      </w:r>
      <w:r w:rsidRPr="00D81879">
        <w:rPr>
          <w:rFonts w:ascii="Times New Roman" w:hAnsi="Times New Roman" w:cs="Times New Roman"/>
          <w:lang w:val="en-GB"/>
        </w:rPr>
        <w:t>Targeted Review of Internal Models</w:t>
      </w:r>
      <w:r w:rsidR="00BA31EF" w:rsidRPr="00D81879">
        <w:rPr>
          <w:rFonts w:ascii="Times New Roman" w:hAnsi="Times New Roman" w:cs="Times New Roman"/>
          <w:lang w:val="en-GB"/>
        </w:rPr>
        <w:t xml:space="preserve"> – see </w:t>
      </w:r>
      <w:r w:rsidR="00252624" w:rsidRPr="00D81879">
        <w:rPr>
          <w:rFonts w:ascii="Times New Roman" w:hAnsi="Times New Roman" w:cs="Times New Roman"/>
          <w:lang w:val="en-GB"/>
        </w:rPr>
        <w:t xml:space="preserve">here </w:t>
      </w:r>
      <w:r w:rsidR="00BA31EF" w:rsidRPr="00D81879">
        <w:rPr>
          <w:rFonts w:ascii="Times New Roman" w:hAnsi="Times New Roman" w:cs="Times New Roman"/>
          <w:lang w:val="en-GB"/>
        </w:rPr>
        <w:t>(</w:t>
      </w:r>
      <w:hyperlink r:id="rId49" w:history="1">
        <w:r w:rsidR="00252624" w:rsidRPr="00D81879">
          <w:rPr>
            <w:rStyle w:val="Hyperlink"/>
            <w:rFonts w:ascii="Times New Roman" w:hAnsi="Times New Roman" w:cs="Times New Roman"/>
            <w:lang w:val="en-GB"/>
          </w:rPr>
          <w:t>link</w:t>
        </w:r>
      </w:hyperlink>
      <w:r w:rsidR="00BA31EF" w:rsidRPr="00D81879">
        <w:rPr>
          <w:rFonts w:ascii="Times New Roman" w:hAnsi="Times New Roman" w:cs="Times New Roman"/>
          <w:lang w:val="en-GB"/>
        </w:rPr>
        <w:t>)</w:t>
      </w:r>
    </w:p>
  </w:footnote>
  <w:footnote w:id="77">
    <w:p w14:paraId="69AC54C3" w14:textId="6D0ED245" w:rsidR="00252624" w:rsidRPr="00D81879" w:rsidRDefault="00252624"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 xml:space="preserve"> </w:t>
      </w:r>
      <w:r w:rsidR="006F43E5">
        <w:rPr>
          <w:rFonts w:ascii="Times New Roman" w:hAnsi="Times New Roman" w:cs="Times New Roman"/>
          <w:lang w:val="en-GB"/>
        </w:rPr>
        <w:tab/>
      </w:r>
      <w:r w:rsidRPr="00D81879">
        <w:rPr>
          <w:rFonts w:ascii="Times New Roman" w:hAnsi="Times New Roman" w:cs="Times New Roman"/>
          <w:lang w:val="en-GB"/>
        </w:rPr>
        <w:t>Including model validation – see here (</w:t>
      </w:r>
      <w:hyperlink r:id="rId50" w:history="1">
        <w:r w:rsidRPr="00D81879">
          <w:rPr>
            <w:rStyle w:val="Hyperlink"/>
            <w:rFonts w:ascii="Times New Roman" w:hAnsi="Times New Roman" w:cs="Times New Roman"/>
            <w:lang w:val="en-GB"/>
          </w:rPr>
          <w:t>link</w:t>
        </w:r>
      </w:hyperlink>
      <w:r w:rsidRPr="00D81879">
        <w:rPr>
          <w:rFonts w:ascii="Times New Roman" w:hAnsi="Times New Roman" w:cs="Times New Roman"/>
          <w:lang w:val="en-GB"/>
        </w:rPr>
        <w:t>)</w:t>
      </w:r>
    </w:p>
  </w:footnote>
  <w:footnote w:id="78">
    <w:p w14:paraId="6A26AD34" w14:textId="69291F1E" w:rsidR="00D63D59" w:rsidRPr="007A2890" w:rsidRDefault="00D63D59" w:rsidP="007A2890">
      <w:pPr>
        <w:pStyle w:val="FootnoteText"/>
        <w:ind w:left="709" w:hanging="709"/>
        <w:contextualSpacing/>
        <w:jc w:val="both"/>
        <w:rPr>
          <w:rFonts w:ascii="Times New Roman" w:hAnsi="Times New Roman" w:cs="Times New Roman"/>
        </w:rPr>
      </w:pPr>
      <w:r w:rsidRPr="007A2890">
        <w:rPr>
          <w:rStyle w:val="FootnoteReference"/>
          <w:rFonts w:ascii="Times New Roman" w:hAnsi="Times New Roman" w:cs="Times New Roman"/>
        </w:rPr>
        <w:footnoteRef/>
      </w:r>
      <w:r w:rsidR="001E50B6">
        <w:rPr>
          <w:rFonts w:ascii="Times New Roman" w:hAnsi="Times New Roman" w:cs="Times New Roman"/>
        </w:rPr>
        <w:tab/>
      </w:r>
      <w:r w:rsidR="00404FD2" w:rsidRPr="007A2890">
        <w:rPr>
          <w:rFonts w:ascii="Times New Roman" w:hAnsi="Times New Roman" w:cs="Times New Roman"/>
        </w:rPr>
        <w:t xml:space="preserve">The non implementation of the output floor </w:t>
      </w:r>
      <w:r w:rsidR="001E50B6">
        <w:rPr>
          <w:rFonts w:ascii="Times New Roman" w:hAnsi="Times New Roman" w:cs="Times New Roman"/>
        </w:rPr>
        <w:t>by</w:t>
      </w:r>
      <w:r w:rsidR="00404FD2" w:rsidRPr="007A2890">
        <w:rPr>
          <w:rFonts w:ascii="Times New Roman" w:hAnsi="Times New Roman" w:cs="Times New Roman"/>
        </w:rPr>
        <w:t xml:space="preserve"> the US should be read </w:t>
      </w:r>
      <w:r w:rsidR="00E01ED5" w:rsidRPr="007A2890">
        <w:rPr>
          <w:rFonts w:ascii="Times New Roman" w:hAnsi="Times New Roman" w:cs="Times New Roman"/>
        </w:rPr>
        <w:t xml:space="preserve">in conjunction with the </w:t>
      </w:r>
      <w:r w:rsidR="005A7271" w:rsidRPr="007A2890">
        <w:rPr>
          <w:rFonts w:ascii="Times New Roman" w:hAnsi="Times New Roman" w:cs="Times New Roman"/>
        </w:rPr>
        <w:t xml:space="preserve">discontinuation of </w:t>
      </w:r>
      <w:r w:rsidR="0029664F" w:rsidRPr="007A2890">
        <w:rPr>
          <w:rFonts w:ascii="Times New Roman" w:hAnsi="Times New Roman" w:cs="Times New Roman"/>
        </w:rPr>
        <w:t>internal models in the area of credit risk</w:t>
      </w:r>
      <w:r w:rsidR="00914CAF">
        <w:rPr>
          <w:rFonts w:ascii="Times New Roman" w:hAnsi="Times New Roman" w:cs="Times New Roman"/>
        </w:rPr>
        <w:t xml:space="preserve"> and the presence of the Collins floor</w:t>
      </w:r>
      <w:r w:rsidR="001E50B6">
        <w:rPr>
          <w:rFonts w:ascii="Times New Roman" w:hAnsi="Times New Roman" w:cs="Times New Roman"/>
        </w:rPr>
        <w:t>.</w:t>
      </w:r>
    </w:p>
  </w:footnote>
  <w:footnote w:id="79">
    <w:p w14:paraId="038B68E4" w14:textId="699BA40D" w:rsidR="00FE67D4" w:rsidRPr="00D81879" w:rsidRDefault="00FE67D4" w:rsidP="006A0DF4">
      <w:pPr>
        <w:pStyle w:val="FootnoteText"/>
        <w:ind w:left="709" w:hanging="709"/>
        <w:contextualSpacing/>
        <w:rPr>
          <w:rFonts w:ascii="Times New Roman" w:hAnsi="Times New Roman" w:cs="Times New Roman"/>
        </w:rPr>
      </w:pPr>
      <w:r w:rsidRPr="00D81879">
        <w:rPr>
          <w:rStyle w:val="FootnoteReference"/>
          <w:rFonts w:ascii="Times New Roman" w:hAnsi="Times New Roman" w:cs="Times New Roman"/>
        </w:rPr>
        <w:footnoteRef/>
      </w:r>
      <w:r w:rsidR="006F43E5">
        <w:rPr>
          <w:rFonts w:ascii="Times New Roman" w:hAnsi="Times New Roman" w:cs="Times New Roman"/>
        </w:rPr>
        <w:tab/>
      </w:r>
      <w:r w:rsidR="00D46289" w:rsidRPr="00D81879">
        <w:rPr>
          <w:rFonts w:ascii="Times New Roman" w:hAnsi="Times New Roman" w:cs="Times New Roman"/>
        </w:rPr>
        <w:t xml:space="preserve">The June 2025 proposal on Securitisation aims to revive the securitisation market </w:t>
      </w:r>
      <w:r w:rsidR="00E01785" w:rsidRPr="00D81879">
        <w:rPr>
          <w:rFonts w:ascii="Times New Roman" w:hAnsi="Times New Roman" w:cs="Times New Roman"/>
        </w:rPr>
        <w:t>in the EU and offer EU player a more effective option in managing their balance sheet.</w:t>
      </w:r>
    </w:p>
  </w:footnote>
  <w:footnote w:id="80">
    <w:p w14:paraId="453D9EF5" w14:textId="12F184FB" w:rsidR="003246DF" w:rsidRPr="00D81879" w:rsidRDefault="003246DF"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00D6783C" w:rsidRPr="00D81879">
        <w:rPr>
          <w:rFonts w:ascii="Times New Roman" w:hAnsi="Times New Roman" w:cs="Times New Roman"/>
          <w:lang w:val="en-GB"/>
        </w:rPr>
        <w:tab/>
      </w:r>
      <w:r w:rsidRPr="00D81879">
        <w:rPr>
          <w:rFonts w:ascii="Times New Roman" w:hAnsi="Times New Roman" w:cs="Times New Roman"/>
          <w:lang w:val="en-GB"/>
        </w:rPr>
        <w:t>Basel III: Finalising post-crisis reforms, 7 December 2017 (https://www.bis.org/bcbs/publ/d424.htm)</w:t>
      </w:r>
    </w:p>
  </w:footnote>
  <w:footnote w:id="81">
    <w:p w14:paraId="0C68FA36" w14:textId="56874722" w:rsidR="002D0ED9" w:rsidRPr="00D81879" w:rsidRDefault="002D0ED9"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rPr>
        <w:footnoteRef/>
      </w:r>
      <w:r w:rsidR="00C21576" w:rsidRPr="00D81879">
        <w:rPr>
          <w:rFonts w:ascii="Times New Roman" w:hAnsi="Times New Roman" w:cs="Times New Roman"/>
        </w:rPr>
        <w:tab/>
      </w:r>
      <w:r w:rsidR="00C21576" w:rsidRPr="00D81879">
        <w:rPr>
          <w:rFonts w:ascii="Times New Roman" w:hAnsi="Times New Roman" w:cs="Times New Roman"/>
          <w:lang w:val="en-GB"/>
        </w:rPr>
        <w:t>See for example</w:t>
      </w:r>
      <w:r w:rsidR="006E3A23" w:rsidRPr="00D81879">
        <w:rPr>
          <w:rFonts w:ascii="Times New Roman" w:hAnsi="Times New Roman" w:cs="Times New Roman"/>
          <w:lang w:val="en-GB"/>
        </w:rPr>
        <w:t xml:space="preserve"> evidence from Moody’s analysis of long-term global infrastructure</w:t>
      </w:r>
      <w:r w:rsidR="006A435C" w:rsidRPr="00D81879">
        <w:rPr>
          <w:rFonts w:ascii="Times New Roman" w:hAnsi="Times New Roman" w:cs="Times New Roman"/>
          <w:lang w:val="en-GB"/>
        </w:rPr>
        <w:t>, which</w:t>
      </w:r>
      <w:r w:rsidR="006E3A23" w:rsidRPr="00D81879">
        <w:rPr>
          <w:rFonts w:ascii="Times New Roman" w:hAnsi="Times New Roman" w:cs="Times New Roman"/>
          <w:lang w:val="en-GB"/>
        </w:rPr>
        <w:t xml:space="preserve"> highlights a geographic divergence in credit resilience</w:t>
      </w:r>
      <w:r w:rsidR="00C21576" w:rsidRPr="00D81879">
        <w:rPr>
          <w:rFonts w:ascii="Times New Roman" w:hAnsi="Times New Roman" w:cs="Times New Roman"/>
          <w:lang w:val="en-GB"/>
        </w:rPr>
        <w:t xml:space="preserve"> </w:t>
      </w:r>
      <w:r w:rsidR="00041EDE" w:rsidRPr="00D81879">
        <w:rPr>
          <w:rFonts w:ascii="Times New Roman" w:hAnsi="Times New Roman" w:cs="Times New Roman"/>
          <w:lang w:val="en-GB"/>
        </w:rPr>
        <w:t xml:space="preserve">benefitting western Europe </w:t>
      </w:r>
      <w:r w:rsidR="008D175E" w:rsidRPr="00D81879">
        <w:rPr>
          <w:rFonts w:ascii="Times New Roman" w:hAnsi="Times New Roman" w:cs="Times New Roman"/>
          <w:lang w:val="en-GB"/>
        </w:rPr>
        <w:t>for</w:t>
      </w:r>
      <w:r w:rsidR="002359B7" w:rsidRPr="00D81879">
        <w:rPr>
          <w:rFonts w:ascii="Times New Roman" w:hAnsi="Times New Roman" w:cs="Times New Roman"/>
          <w:lang w:val="en-GB"/>
        </w:rPr>
        <w:t xml:space="preserve"> </w:t>
      </w:r>
      <w:r w:rsidR="00E83E45" w:rsidRPr="00D81879">
        <w:rPr>
          <w:rFonts w:ascii="Times New Roman" w:hAnsi="Times New Roman" w:cs="Times New Roman"/>
          <w:lang w:val="en-GB"/>
        </w:rPr>
        <w:t>Infrastructure Debt Default Rates</w:t>
      </w:r>
      <w:r w:rsidR="00542C67" w:rsidRPr="00D81879">
        <w:rPr>
          <w:rFonts w:ascii="Times New Roman" w:hAnsi="Times New Roman" w:cs="Times New Roman"/>
          <w:lang w:val="en-GB"/>
        </w:rPr>
        <w:t xml:space="preserve"> (September 2020 - </w:t>
      </w:r>
      <w:hyperlink r:id="rId51" w:history="1">
        <w:r w:rsidR="008630D8" w:rsidRPr="00D81879">
          <w:rPr>
            <w:rStyle w:val="Hyperlink"/>
            <w:rFonts w:ascii="Times New Roman" w:hAnsi="Times New Roman" w:cs="Times New Roman"/>
            <w:lang w:val="en-GB"/>
          </w:rPr>
          <w:t>https://www.gihub.org/infrastructure-monitor/insights/infrastructure-debt-default-rates-by-region/</w:t>
        </w:r>
      </w:hyperlink>
      <w:r w:rsidR="00542C67" w:rsidRPr="00D81879">
        <w:rPr>
          <w:rFonts w:ascii="Times New Roman" w:hAnsi="Times New Roman" w:cs="Times New Roman"/>
          <w:lang w:val="en-GB"/>
        </w:rPr>
        <w:t>)</w:t>
      </w:r>
      <w:r w:rsidR="008630D8" w:rsidRPr="00D81879">
        <w:rPr>
          <w:rFonts w:ascii="Times New Roman" w:hAnsi="Times New Roman" w:cs="Times New Roman"/>
          <w:lang w:val="en-GB"/>
        </w:rPr>
        <w:t xml:space="preserve">, or from </w:t>
      </w:r>
      <w:r w:rsidR="00765822" w:rsidRPr="00D81879">
        <w:rPr>
          <w:rFonts w:ascii="Times New Roman" w:hAnsi="Times New Roman" w:cs="Times New Roman"/>
          <w:lang w:val="en-GB"/>
        </w:rPr>
        <w:t xml:space="preserve">the International Chamber of Commerce (ICC) Trade Register, which </w:t>
      </w:r>
      <w:r w:rsidR="00F74A70" w:rsidRPr="00D81879">
        <w:rPr>
          <w:rFonts w:ascii="Times New Roman" w:hAnsi="Times New Roman" w:cs="Times New Roman"/>
          <w:lang w:val="en-GB"/>
        </w:rPr>
        <w:t xml:space="preserve">underlines </w:t>
      </w:r>
      <w:r w:rsidR="001C656A" w:rsidRPr="00D81879">
        <w:rPr>
          <w:rFonts w:ascii="Times New Roman" w:hAnsi="Times New Roman" w:cs="Times New Roman"/>
          <w:lang w:val="en-GB"/>
        </w:rPr>
        <w:t xml:space="preserve">European trade </w:t>
      </w:r>
      <w:r w:rsidR="00266FE5" w:rsidRPr="00D81879">
        <w:rPr>
          <w:rFonts w:ascii="Times New Roman" w:hAnsi="Times New Roman" w:cs="Times New Roman"/>
          <w:lang w:val="en-GB"/>
        </w:rPr>
        <w:t xml:space="preserve">and export credit transactions </w:t>
      </w:r>
      <w:r w:rsidR="00370FEB" w:rsidRPr="00D81879">
        <w:rPr>
          <w:rFonts w:ascii="Times New Roman" w:hAnsi="Times New Roman" w:cs="Times New Roman"/>
          <w:lang w:val="en-GB"/>
        </w:rPr>
        <w:t xml:space="preserve">as </w:t>
      </w:r>
      <w:r w:rsidR="00765822" w:rsidRPr="00D81879">
        <w:rPr>
          <w:rFonts w:ascii="Times New Roman" w:hAnsi="Times New Roman" w:cs="Times New Roman"/>
          <w:lang w:val="en-GB"/>
        </w:rPr>
        <w:t xml:space="preserve">consistently </w:t>
      </w:r>
      <w:r w:rsidR="00370FEB" w:rsidRPr="00D81879">
        <w:rPr>
          <w:rFonts w:ascii="Times New Roman" w:hAnsi="Times New Roman" w:cs="Times New Roman"/>
          <w:lang w:val="en-GB"/>
        </w:rPr>
        <w:t>exhibiting</w:t>
      </w:r>
      <w:r w:rsidR="00765822" w:rsidRPr="00D81879">
        <w:rPr>
          <w:rFonts w:ascii="Times New Roman" w:hAnsi="Times New Roman" w:cs="Times New Roman"/>
          <w:lang w:val="en-GB"/>
        </w:rPr>
        <w:t xml:space="preserve"> near-zero risk profile </w:t>
      </w:r>
      <w:r w:rsidR="0010033F" w:rsidRPr="00D81879">
        <w:rPr>
          <w:rFonts w:ascii="Times New Roman" w:hAnsi="Times New Roman" w:cs="Times New Roman"/>
          <w:lang w:val="en-GB"/>
        </w:rPr>
        <w:t>with regard to</w:t>
      </w:r>
      <w:r w:rsidR="00765822" w:rsidRPr="00D81879">
        <w:rPr>
          <w:rFonts w:ascii="Times New Roman" w:hAnsi="Times New Roman" w:cs="Times New Roman"/>
          <w:lang w:val="en-GB"/>
        </w:rPr>
        <w:t xml:space="preserve"> trade and commodity finance</w:t>
      </w:r>
      <w:r w:rsidR="0010033F" w:rsidRPr="00D81879">
        <w:rPr>
          <w:rFonts w:ascii="Times New Roman" w:hAnsi="Times New Roman" w:cs="Times New Roman"/>
          <w:lang w:val="en-GB"/>
        </w:rPr>
        <w:t xml:space="preserve"> (</w:t>
      </w:r>
      <w:r w:rsidR="00507ECA" w:rsidRPr="00D81879">
        <w:rPr>
          <w:rFonts w:ascii="Times New Roman" w:hAnsi="Times New Roman" w:cs="Times New Roman"/>
          <w:lang w:val="en-GB"/>
        </w:rPr>
        <w:t xml:space="preserve">November 2023 - </w:t>
      </w:r>
      <w:hyperlink r:id="rId52" w:history="1">
        <w:r w:rsidR="009E214A" w:rsidRPr="00CD3968">
          <w:rPr>
            <w:rStyle w:val="Hyperlink"/>
            <w:rFonts w:ascii="Times New Roman" w:hAnsi="Times New Roman" w:cs="Times New Roman"/>
            <w:lang w:val="en-GB"/>
          </w:rPr>
          <w:t>https://www.tradefinanceglobal.com/posts/breaking-trade-finance-default-rates-rise-icc-trade-finance-register/</w:t>
        </w:r>
      </w:hyperlink>
      <w:r w:rsidR="00A534A9" w:rsidRPr="00D81879">
        <w:rPr>
          <w:rFonts w:ascii="Times New Roman" w:hAnsi="Times New Roman" w:cs="Times New Roman"/>
          <w:lang w:val="en-GB"/>
        </w:rPr>
        <w:t>)</w:t>
      </w:r>
      <w:r w:rsidR="00780D4F" w:rsidRPr="00D81879">
        <w:rPr>
          <w:rFonts w:ascii="Times New Roman" w:hAnsi="Times New Roman" w:cs="Times New Roman"/>
          <w:lang w:val="en-GB"/>
        </w:rPr>
        <w:t>.</w:t>
      </w:r>
    </w:p>
  </w:footnote>
  <w:footnote w:id="82">
    <w:p w14:paraId="39DC69D6" w14:textId="1EC0B4CD" w:rsidR="00001ABA" w:rsidRPr="00D81879" w:rsidRDefault="00001ABA"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t>Financial instruments held by banks for trading purposes (e.g. shares, bonds, derivatives) are subject to market risk, that is the risk of losses due to decreases in the value of such instruments arising from adverse movements in market prices.</w:t>
      </w:r>
    </w:p>
  </w:footnote>
  <w:footnote w:id="83">
    <w:p w14:paraId="4769D066" w14:textId="02823E0D" w:rsidR="009D36B0" w:rsidRPr="00D81879" w:rsidRDefault="009D36B0"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r>
      <w:hyperlink r:id="rId53" w:anchor="page=52" w:history="1">
        <w:r w:rsidR="00886A98" w:rsidRPr="00D81879">
          <w:rPr>
            <w:rStyle w:val="Hyperlink"/>
            <w:rFonts w:ascii="Times New Roman" w:hAnsi="Times New Roman" w:cs="Times New Roman"/>
            <w:i/>
            <w:lang w:val="en-GB"/>
          </w:rPr>
          <w:t>Annual Report 2025: Promoting global financial stability</w:t>
        </w:r>
      </w:hyperlink>
      <w:r w:rsidR="00886A98" w:rsidRPr="00D81879">
        <w:rPr>
          <w:rFonts w:ascii="Times New Roman" w:hAnsi="Times New Roman" w:cs="Times New Roman"/>
          <w:lang w:val="en-GB"/>
        </w:rPr>
        <w:t>, Financial Stability Board, 2025 (page 52)</w:t>
      </w:r>
    </w:p>
  </w:footnote>
  <w:footnote w:id="84">
    <w:p w14:paraId="614DFB2A" w14:textId="77777777" w:rsidR="00452FFB" w:rsidRPr="00D81879" w:rsidRDefault="00452FFB"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t xml:space="preserve">Comprising: </w:t>
      </w:r>
    </w:p>
    <w:p w14:paraId="07A96D0D" w14:textId="0A8BE608" w:rsidR="00452FFB" w:rsidRPr="00D81879" w:rsidRDefault="00452FFB" w:rsidP="006A0DF4">
      <w:pPr>
        <w:pStyle w:val="FootnoteText"/>
        <w:numPr>
          <w:ilvl w:val="0"/>
          <w:numId w:val="38"/>
        </w:numPr>
        <w:ind w:left="1135" w:hanging="284"/>
        <w:contextualSpacing/>
        <w:rPr>
          <w:rFonts w:ascii="Times New Roman" w:hAnsi="Times New Roman" w:cs="Times New Roman"/>
          <w:lang w:val="en-GB"/>
        </w:rPr>
      </w:pPr>
      <w:r w:rsidRPr="00D81879">
        <w:rPr>
          <w:rFonts w:ascii="Times New Roman" w:hAnsi="Times New Roman" w:cs="Times New Roman"/>
          <w:lang w:val="en-GB"/>
        </w:rPr>
        <w:t>Capital Requirements Regulation</w:t>
      </w:r>
      <w:r w:rsidR="0014517E" w:rsidRPr="00D81879">
        <w:rPr>
          <w:rFonts w:ascii="Times New Roman" w:hAnsi="Times New Roman" w:cs="Times New Roman"/>
          <w:lang w:val="en-GB"/>
        </w:rPr>
        <w:t xml:space="preserve"> (Regulation EU 575/2013)</w:t>
      </w:r>
    </w:p>
    <w:p w14:paraId="09C949B1" w14:textId="17783B2E" w:rsidR="00452FFB" w:rsidRPr="00D81879" w:rsidRDefault="00452FFB" w:rsidP="006A0DF4">
      <w:pPr>
        <w:pStyle w:val="FootnoteText"/>
        <w:numPr>
          <w:ilvl w:val="0"/>
          <w:numId w:val="38"/>
        </w:numPr>
        <w:ind w:left="1135" w:hanging="284"/>
        <w:contextualSpacing/>
        <w:rPr>
          <w:rFonts w:ascii="Times New Roman" w:hAnsi="Times New Roman" w:cs="Times New Roman"/>
          <w:lang w:val="fr-FR"/>
        </w:rPr>
      </w:pPr>
      <w:r w:rsidRPr="00E11F77">
        <w:rPr>
          <w:rFonts w:ascii="Times New Roman" w:hAnsi="Times New Roman" w:cs="Times New Roman"/>
          <w:lang w:val="fr-BE"/>
        </w:rPr>
        <w:t>Capital</w:t>
      </w:r>
      <w:r w:rsidRPr="00D81879">
        <w:rPr>
          <w:rFonts w:ascii="Times New Roman" w:hAnsi="Times New Roman" w:cs="Times New Roman"/>
          <w:lang w:val="fr-FR"/>
        </w:rPr>
        <w:t xml:space="preserve"> Requirements Directive</w:t>
      </w:r>
      <w:r w:rsidR="0014517E" w:rsidRPr="00D81879">
        <w:rPr>
          <w:rFonts w:ascii="Times New Roman" w:hAnsi="Times New Roman" w:cs="Times New Roman"/>
          <w:lang w:val="fr-FR"/>
        </w:rPr>
        <w:t xml:space="preserve"> (</w:t>
      </w:r>
      <w:r w:rsidR="00F833A3" w:rsidRPr="00D81879">
        <w:rPr>
          <w:rFonts w:ascii="Times New Roman" w:hAnsi="Times New Roman" w:cs="Times New Roman"/>
          <w:lang w:val="fr-FR"/>
        </w:rPr>
        <w:t>Directive 2013/36/EU)</w:t>
      </w:r>
    </w:p>
    <w:p w14:paraId="0A1CC719" w14:textId="1D14DDD2" w:rsidR="00452FFB" w:rsidRPr="00D81879" w:rsidRDefault="00452FFB" w:rsidP="006A0DF4">
      <w:pPr>
        <w:pStyle w:val="FootnoteText"/>
        <w:numPr>
          <w:ilvl w:val="0"/>
          <w:numId w:val="38"/>
        </w:numPr>
        <w:ind w:left="1135" w:hanging="284"/>
        <w:contextualSpacing/>
        <w:rPr>
          <w:rFonts w:ascii="Times New Roman" w:hAnsi="Times New Roman" w:cs="Times New Roman"/>
          <w:lang w:val="en-GB"/>
        </w:rPr>
      </w:pPr>
      <w:r w:rsidRPr="00D81879">
        <w:rPr>
          <w:rFonts w:ascii="Times New Roman" w:hAnsi="Times New Roman" w:cs="Times New Roman"/>
          <w:lang w:val="en-GB"/>
        </w:rPr>
        <w:t>Bank Recovery and Resolution Directive</w:t>
      </w:r>
      <w:r w:rsidR="00F833A3" w:rsidRPr="00D81879">
        <w:rPr>
          <w:rFonts w:ascii="Times New Roman" w:hAnsi="Times New Roman" w:cs="Times New Roman"/>
          <w:lang w:val="en-GB"/>
        </w:rPr>
        <w:t xml:space="preserve"> (Directive 2014/59/EU)</w:t>
      </w:r>
    </w:p>
    <w:p w14:paraId="0D0EBB9D" w14:textId="3F295DC8" w:rsidR="00452FFB" w:rsidRPr="00D81879" w:rsidRDefault="00452FFB" w:rsidP="006A0DF4">
      <w:pPr>
        <w:pStyle w:val="FootnoteText"/>
        <w:numPr>
          <w:ilvl w:val="0"/>
          <w:numId w:val="38"/>
        </w:numPr>
        <w:ind w:left="1135" w:hanging="284"/>
        <w:contextualSpacing/>
        <w:rPr>
          <w:rFonts w:ascii="Times New Roman" w:hAnsi="Times New Roman" w:cs="Times New Roman"/>
          <w:lang w:val="en-GB"/>
        </w:rPr>
      </w:pPr>
      <w:r w:rsidRPr="00D81879">
        <w:rPr>
          <w:rFonts w:ascii="Times New Roman" w:hAnsi="Times New Roman" w:cs="Times New Roman"/>
          <w:lang w:val="en-GB"/>
        </w:rPr>
        <w:t>Deposit Gurantee Scheme Directive</w:t>
      </w:r>
      <w:r w:rsidR="00F833A3" w:rsidRPr="00D81879">
        <w:rPr>
          <w:rFonts w:ascii="Times New Roman" w:hAnsi="Times New Roman" w:cs="Times New Roman"/>
          <w:lang w:val="en-GB"/>
        </w:rPr>
        <w:t xml:space="preserve"> (Directive 2014/</w:t>
      </w:r>
      <w:r w:rsidR="00455CB8" w:rsidRPr="00D81879">
        <w:rPr>
          <w:rFonts w:ascii="Times New Roman" w:hAnsi="Times New Roman" w:cs="Times New Roman"/>
          <w:lang w:val="en-GB"/>
        </w:rPr>
        <w:t>49</w:t>
      </w:r>
      <w:r w:rsidR="00F833A3" w:rsidRPr="00D81879">
        <w:rPr>
          <w:rFonts w:ascii="Times New Roman" w:hAnsi="Times New Roman" w:cs="Times New Roman"/>
          <w:lang w:val="en-GB"/>
        </w:rPr>
        <w:t>/EU)</w:t>
      </w:r>
    </w:p>
    <w:p w14:paraId="09402BFD" w14:textId="531E2D48" w:rsidR="00452FFB" w:rsidRPr="00D81879" w:rsidRDefault="00452FFB" w:rsidP="006A0DF4">
      <w:pPr>
        <w:pStyle w:val="FootnoteText"/>
        <w:numPr>
          <w:ilvl w:val="0"/>
          <w:numId w:val="38"/>
        </w:numPr>
        <w:ind w:left="1135" w:hanging="284"/>
        <w:contextualSpacing/>
        <w:rPr>
          <w:rFonts w:ascii="Times New Roman" w:hAnsi="Times New Roman" w:cs="Times New Roman"/>
          <w:lang w:val="en-GB"/>
        </w:rPr>
      </w:pPr>
      <w:r w:rsidRPr="00D81879">
        <w:rPr>
          <w:rFonts w:ascii="Times New Roman" w:hAnsi="Times New Roman" w:cs="Times New Roman"/>
          <w:lang w:val="en-GB"/>
        </w:rPr>
        <w:t>Single Supervision Mechanism Regulation</w:t>
      </w:r>
      <w:r w:rsidR="00D61532" w:rsidRPr="00D81879">
        <w:rPr>
          <w:rFonts w:ascii="Times New Roman" w:hAnsi="Times New Roman" w:cs="Times New Roman"/>
          <w:lang w:val="en-GB"/>
        </w:rPr>
        <w:t xml:space="preserve"> (</w:t>
      </w:r>
      <w:r w:rsidR="003D3D55" w:rsidRPr="00D81879">
        <w:rPr>
          <w:rFonts w:ascii="Times New Roman" w:hAnsi="Times New Roman" w:cs="Times New Roman"/>
          <w:lang w:val="en-GB"/>
        </w:rPr>
        <w:t xml:space="preserve">Council </w:t>
      </w:r>
      <w:r w:rsidR="00D61532" w:rsidRPr="00D81879">
        <w:rPr>
          <w:rFonts w:ascii="Times New Roman" w:hAnsi="Times New Roman" w:cs="Times New Roman"/>
          <w:lang w:val="en-GB"/>
        </w:rPr>
        <w:t xml:space="preserve">Regulation </w:t>
      </w:r>
      <w:r w:rsidR="00A8291E" w:rsidRPr="00D81879">
        <w:rPr>
          <w:rFonts w:ascii="Times New Roman" w:hAnsi="Times New Roman" w:cs="Times New Roman"/>
          <w:lang w:val="en-GB"/>
        </w:rPr>
        <w:t>EU 1024/2013)</w:t>
      </w:r>
    </w:p>
    <w:p w14:paraId="36AB821F" w14:textId="23752842" w:rsidR="00452FFB" w:rsidRPr="00D81879" w:rsidRDefault="00452FFB" w:rsidP="006A0DF4">
      <w:pPr>
        <w:pStyle w:val="FootnoteText"/>
        <w:numPr>
          <w:ilvl w:val="0"/>
          <w:numId w:val="38"/>
        </w:numPr>
        <w:ind w:left="1135" w:hanging="284"/>
        <w:contextualSpacing/>
        <w:rPr>
          <w:rFonts w:ascii="Times New Roman" w:hAnsi="Times New Roman" w:cs="Times New Roman"/>
          <w:lang w:val="en-GB"/>
        </w:rPr>
      </w:pPr>
      <w:r w:rsidRPr="00D81879">
        <w:rPr>
          <w:rFonts w:ascii="Times New Roman" w:hAnsi="Times New Roman" w:cs="Times New Roman"/>
          <w:lang w:val="en-GB"/>
        </w:rPr>
        <w:t>Single Resolution Mechanism Regulation</w:t>
      </w:r>
      <w:r w:rsidR="00A8291E" w:rsidRPr="00D81879">
        <w:rPr>
          <w:rFonts w:ascii="Times New Roman" w:hAnsi="Times New Roman" w:cs="Times New Roman"/>
          <w:lang w:val="en-GB"/>
        </w:rPr>
        <w:t xml:space="preserve"> (Regulation EU 806/2014)</w:t>
      </w:r>
    </w:p>
  </w:footnote>
  <w:footnote w:id="85">
    <w:p w14:paraId="449A8E30" w14:textId="6F424C04" w:rsidR="001F1AB5" w:rsidRPr="00D81879" w:rsidRDefault="001F1AB5"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t>For example, the European Banking Authority published</w:t>
      </w:r>
      <w:r w:rsidR="002206FC" w:rsidRPr="00D81879">
        <w:rPr>
          <w:rFonts w:ascii="Times New Roman" w:hAnsi="Times New Roman" w:cs="Times New Roman"/>
          <w:lang w:val="en-GB"/>
        </w:rPr>
        <w:t>, in December 2023,</w:t>
      </w:r>
      <w:r w:rsidRPr="00D81879">
        <w:rPr>
          <w:rFonts w:ascii="Times New Roman" w:hAnsi="Times New Roman" w:cs="Times New Roman"/>
          <w:lang w:val="en-GB"/>
        </w:rPr>
        <w:t xml:space="preserve"> a </w:t>
      </w:r>
      <w:hyperlink r:id="rId54" w:history="1">
        <w:r w:rsidRPr="00D81879">
          <w:rPr>
            <w:rStyle w:val="Hyperlink"/>
            <w:rFonts w:ascii="Times New Roman" w:hAnsi="Times New Roman" w:cs="Times New Roman"/>
            <w:lang w:val="en-GB"/>
          </w:rPr>
          <w:t>roadmap</w:t>
        </w:r>
      </w:hyperlink>
      <w:r w:rsidRPr="00D81879">
        <w:rPr>
          <w:rFonts w:ascii="Times New Roman" w:hAnsi="Times New Roman" w:cs="Times New Roman"/>
          <w:lang w:val="en-GB"/>
        </w:rPr>
        <w:t xml:space="preserve"> </w:t>
      </w:r>
      <w:r w:rsidR="002F79D5" w:rsidRPr="00D81879">
        <w:rPr>
          <w:rFonts w:ascii="Times New Roman" w:hAnsi="Times New Roman" w:cs="Times New Roman"/>
          <w:lang w:val="en-GB"/>
        </w:rPr>
        <w:t>on the implementation of the EU Banking Package translating Basel 3 standards in EU law</w:t>
      </w:r>
      <w:r w:rsidR="00C75A8B" w:rsidRPr="00D81879">
        <w:rPr>
          <w:rFonts w:ascii="Times New Roman" w:hAnsi="Times New Roman" w:cs="Times New Roman"/>
          <w:lang w:val="en-GB"/>
        </w:rPr>
        <w:t xml:space="preserve">. </w:t>
      </w:r>
      <w:r w:rsidR="0042344A" w:rsidRPr="00D81879">
        <w:rPr>
          <w:rFonts w:ascii="Times New Roman" w:hAnsi="Times New Roman" w:cs="Times New Roman"/>
          <w:lang w:val="en-GB"/>
        </w:rPr>
        <w:t xml:space="preserve">This exercise included the preparation of 47 regulatory technical standards, </w:t>
      </w:r>
      <w:r w:rsidR="00963E6D" w:rsidRPr="00D81879">
        <w:rPr>
          <w:rFonts w:ascii="Times New Roman" w:hAnsi="Times New Roman" w:cs="Times New Roman"/>
          <w:lang w:val="en-GB"/>
        </w:rPr>
        <w:t xml:space="preserve">13 implementing technical standards, 29 guidelines and 36 reports, all stemming from the amendments </w:t>
      </w:r>
      <w:r w:rsidR="00E6088D" w:rsidRPr="00D81879">
        <w:rPr>
          <w:rFonts w:ascii="Times New Roman" w:hAnsi="Times New Roman" w:cs="Times New Roman"/>
          <w:lang w:val="en-GB"/>
        </w:rPr>
        <w:t>introduced in CRR and CRD during the legislative procedure.</w:t>
      </w:r>
    </w:p>
  </w:footnote>
  <w:footnote w:id="86">
    <w:p w14:paraId="6CABB9FF" w14:textId="77777777" w:rsidR="00452FFB" w:rsidRPr="00D81879" w:rsidRDefault="00452FFB"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r>
      <w:hyperlink r:id="rId55" w:history="1">
        <w:r w:rsidRPr="00D81879">
          <w:rPr>
            <w:rStyle w:val="Hyperlink"/>
            <w:rFonts w:ascii="Times New Roman" w:hAnsi="Times New Roman" w:cs="Times New Roman"/>
            <w:i/>
            <w:lang w:val="en-GB"/>
          </w:rPr>
          <w:t>De-priorisation of Level 2 acts in financial services legislation</w:t>
        </w:r>
      </w:hyperlink>
      <w:r w:rsidRPr="00D81879">
        <w:rPr>
          <w:rFonts w:ascii="Times New Roman" w:hAnsi="Times New Roman" w:cs="Times New Roman"/>
          <w:lang w:val="en-GB"/>
        </w:rPr>
        <w:t>, European Commission, October 2025</w:t>
      </w:r>
    </w:p>
  </w:footnote>
  <w:footnote w:id="87">
    <w:p w14:paraId="5E8F96A4" w14:textId="61E4E0F5" w:rsidR="00DE4890" w:rsidRPr="00D81879" w:rsidRDefault="00DE4890"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rPr>
        <w:footnoteRef/>
      </w:r>
      <w:r w:rsidR="00A64592" w:rsidRPr="00D81879">
        <w:rPr>
          <w:rFonts w:ascii="Times New Roman" w:hAnsi="Times New Roman" w:cs="Times New Roman"/>
        </w:rPr>
        <w:tab/>
        <w:t xml:space="preserve">ENISA’s threat landscape for the finance sector also helps to provide context and figures: </w:t>
      </w:r>
      <w:hyperlink r:id="rId56" w:history="1">
        <w:r w:rsidR="00A64592" w:rsidRPr="00D81879">
          <w:rPr>
            <w:rStyle w:val="Hyperlink"/>
            <w:rFonts w:ascii="Times New Roman" w:hAnsi="Times New Roman" w:cs="Times New Roman"/>
          </w:rPr>
          <w:t>ENISA Threat Landscape: Finance Sector | ENISA</w:t>
        </w:r>
      </w:hyperlink>
      <w:r w:rsidR="00A64592" w:rsidRPr="00D81879">
        <w:rPr>
          <w:rFonts w:ascii="Times New Roman" w:hAnsi="Times New Roman" w:cs="Times New Roman"/>
        </w:rPr>
        <w:t>.</w:t>
      </w:r>
    </w:p>
  </w:footnote>
  <w:footnote w:id="88">
    <w:p w14:paraId="578C6262" w14:textId="71D16CB7" w:rsidR="001803CB" w:rsidRPr="00D81879" w:rsidRDefault="001803CB"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t>Even if guidelines and recommendations are not intended to produce binding legal effects, courts are obliged to take them into consideration with a view to resolving the disputes submitted to them, in particular when they are intended to supplement binding European Union provisions (see, judgments of 13 December 1989, Grimaldi, C‑322/88, EU:C:1989:646, paragraph 18; of 11 September 2003, Altair Chimica, C‑207/01, EU:C:2003:451, paragraph 41; and of 15 September 2016, Koninklijke KPN and Others, C‑28/15, EU:C:2016:692, paragraph 41).</w:t>
      </w:r>
    </w:p>
  </w:footnote>
  <w:footnote w:id="89">
    <w:p w14:paraId="5902B19A" w14:textId="4DBF1ED9" w:rsidR="004F321B" w:rsidRPr="00D81879" w:rsidRDefault="004F321B"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006A171A" w:rsidRPr="00D81879">
        <w:rPr>
          <w:rFonts w:ascii="Times New Roman" w:hAnsi="Times New Roman" w:cs="Times New Roman"/>
          <w:lang w:val="en-GB"/>
        </w:rPr>
        <w:tab/>
      </w:r>
      <w:r w:rsidR="00D259C2" w:rsidRPr="00D81879">
        <w:rPr>
          <w:rFonts w:ascii="Times New Roman" w:hAnsi="Times New Roman" w:cs="Times New Roman"/>
          <w:lang w:val="en-GB"/>
        </w:rPr>
        <w:t xml:space="preserve">Capital Requirements Regulation (Regulation EU </w:t>
      </w:r>
      <w:r w:rsidR="006A171A" w:rsidRPr="00D81879">
        <w:rPr>
          <w:rFonts w:ascii="Times New Roman" w:hAnsi="Times New Roman" w:cs="Times New Roman"/>
          <w:lang w:val="en-GB"/>
        </w:rPr>
        <w:t>No 575/2013)</w:t>
      </w:r>
      <w:r w:rsidR="00A441BF" w:rsidRPr="00D81879">
        <w:rPr>
          <w:rFonts w:ascii="Times New Roman" w:hAnsi="Times New Roman" w:cs="Times New Roman"/>
          <w:lang w:val="en-GB"/>
        </w:rPr>
        <w:t>.</w:t>
      </w:r>
    </w:p>
  </w:footnote>
  <w:footnote w:id="90">
    <w:p w14:paraId="46AFE8F6" w14:textId="380F4160" w:rsidR="003313BF" w:rsidRPr="00D81879" w:rsidRDefault="003313BF"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t>Bank Recovery and Resolution Direction (Directive EU 2014/59/EU)</w:t>
      </w:r>
      <w:r w:rsidR="00A441BF" w:rsidRPr="00D81879">
        <w:rPr>
          <w:rFonts w:ascii="Times New Roman" w:hAnsi="Times New Roman" w:cs="Times New Roman"/>
          <w:lang w:val="en-GB"/>
        </w:rPr>
        <w:t>.</w:t>
      </w:r>
    </w:p>
  </w:footnote>
  <w:footnote w:id="91">
    <w:p w14:paraId="4A403B87" w14:textId="7F5DFF1A" w:rsidR="00591A49" w:rsidRPr="00D81879" w:rsidRDefault="00591A49"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t xml:space="preserve">Source: </w:t>
      </w:r>
      <w:hyperlink r:id="rId57" w:history="1">
        <w:r w:rsidRPr="00D81879">
          <w:rPr>
            <w:rStyle w:val="Hyperlink"/>
            <w:rFonts w:ascii="Times New Roman" w:hAnsi="Times New Roman" w:cs="Times New Roman"/>
            <w:lang w:val="en-GB"/>
          </w:rPr>
          <w:t>Eur-Lex</w:t>
        </w:r>
      </w:hyperlink>
      <w:r w:rsidR="002D0E7F" w:rsidRPr="00D81879">
        <w:rPr>
          <w:rFonts w:ascii="Times New Roman" w:hAnsi="Times New Roman" w:cs="Times New Roman"/>
          <w:lang w:val="en-GB"/>
        </w:rPr>
        <w:t xml:space="preserve"> </w:t>
      </w:r>
      <w:r w:rsidRPr="00D81879">
        <w:rPr>
          <w:rFonts w:ascii="Times New Roman" w:hAnsi="Times New Roman" w:cs="Times New Roman"/>
          <w:lang w:val="en-GB"/>
        </w:rPr>
        <w:t>.</w:t>
      </w:r>
    </w:p>
  </w:footnote>
  <w:footnote w:id="92">
    <w:p w14:paraId="6D847098" w14:textId="41161E2D" w:rsidR="00864FBD" w:rsidRPr="00D81879" w:rsidRDefault="00864FBD"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t xml:space="preserve">Such as the European Securities Market Authorities, </w:t>
      </w:r>
      <w:r w:rsidR="00E513B1" w:rsidRPr="00D81879">
        <w:rPr>
          <w:rFonts w:ascii="Times New Roman" w:hAnsi="Times New Roman" w:cs="Times New Roman"/>
          <w:lang w:val="en-GB"/>
        </w:rPr>
        <w:t>the Anti-Money Laundering Authority and its counterparts at national level</w:t>
      </w:r>
      <w:r w:rsidR="0051503F" w:rsidRPr="00D81879">
        <w:rPr>
          <w:rFonts w:ascii="Times New Roman" w:hAnsi="Times New Roman" w:cs="Times New Roman"/>
          <w:lang w:val="en-GB"/>
        </w:rPr>
        <w:t>, etc.</w:t>
      </w:r>
    </w:p>
  </w:footnote>
  <w:footnote w:id="93">
    <w:p w14:paraId="717A086E" w14:textId="3C4BD1D9" w:rsidR="00863B13" w:rsidRPr="00D81879" w:rsidRDefault="00863B13" w:rsidP="006A0DF4">
      <w:pPr>
        <w:pStyle w:val="FootnoteText"/>
        <w:ind w:left="709" w:hanging="709"/>
        <w:contextualSpacing/>
        <w:jc w:val="both"/>
        <w:rPr>
          <w:rFonts w:ascii="Times New Roman" w:hAnsi="Times New Roman" w:cs="Times New Roman"/>
        </w:rPr>
      </w:pPr>
      <w:r w:rsidRPr="00D81879">
        <w:rPr>
          <w:rStyle w:val="FootnoteReference"/>
          <w:rFonts w:ascii="Times New Roman" w:hAnsi="Times New Roman" w:cs="Times New Roman"/>
        </w:rPr>
        <w:footnoteRef/>
      </w:r>
      <w:r w:rsidR="00EE3BEB">
        <w:rPr>
          <w:rFonts w:ascii="Times New Roman" w:hAnsi="Times New Roman" w:cs="Times New Roman"/>
        </w:rPr>
        <w:tab/>
      </w:r>
      <w:r w:rsidR="00EE4FCC" w:rsidRPr="00D81879">
        <w:rPr>
          <w:rFonts w:ascii="Times New Roman" w:hAnsi="Times New Roman" w:cs="Times New Roman"/>
        </w:rPr>
        <w:t>E.g. Directive (EU) 2021/2167 of the European Parliament and of the Council of 24 November 2021 on credit servicers and credit purchasers and amending Directives 2008/48/EC and 2014/17/EU.</w:t>
      </w:r>
    </w:p>
  </w:footnote>
  <w:footnote w:id="94">
    <w:p w14:paraId="0E1B6F30" w14:textId="43BE40BB" w:rsidR="00863B13" w:rsidRPr="00D81879" w:rsidRDefault="00863B13" w:rsidP="006A0DF4">
      <w:pPr>
        <w:pStyle w:val="FootnoteText"/>
        <w:ind w:left="709" w:hanging="709"/>
        <w:contextualSpacing/>
        <w:jc w:val="both"/>
        <w:rPr>
          <w:rFonts w:ascii="Times New Roman" w:hAnsi="Times New Roman" w:cs="Times New Roman"/>
        </w:rPr>
      </w:pPr>
      <w:r w:rsidRPr="00D81879">
        <w:rPr>
          <w:rStyle w:val="FootnoteReference"/>
          <w:rFonts w:ascii="Times New Roman" w:hAnsi="Times New Roman" w:cs="Times New Roman"/>
        </w:rPr>
        <w:footnoteRef/>
      </w:r>
      <w:r w:rsidR="00EE3BEB">
        <w:rPr>
          <w:rFonts w:ascii="Times New Roman" w:hAnsi="Times New Roman" w:cs="Times New Roman"/>
        </w:rPr>
        <w:tab/>
      </w:r>
      <w:r w:rsidR="009A58EE" w:rsidRPr="00D81879">
        <w:rPr>
          <w:rFonts w:ascii="Times New Roman" w:hAnsi="Times New Roman" w:cs="Times New Roman"/>
        </w:rPr>
        <w:t xml:space="preserve">E.g. </w:t>
      </w:r>
      <w:hyperlink r:id="rId58" w:history="1">
        <w:r w:rsidR="009A58EE" w:rsidRPr="00D81879">
          <w:rPr>
            <w:rStyle w:val="Hyperlink"/>
            <w:rFonts w:ascii="Times New Roman" w:hAnsi="Times New Roman" w:cs="Times New Roman"/>
          </w:rPr>
          <w:t>C(2022) 7277 final</w:t>
        </w:r>
        <w:r w:rsidR="00F705FF" w:rsidRPr="00D81879">
          <w:rPr>
            <w:rStyle w:val="Hyperlink"/>
            <w:rFonts w:ascii="Times New Roman" w:hAnsi="Times New Roman" w:cs="Times New Roman"/>
          </w:rPr>
          <w:t>,</w:t>
        </w:r>
        <w:r w:rsidR="000B365E" w:rsidRPr="00D81879">
          <w:rPr>
            <w:rStyle w:val="Hyperlink"/>
            <w:rFonts w:ascii="Times New Roman" w:hAnsi="Times New Roman" w:cs="Times New Roman"/>
          </w:rPr>
          <w:t xml:space="preserve"> Guidelines for a best-execution process for sales of non-performing loans on secondary markets</w:t>
        </w:r>
      </w:hyperlink>
      <w:r w:rsidR="009A58EE" w:rsidRPr="00D81879">
        <w:rPr>
          <w:rFonts w:ascii="Times New Roman" w:hAnsi="Times New Roman" w:cs="Times New Roman"/>
        </w:rPr>
        <w:t>.</w:t>
      </w:r>
    </w:p>
  </w:footnote>
  <w:footnote w:id="95">
    <w:p w14:paraId="51333A38" w14:textId="74C62A09" w:rsidR="00863B13" w:rsidRPr="00D81879" w:rsidRDefault="00863B13" w:rsidP="006A0DF4">
      <w:pPr>
        <w:pStyle w:val="FootnoteText"/>
        <w:ind w:left="709" w:hanging="709"/>
        <w:contextualSpacing/>
        <w:jc w:val="both"/>
        <w:rPr>
          <w:rFonts w:ascii="Times New Roman" w:hAnsi="Times New Roman" w:cs="Times New Roman"/>
        </w:rPr>
      </w:pPr>
      <w:r w:rsidRPr="00D81879">
        <w:rPr>
          <w:rStyle w:val="FootnoteReference"/>
          <w:rFonts w:ascii="Times New Roman" w:hAnsi="Times New Roman" w:cs="Times New Roman"/>
        </w:rPr>
        <w:footnoteRef/>
      </w:r>
      <w:r w:rsidR="00EE3BEB">
        <w:rPr>
          <w:rFonts w:ascii="Times New Roman" w:hAnsi="Times New Roman" w:cs="Times New Roman"/>
        </w:rPr>
        <w:tab/>
      </w:r>
      <w:r w:rsidR="00785A07" w:rsidRPr="00D81879">
        <w:rPr>
          <w:rFonts w:ascii="Times New Roman" w:hAnsi="Times New Roman" w:cs="Times New Roman"/>
        </w:rPr>
        <w:t>Regulation (EU) 2019/630 of the European Parliament and of the Council of 17 April 2019 amending Regulation (EU) No 575/2013 as regards minimum loss coverage for non-performing exposures.</w:t>
      </w:r>
    </w:p>
  </w:footnote>
  <w:footnote w:id="96">
    <w:p w14:paraId="3B9EA695" w14:textId="71478EE2" w:rsidR="00863B13" w:rsidRPr="00D81879" w:rsidRDefault="00863B13" w:rsidP="006A0DF4">
      <w:pPr>
        <w:pStyle w:val="FootnoteText"/>
        <w:ind w:left="709" w:hanging="709"/>
        <w:contextualSpacing/>
        <w:jc w:val="both"/>
        <w:rPr>
          <w:rFonts w:ascii="Times New Roman" w:hAnsi="Times New Roman" w:cs="Times New Roman"/>
        </w:rPr>
      </w:pPr>
      <w:r w:rsidRPr="00D81879">
        <w:rPr>
          <w:rStyle w:val="FootnoteReference"/>
          <w:rFonts w:ascii="Times New Roman" w:hAnsi="Times New Roman" w:cs="Times New Roman"/>
        </w:rPr>
        <w:footnoteRef/>
      </w:r>
      <w:r w:rsidR="00EE3BEB">
        <w:rPr>
          <w:rFonts w:ascii="Times New Roman" w:hAnsi="Times New Roman" w:cs="Times New Roman"/>
        </w:rPr>
        <w:tab/>
      </w:r>
      <w:r w:rsidR="00200A4B" w:rsidRPr="00D81879">
        <w:rPr>
          <w:rFonts w:ascii="Times New Roman" w:hAnsi="Times New Roman" w:cs="Times New Roman"/>
        </w:rPr>
        <w:t>EBA/GL/2016/07.</w:t>
      </w:r>
    </w:p>
  </w:footnote>
  <w:footnote w:id="97">
    <w:p w14:paraId="1F549A0F" w14:textId="77777777" w:rsidR="00E7351E" w:rsidRPr="00D81879" w:rsidRDefault="00E7351E"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t>Commission Delegated Regulation (EU) No 241/2014 of 7 January 2014 supplementing Regulation (EU) No 575/2013 of the European Parliament and of the Council with regard to regulatory technical standards for own funds and eligible liabilities requirements for institutions, OJ L 74, 14.3.2014, pp. 8–26.</w:t>
      </w:r>
    </w:p>
  </w:footnote>
  <w:footnote w:id="98">
    <w:p w14:paraId="0BA6E5C1" w14:textId="10EFDF4A" w:rsidR="00E7351E" w:rsidRPr="00D81879" w:rsidRDefault="00E7351E"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Pr="00D81879">
        <w:rPr>
          <w:rFonts w:ascii="Times New Roman" w:hAnsi="Times New Roman" w:cs="Times New Roman"/>
          <w:lang w:val="en-GB"/>
        </w:rPr>
        <w:tab/>
      </w:r>
      <w:r w:rsidR="00617A44" w:rsidRPr="00D81879">
        <w:rPr>
          <w:rFonts w:ascii="Times New Roman" w:hAnsi="Times New Roman" w:cs="Times New Roman"/>
          <w:lang w:val="en-GB"/>
        </w:rPr>
        <w:t xml:space="preserve">Single Resolution Board, </w:t>
      </w:r>
      <w:hyperlink r:id="rId59" w:history="1">
        <w:r w:rsidRPr="00D81879">
          <w:rPr>
            <w:rStyle w:val="Hyperlink"/>
            <w:rFonts w:ascii="Times New Roman" w:hAnsi="Times New Roman" w:cs="Times New Roman"/>
            <w:i/>
            <w:lang w:val="en-GB"/>
          </w:rPr>
          <w:t>SRB’s approach to simplification</w:t>
        </w:r>
      </w:hyperlink>
      <w:r w:rsidRPr="00D81879">
        <w:rPr>
          <w:rFonts w:ascii="Times New Roman" w:hAnsi="Times New Roman" w:cs="Times New Roman"/>
          <w:lang w:val="en-GB"/>
        </w:rPr>
        <w:t>, 2025.</w:t>
      </w:r>
    </w:p>
  </w:footnote>
  <w:footnote w:id="99">
    <w:p w14:paraId="177D9776" w14:textId="1CB3C5B5" w:rsidR="00D716F7" w:rsidRPr="00D81879" w:rsidRDefault="00D716F7" w:rsidP="006A0DF4">
      <w:pPr>
        <w:spacing w:after="0"/>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sz w:val="20"/>
          <w:szCs w:val="20"/>
          <w:lang w:val="en-GB"/>
        </w:rPr>
        <w:footnoteRef/>
      </w:r>
      <w:r w:rsidRPr="00D81879">
        <w:rPr>
          <w:rFonts w:ascii="Times New Roman" w:hAnsi="Times New Roman" w:cs="Times New Roman"/>
          <w:sz w:val="20"/>
          <w:szCs w:val="20"/>
          <w:lang w:val="en-GB"/>
        </w:rPr>
        <w:tab/>
      </w:r>
      <w:r w:rsidRPr="00D81879">
        <w:rPr>
          <w:rFonts w:ascii="Times New Roman" w:hAnsi="Times New Roman" w:cs="Times New Roman"/>
          <w:i/>
          <w:sz w:val="20"/>
          <w:szCs w:val="20"/>
          <w:lang w:val="en-GB"/>
        </w:rPr>
        <w:t xml:space="preserve">Between Consistency and Discretion: A Study of National Practices in Setting Capital Requirements for Systemically Important Financial Institutions, </w:t>
      </w:r>
      <w:r w:rsidRPr="00D81879">
        <w:rPr>
          <w:rFonts w:ascii="Times New Roman" w:hAnsi="Times New Roman" w:cs="Times New Roman"/>
          <w:sz w:val="20"/>
          <w:szCs w:val="20"/>
          <w:lang w:val="en-GB"/>
        </w:rPr>
        <w:t xml:space="preserve">2026. </w:t>
      </w:r>
    </w:p>
  </w:footnote>
  <w:footnote w:id="100">
    <w:p w14:paraId="6C6F9D3E" w14:textId="0E4F0E27" w:rsidR="00664179" w:rsidRPr="00D81879" w:rsidRDefault="00664179" w:rsidP="00EE3BEB">
      <w:pPr>
        <w:spacing w:after="0"/>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sz w:val="20"/>
          <w:szCs w:val="20"/>
          <w:lang w:val="en-GB"/>
        </w:rPr>
        <w:footnoteRef/>
      </w:r>
      <w:r w:rsidRPr="00D81879">
        <w:rPr>
          <w:rFonts w:ascii="Times New Roman" w:hAnsi="Times New Roman" w:cs="Times New Roman"/>
          <w:sz w:val="20"/>
          <w:szCs w:val="20"/>
          <w:lang w:val="en-GB"/>
        </w:rPr>
        <w:tab/>
        <w:t xml:space="preserve">In particular </w:t>
      </w:r>
      <w:hyperlink r:id="rId60" w:history="1">
        <w:r w:rsidRPr="00D81879">
          <w:rPr>
            <w:rStyle w:val="Hyperlink"/>
            <w:rFonts w:ascii="Times New Roman" w:hAnsi="Times New Roman" w:cs="Times New Roman"/>
            <w:i/>
            <w:sz w:val="20"/>
            <w:szCs w:val="20"/>
            <w:lang w:val="en-GB"/>
          </w:rPr>
          <w:t>Report of the Analytical Task Force on the overlap between capital buffers and minimum requirements</w:t>
        </w:r>
      </w:hyperlink>
      <w:r w:rsidRPr="00D81879">
        <w:rPr>
          <w:rFonts w:ascii="Times New Roman" w:hAnsi="Times New Roman" w:cs="Times New Roman"/>
          <w:i/>
          <w:sz w:val="20"/>
          <w:szCs w:val="20"/>
          <w:lang w:val="en-GB"/>
        </w:rPr>
        <w:t xml:space="preserve">, </w:t>
      </w:r>
      <w:r w:rsidRPr="00D81879">
        <w:rPr>
          <w:rFonts w:ascii="Times New Roman" w:hAnsi="Times New Roman" w:cs="Times New Roman"/>
          <w:sz w:val="20"/>
          <w:szCs w:val="20"/>
          <w:lang w:val="en-GB"/>
        </w:rPr>
        <w:t xml:space="preserve">ESRB, December 2021, </w:t>
      </w:r>
      <w:hyperlink r:id="rId61" w:history="1">
        <w:r w:rsidRPr="00D81879">
          <w:rPr>
            <w:rStyle w:val="Hyperlink"/>
            <w:rFonts w:ascii="Times New Roman" w:hAnsi="Times New Roman" w:cs="Times New Roman"/>
            <w:i/>
            <w:sz w:val="20"/>
            <w:szCs w:val="20"/>
            <w:lang w:val="en-GB"/>
          </w:rPr>
          <w:t>Buffer usability and cyclicality in the Basel framework</w:t>
        </w:r>
      </w:hyperlink>
      <w:r w:rsidRPr="00D81879">
        <w:rPr>
          <w:rFonts w:ascii="Times New Roman" w:hAnsi="Times New Roman" w:cs="Times New Roman"/>
          <w:sz w:val="20"/>
          <w:szCs w:val="20"/>
          <w:lang w:val="en-GB"/>
        </w:rPr>
        <w:t xml:space="preserve">, BCBS, October 2022 and De Bosio, R. and Loiacono, G. (2022) </w:t>
      </w:r>
      <w:hyperlink r:id="rId62" w:history="1">
        <w:r w:rsidRPr="00D81879">
          <w:rPr>
            <w:rStyle w:val="Hyperlink"/>
            <w:rFonts w:ascii="Times New Roman" w:hAnsi="Times New Roman" w:cs="Times New Roman"/>
            <w:i/>
            <w:sz w:val="20"/>
            <w:szCs w:val="20"/>
            <w:lang w:val="en-GB"/>
          </w:rPr>
          <w:t>Measures of banks’ capital buffer usability under prudential and resolution requirements in the Banking Union</w:t>
        </w:r>
      </w:hyperlink>
      <w:r w:rsidRPr="00D81879">
        <w:rPr>
          <w:rFonts w:ascii="Times New Roman" w:hAnsi="Times New Roman" w:cs="Times New Roman"/>
          <w:i/>
          <w:sz w:val="20"/>
          <w:szCs w:val="20"/>
          <w:lang w:val="en-GB"/>
        </w:rPr>
        <w:t xml:space="preserve">, </w:t>
      </w:r>
      <w:r w:rsidRPr="00D81879">
        <w:rPr>
          <w:rFonts w:ascii="Times New Roman" w:hAnsi="Times New Roman" w:cs="Times New Roman"/>
          <w:sz w:val="20"/>
          <w:szCs w:val="20"/>
          <w:lang w:val="en-GB"/>
        </w:rPr>
        <w:t xml:space="preserve">SRB Working Paper No. 2. </w:t>
      </w:r>
      <w:r w:rsidR="0086338D" w:rsidRPr="00D81879">
        <w:rPr>
          <w:rFonts w:ascii="Times New Roman" w:hAnsi="Times New Roman" w:cs="Times New Roman"/>
          <w:sz w:val="20"/>
          <w:szCs w:val="20"/>
          <w:lang w:val="en-GB"/>
        </w:rPr>
        <w:t>It should be noted, however, that even in the absence of constraints from parallel requirements, banks may still be reluctant to draw down their buffers. This reluctance can stem from potential market and supervisory reactions, as well as concerns about the need to replenish buffers.</w:t>
      </w:r>
      <w:r w:rsidR="00140F6C" w:rsidRPr="00D81879">
        <w:rPr>
          <w:rFonts w:ascii="Times New Roman" w:hAnsi="Times New Roman" w:cs="Times New Roman"/>
          <w:sz w:val="20"/>
          <w:szCs w:val="20"/>
          <w:lang w:val="en-GB"/>
        </w:rPr>
        <w:t xml:space="preserve"> </w:t>
      </w:r>
      <w:r w:rsidR="0086338D" w:rsidRPr="00D81879">
        <w:rPr>
          <w:rFonts w:ascii="Times New Roman" w:hAnsi="Times New Roman" w:cs="Times New Roman"/>
          <w:sz w:val="20"/>
          <w:szCs w:val="20"/>
          <w:lang w:val="en-GB"/>
        </w:rPr>
        <w:t xml:space="preserve">From a market perspective, a decline in CET1 ratios </w:t>
      </w:r>
      <w:r w:rsidR="00140F6C" w:rsidRPr="00D81879">
        <w:rPr>
          <w:rFonts w:ascii="Times New Roman" w:hAnsi="Times New Roman" w:cs="Times New Roman"/>
          <w:sz w:val="20"/>
          <w:szCs w:val="20"/>
          <w:lang w:val="en-GB"/>
        </w:rPr>
        <w:t xml:space="preserve">associated with buffer breach </w:t>
      </w:r>
      <w:r w:rsidR="0086338D" w:rsidRPr="00D81879">
        <w:rPr>
          <w:rFonts w:ascii="Times New Roman" w:hAnsi="Times New Roman" w:cs="Times New Roman"/>
          <w:sz w:val="20"/>
          <w:szCs w:val="20"/>
          <w:lang w:val="en-GB"/>
        </w:rPr>
        <w:t>may be interpreted as an increase in default risk, potentially leading to higher funding costs or credit rating downgrades. In addition, restrictions on dividends and AT1 coupon payments may be viewed unfavourably by investors.</w:t>
      </w:r>
      <w:r w:rsidR="009A13B4" w:rsidRPr="00D81879">
        <w:rPr>
          <w:rFonts w:ascii="Times New Roman" w:hAnsi="Times New Roman" w:cs="Times New Roman"/>
          <w:sz w:val="20"/>
          <w:szCs w:val="20"/>
          <w:lang w:val="en-GB"/>
        </w:rPr>
        <w:t xml:space="preserve"> </w:t>
      </w:r>
      <w:r w:rsidR="0086338D" w:rsidRPr="00D81879">
        <w:rPr>
          <w:rFonts w:ascii="Times New Roman" w:hAnsi="Times New Roman" w:cs="Times New Roman"/>
          <w:sz w:val="20"/>
          <w:szCs w:val="20"/>
          <w:lang w:val="en-GB"/>
        </w:rPr>
        <w:t xml:space="preserve">From a supervisory standpoint, drawing down buffers—and the associated requirement to submit a capital conservation plan—may subject banks to increased </w:t>
      </w:r>
      <w:r w:rsidR="009A13B4" w:rsidRPr="00D81879">
        <w:rPr>
          <w:rFonts w:ascii="Times New Roman" w:hAnsi="Times New Roman" w:cs="Times New Roman"/>
          <w:sz w:val="20"/>
          <w:szCs w:val="20"/>
          <w:lang w:val="en-GB"/>
        </w:rPr>
        <w:t xml:space="preserve">supervisory </w:t>
      </w:r>
      <w:r w:rsidR="0086338D" w:rsidRPr="00D81879">
        <w:rPr>
          <w:rFonts w:ascii="Times New Roman" w:hAnsi="Times New Roman" w:cs="Times New Roman"/>
          <w:sz w:val="20"/>
          <w:szCs w:val="20"/>
          <w:lang w:val="en-GB"/>
        </w:rPr>
        <w:t>scrutiny.</w:t>
      </w:r>
      <w:r w:rsidR="009A13B4" w:rsidRPr="00D81879">
        <w:rPr>
          <w:rFonts w:ascii="Times New Roman" w:hAnsi="Times New Roman" w:cs="Times New Roman"/>
          <w:sz w:val="20"/>
          <w:szCs w:val="20"/>
          <w:lang w:val="en-GB"/>
        </w:rPr>
        <w:t xml:space="preserve"> </w:t>
      </w:r>
      <w:r w:rsidR="0086338D" w:rsidRPr="00D81879">
        <w:rPr>
          <w:rFonts w:ascii="Times New Roman" w:hAnsi="Times New Roman" w:cs="Times New Roman"/>
          <w:sz w:val="20"/>
          <w:szCs w:val="20"/>
          <w:lang w:val="en-GB"/>
        </w:rPr>
        <w:t>Finally, if buffers are expected to be replenished quickly, the benefits of using them may be limited, further reducing banks’ willingness to do so.</w:t>
      </w:r>
      <w:r w:rsidR="000C36EB" w:rsidRPr="00D81879">
        <w:rPr>
          <w:rFonts w:ascii="Times New Roman" w:hAnsi="Times New Roman" w:cs="Times New Roman"/>
          <w:sz w:val="20"/>
          <w:szCs w:val="20"/>
          <w:lang w:val="en-GB"/>
        </w:rPr>
        <w:t xml:space="preserve"> </w:t>
      </w:r>
      <w:r w:rsidR="006E1D6B" w:rsidRPr="00D81879">
        <w:rPr>
          <w:rFonts w:ascii="Times New Roman" w:hAnsi="Times New Roman" w:cs="Times New Roman"/>
          <w:sz w:val="20"/>
          <w:szCs w:val="20"/>
          <w:lang w:val="en-GB"/>
        </w:rPr>
        <w:t xml:space="preserve">See also Behn, M., Rancoita, E. and C. Rodriquez </w:t>
      </w:r>
      <w:r w:rsidR="000E5012" w:rsidRPr="00D81879">
        <w:rPr>
          <w:rFonts w:ascii="Times New Roman" w:hAnsi="Times New Roman" w:cs="Times New Roman"/>
          <w:sz w:val="20"/>
          <w:szCs w:val="20"/>
          <w:lang w:val="en-GB"/>
        </w:rPr>
        <w:t xml:space="preserve">d’Acri, </w:t>
      </w:r>
      <w:hyperlink r:id="rId63" w:history="1">
        <w:r w:rsidR="000E5012" w:rsidRPr="00D81879">
          <w:rPr>
            <w:rStyle w:val="Hyperlink"/>
            <w:rFonts w:ascii="Times New Roman" w:hAnsi="Times New Roman" w:cs="Times New Roman"/>
            <w:sz w:val="20"/>
            <w:szCs w:val="20"/>
            <w:lang w:val="en-GB"/>
          </w:rPr>
          <w:t>Macroprudential capital buffers – objectives and usability</w:t>
        </w:r>
      </w:hyperlink>
      <w:r w:rsidR="000E5012" w:rsidRPr="00D81879">
        <w:rPr>
          <w:rFonts w:ascii="Times New Roman" w:hAnsi="Times New Roman" w:cs="Times New Roman"/>
          <w:sz w:val="20"/>
          <w:szCs w:val="20"/>
          <w:lang w:val="en-GB"/>
        </w:rPr>
        <w:t>, ECB Macroprudential Bulletin 11, October 2020</w:t>
      </w:r>
      <w:r w:rsidR="007768EE" w:rsidRPr="00D81879">
        <w:rPr>
          <w:rFonts w:ascii="Times New Roman" w:hAnsi="Times New Roman" w:cs="Times New Roman"/>
          <w:sz w:val="20"/>
          <w:szCs w:val="20"/>
          <w:lang w:val="en-GB"/>
        </w:rPr>
        <w:t>, for an overview of limitations to buffer usability.</w:t>
      </w:r>
    </w:p>
  </w:footnote>
  <w:footnote w:id="101">
    <w:p w14:paraId="65645AB6" w14:textId="6141586E" w:rsidR="006428C6" w:rsidRPr="00D81879" w:rsidRDefault="006428C6"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003179F5" w:rsidRPr="00D81879">
        <w:rPr>
          <w:rFonts w:ascii="Times New Roman" w:hAnsi="Times New Roman" w:cs="Times New Roman"/>
          <w:lang w:val="en-GB"/>
        </w:rPr>
        <w:tab/>
      </w:r>
      <w:hyperlink r:id="rId64" w:history="1">
        <w:r w:rsidRPr="00D81879">
          <w:rPr>
            <w:rStyle w:val="Hyperlink"/>
            <w:rFonts w:ascii="Times New Roman" w:hAnsi="Times New Roman" w:cs="Times New Roman"/>
            <w:lang w:val="en-GB"/>
          </w:rPr>
          <w:t>COM (2019) 402 final, Fitness Check of Supervisory Reporting</w:t>
        </w:r>
      </w:hyperlink>
      <w:r w:rsidR="00EE3BEB">
        <w:rPr>
          <w:rFonts w:ascii="Times New Roman" w:hAnsi="Times New Roman" w:cs="Times New Roman"/>
        </w:rPr>
        <w:t>.</w:t>
      </w:r>
    </w:p>
  </w:footnote>
  <w:footnote w:id="102">
    <w:p w14:paraId="55F8F5D9" w14:textId="22EA5632" w:rsidR="006428C6" w:rsidRPr="00D81879" w:rsidRDefault="006428C6"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003179F5" w:rsidRPr="00D81879">
        <w:rPr>
          <w:rFonts w:ascii="Times New Roman" w:hAnsi="Times New Roman" w:cs="Times New Roman"/>
          <w:lang w:val="en-GB"/>
        </w:rPr>
        <w:tab/>
      </w:r>
      <w:hyperlink r:id="rId65" w:history="1">
        <w:r w:rsidRPr="00D81879">
          <w:rPr>
            <w:rStyle w:val="Hyperlink"/>
            <w:rFonts w:ascii="Times New Roman" w:hAnsi="Times New Roman" w:cs="Times New Roman"/>
            <w:lang w:val="en-GB"/>
          </w:rPr>
          <w:t>COM(2021) final, Fitness Check on the EU framework for public reporting by companies</w:t>
        </w:r>
      </w:hyperlink>
      <w:r w:rsidR="00EE3BEB">
        <w:rPr>
          <w:rFonts w:ascii="Times New Roman" w:hAnsi="Times New Roman" w:cs="Times New Roman"/>
        </w:rPr>
        <w:t>.</w:t>
      </w:r>
    </w:p>
  </w:footnote>
  <w:footnote w:id="103">
    <w:p w14:paraId="4AFC57BA" w14:textId="12F974AA" w:rsidR="006428C6" w:rsidRPr="00D81879" w:rsidRDefault="006428C6"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003179F5" w:rsidRPr="00D81879">
        <w:rPr>
          <w:rFonts w:ascii="Times New Roman" w:hAnsi="Times New Roman" w:cs="Times New Roman"/>
          <w:lang w:val="en-GB"/>
        </w:rPr>
        <w:tab/>
      </w:r>
      <w:r w:rsidRPr="00D81879">
        <w:rPr>
          <w:rFonts w:ascii="Times New Roman" w:hAnsi="Times New Roman" w:cs="Times New Roman"/>
          <w:lang w:val="en-GB"/>
        </w:rPr>
        <w:t>E.g. the IMF described the Single Supervisory Mechanism as "a highly capable supervisor supported by excellent risk analysis" in its 2025 Euro Area Financial Sector Assessment Program (FSAP) and noted in its earlier 2018 FSAP work that it relies on "comprehensive and granular supervisory data" provided through the ECB/SSM supervisory infrastructure.</w:t>
      </w:r>
    </w:p>
  </w:footnote>
  <w:footnote w:id="104">
    <w:p w14:paraId="4DBE68DD" w14:textId="06FD4F97" w:rsidR="006428C6" w:rsidRPr="00D81879" w:rsidRDefault="006428C6"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00A01FFA" w:rsidRPr="00D81879">
        <w:rPr>
          <w:rFonts w:ascii="Times New Roman" w:hAnsi="Times New Roman" w:cs="Times New Roman"/>
          <w:lang w:val="en-GB"/>
        </w:rPr>
        <w:tab/>
      </w:r>
      <w:r w:rsidRPr="00D81879">
        <w:rPr>
          <w:rFonts w:ascii="Times New Roman" w:hAnsi="Times New Roman" w:cs="Times New Roman"/>
          <w:lang w:val="en-GB"/>
        </w:rPr>
        <w:t xml:space="preserve">EBA </w:t>
      </w:r>
      <w:r w:rsidR="005027C2" w:rsidRPr="00D81879">
        <w:rPr>
          <w:rFonts w:ascii="Times New Roman" w:hAnsi="Times New Roman" w:cs="Times New Roman"/>
          <w:lang w:val="en-GB"/>
        </w:rPr>
        <w:t>Feasibility</w:t>
      </w:r>
      <w:r w:rsidRPr="00D81879">
        <w:rPr>
          <w:rFonts w:ascii="Times New Roman" w:hAnsi="Times New Roman" w:cs="Times New Roman"/>
          <w:lang w:val="en-GB"/>
        </w:rPr>
        <w:t xml:space="preserve"> Study on integrated reporting: </w:t>
      </w:r>
      <w:hyperlink r:id="rId66" w:history="1">
        <w:r w:rsidRPr="00D81879">
          <w:rPr>
            <w:rStyle w:val="Hyperlink"/>
            <w:rFonts w:ascii="Times New Roman" w:hAnsi="Times New Roman" w:cs="Times New Roman"/>
            <w:lang w:val="en-GB"/>
          </w:rPr>
          <w:t>The EBA’s feasibility study on integrated reporting system provides a long-term vision for increasing efficiencies and reducing reporting costs | European Banking Authority</w:t>
        </w:r>
      </w:hyperlink>
      <w:r w:rsidR="00EE3BEB">
        <w:rPr>
          <w:rFonts w:ascii="Times New Roman" w:hAnsi="Times New Roman" w:cs="Times New Roman"/>
        </w:rPr>
        <w:t>.</w:t>
      </w:r>
    </w:p>
  </w:footnote>
  <w:footnote w:id="105">
    <w:p w14:paraId="1CC9CE83" w14:textId="3EE2FF50" w:rsidR="006428C6" w:rsidRPr="00D81879" w:rsidRDefault="006428C6" w:rsidP="006A0DF4">
      <w:pPr>
        <w:pStyle w:val="FootnoteText"/>
        <w:ind w:left="709" w:hanging="709"/>
        <w:contextualSpacing/>
        <w:jc w:val="both"/>
        <w:rPr>
          <w:rStyle w:val="FootnoteReference"/>
          <w:rFonts w:ascii="Times New Roman" w:hAnsi="Times New Roman" w:cs="Times New Roman"/>
          <w:lang w:val="en-GB"/>
        </w:rPr>
      </w:pPr>
      <w:r w:rsidRPr="00D81879">
        <w:rPr>
          <w:rStyle w:val="FootnoteReference"/>
          <w:rFonts w:ascii="Times New Roman" w:hAnsi="Times New Roman" w:cs="Times New Roman"/>
          <w:lang w:val="en-GB"/>
        </w:rPr>
        <w:footnoteRef/>
      </w:r>
      <w:r w:rsidR="00A01FFA" w:rsidRPr="00D81879">
        <w:rPr>
          <w:rFonts w:ascii="Times New Roman" w:hAnsi="Times New Roman" w:cs="Times New Roman"/>
          <w:lang w:val="en-GB"/>
        </w:rPr>
        <w:tab/>
      </w:r>
      <w:r w:rsidRPr="00D81879">
        <w:rPr>
          <w:rFonts w:ascii="Times New Roman" w:hAnsi="Times New Roman" w:cs="Times New Roman"/>
          <w:lang w:val="en-GB"/>
        </w:rPr>
        <w:t>E.g. ECB Occasional Paper No 363 (December 2024) “</w:t>
      </w:r>
      <w:hyperlink r:id="rId67" w:history="1">
        <w:r w:rsidRPr="00D81879">
          <w:rPr>
            <w:rStyle w:val="Hyperlink"/>
            <w:rFonts w:ascii="Times New Roman" w:hAnsi="Times New Roman" w:cs="Times New Roman"/>
            <w:lang w:val="en-GB"/>
          </w:rPr>
          <w:t>The evolution of the supervisory reporting framework for the EU banking sector</w:t>
        </w:r>
      </w:hyperlink>
      <w:r w:rsidRPr="00D81879">
        <w:rPr>
          <w:rFonts w:ascii="Times New Roman" w:hAnsi="Times New Roman" w:cs="Times New Roman"/>
          <w:lang w:val="en-GB"/>
        </w:rPr>
        <w:t>” or High-Level Task Force on Simplification Report (December 2025):</w:t>
      </w:r>
      <w:r w:rsidR="00086D98">
        <w:rPr>
          <w:rFonts w:ascii="Times New Roman" w:hAnsi="Times New Roman" w:cs="Times New Roman"/>
          <w:lang w:val="en-GB"/>
        </w:rPr>
        <w:t xml:space="preserve">  </w:t>
      </w:r>
      <w:r w:rsidRPr="00D81879">
        <w:rPr>
          <w:rFonts w:ascii="Times New Roman" w:hAnsi="Times New Roman" w:cs="Times New Roman"/>
          <w:lang w:val="en-GB"/>
        </w:rPr>
        <w:t>“</w:t>
      </w:r>
      <w:hyperlink r:id="rId68" w:history="1">
        <w:r w:rsidRPr="00D81879">
          <w:rPr>
            <w:rStyle w:val="Hyperlink"/>
            <w:rFonts w:ascii="Times New Roman" w:hAnsi="Times New Roman" w:cs="Times New Roman"/>
            <w:lang w:val="en-GB"/>
          </w:rPr>
          <w:t>Simplification of the European prudential regulatory, supervisory and reporting framework</w:t>
        </w:r>
      </w:hyperlink>
      <w:r w:rsidRPr="00D81879">
        <w:rPr>
          <w:rFonts w:ascii="Times New Roman" w:hAnsi="Times New Roman" w:cs="Times New Roman"/>
          <w:lang w:val="en-GB"/>
        </w:rPr>
        <w:t>”</w:t>
      </w:r>
    </w:p>
  </w:footnote>
  <w:footnote w:id="106">
    <w:p w14:paraId="05044478" w14:textId="25698764" w:rsidR="006428C6" w:rsidRPr="00D81879" w:rsidRDefault="006428C6"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00A01FFA" w:rsidRPr="00D81879">
        <w:rPr>
          <w:rFonts w:ascii="Times New Roman" w:hAnsi="Times New Roman" w:cs="Times New Roman"/>
          <w:lang w:val="en-GB"/>
        </w:rPr>
        <w:tab/>
      </w:r>
      <w:r w:rsidRPr="00D81879">
        <w:rPr>
          <w:rFonts w:ascii="Times New Roman" w:hAnsi="Times New Roman" w:cs="Times New Roman"/>
          <w:lang w:val="en-GB"/>
        </w:rPr>
        <w:t xml:space="preserve">EBA (2021): </w:t>
      </w:r>
      <w:hyperlink r:id="rId69" w:history="1">
        <w:r w:rsidRPr="00D81879">
          <w:rPr>
            <w:rStyle w:val="Hyperlink"/>
            <w:rFonts w:ascii="Times New Roman" w:hAnsi="Times New Roman" w:cs="Times New Roman"/>
            <w:lang w:val="en-GB"/>
          </w:rPr>
          <w:t>Study of the cost of compliance with supervisory reporting requirement</w:t>
        </w:r>
      </w:hyperlink>
      <w:r w:rsidRPr="00D81879">
        <w:rPr>
          <w:rFonts w:ascii="Times New Roman" w:hAnsi="Times New Roman" w:cs="Times New Roman"/>
          <w:lang w:val="en-GB"/>
        </w:rPr>
        <w:t>s</w:t>
      </w:r>
      <w:r w:rsidR="00EE3BEB">
        <w:rPr>
          <w:rFonts w:ascii="Times New Roman" w:hAnsi="Times New Roman" w:cs="Times New Roman"/>
          <w:lang w:val="en-GB"/>
        </w:rPr>
        <w:t>.</w:t>
      </w:r>
    </w:p>
  </w:footnote>
  <w:footnote w:id="107">
    <w:p w14:paraId="0FC37102" w14:textId="5C7BCD4F" w:rsidR="006428C6" w:rsidRPr="00D81879" w:rsidRDefault="006428C6"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00A01FFA" w:rsidRPr="00D81879">
        <w:rPr>
          <w:rFonts w:ascii="Times New Roman" w:hAnsi="Times New Roman" w:cs="Times New Roman"/>
          <w:lang w:val="en-GB"/>
        </w:rPr>
        <w:tab/>
      </w:r>
      <w:hyperlink r:id="rId70" w:history="1">
        <w:r w:rsidRPr="00D81879">
          <w:rPr>
            <w:rFonts w:ascii="Times New Roman" w:hAnsi="Times New Roman" w:cs="Times New Roman"/>
            <w:color w:val="0000FF"/>
            <w:u w:val="single"/>
            <w:lang w:val="en-GB"/>
          </w:rPr>
          <w:t>Study on the costs of compliance for the financial sector - Publications Office of the EU</w:t>
        </w:r>
      </w:hyperlink>
    </w:p>
  </w:footnote>
  <w:footnote w:id="108">
    <w:p w14:paraId="57D32328" w14:textId="14804291" w:rsidR="006428C6" w:rsidRPr="00D81879" w:rsidRDefault="006428C6" w:rsidP="006A0DF4">
      <w:pPr>
        <w:pStyle w:val="FootnoteText"/>
        <w:ind w:left="709" w:hanging="709"/>
        <w:contextualSpacing/>
        <w:jc w:val="both"/>
        <w:rPr>
          <w:rFonts w:ascii="Times New Roman" w:hAnsi="Times New Roman" w:cs="Times New Roman"/>
          <w:lang w:val="pt-PT"/>
        </w:rPr>
      </w:pPr>
      <w:r w:rsidRPr="00D81879">
        <w:rPr>
          <w:rStyle w:val="FootnoteReference"/>
          <w:rFonts w:ascii="Times New Roman" w:hAnsi="Times New Roman" w:cs="Times New Roman"/>
          <w:lang w:val="en-GB"/>
        </w:rPr>
        <w:footnoteRef/>
      </w:r>
      <w:r w:rsidR="00A01FFA" w:rsidRPr="00D81879">
        <w:rPr>
          <w:rFonts w:ascii="Times New Roman" w:hAnsi="Times New Roman" w:cs="Times New Roman"/>
          <w:lang w:val="pt-PT"/>
        </w:rPr>
        <w:tab/>
      </w:r>
      <w:hyperlink r:id="rId71" w:history="1">
        <w:r w:rsidRPr="00D81879">
          <w:rPr>
            <w:rStyle w:val="Hyperlink"/>
            <w:rFonts w:ascii="Times New Roman" w:hAnsi="Times New Roman" w:cs="Times New Roman"/>
            <w:lang w:val="pt-PT"/>
          </w:rPr>
          <w:t>EBA/REP/2025/26</w:t>
        </w:r>
      </w:hyperlink>
    </w:p>
  </w:footnote>
  <w:footnote w:id="109">
    <w:p w14:paraId="59F88FAB" w14:textId="1786799D" w:rsidR="006428C6" w:rsidRPr="00D81879" w:rsidRDefault="006428C6" w:rsidP="006A0DF4">
      <w:pPr>
        <w:pStyle w:val="FootnoteText"/>
        <w:ind w:left="709" w:hanging="709"/>
        <w:contextualSpacing/>
        <w:rPr>
          <w:rFonts w:ascii="Times New Roman" w:hAnsi="Times New Roman" w:cs="Times New Roman"/>
          <w:lang w:val="pt-PT"/>
        </w:rPr>
      </w:pPr>
      <w:r w:rsidRPr="00D81879">
        <w:rPr>
          <w:rStyle w:val="FootnoteReference"/>
          <w:rFonts w:ascii="Times New Roman" w:hAnsi="Times New Roman" w:cs="Times New Roman"/>
          <w:lang w:val="en-GB"/>
        </w:rPr>
        <w:footnoteRef/>
      </w:r>
      <w:r w:rsidR="00A01FFA" w:rsidRPr="00D81879">
        <w:rPr>
          <w:rFonts w:ascii="Times New Roman" w:hAnsi="Times New Roman" w:cs="Times New Roman"/>
          <w:lang w:val="pt-PT"/>
        </w:rPr>
        <w:tab/>
      </w:r>
      <w:hyperlink r:id="rId72" w:history="1">
        <w:r w:rsidRPr="00D81879">
          <w:rPr>
            <w:rStyle w:val="Hyperlink"/>
            <w:rFonts w:ascii="Times New Roman" w:hAnsi="Times New Roman" w:cs="Times New Roman"/>
            <w:lang w:val="pt-PT"/>
          </w:rPr>
          <w:t>COM(2021) 798 final</w:t>
        </w:r>
      </w:hyperlink>
    </w:p>
  </w:footnote>
  <w:footnote w:id="110">
    <w:p w14:paraId="630259A9" w14:textId="1CF433B6" w:rsidR="007C0E7E" w:rsidRPr="00D81879" w:rsidRDefault="007C0E7E" w:rsidP="006A0DF4">
      <w:pPr>
        <w:pStyle w:val="FootnoteText"/>
        <w:ind w:left="709" w:hanging="709"/>
        <w:contextualSpacing/>
        <w:rPr>
          <w:rFonts w:ascii="Times New Roman" w:hAnsi="Times New Roman" w:cs="Times New Roman"/>
          <w:lang w:val="pt-PT"/>
        </w:rPr>
      </w:pPr>
      <w:r w:rsidRPr="00D81879">
        <w:rPr>
          <w:rStyle w:val="FootnoteReference"/>
          <w:rFonts w:ascii="Times New Roman" w:hAnsi="Times New Roman" w:cs="Times New Roman"/>
          <w:lang w:val="en-GB"/>
        </w:rPr>
        <w:footnoteRef/>
      </w:r>
      <w:r w:rsidR="00A01FFA" w:rsidRPr="00D81879">
        <w:rPr>
          <w:rFonts w:ascii="Times New Roman" w:hAnsi="Times New Roman" w:cs="Times New Roman"/>
          <w:lang w:val="pt-PT"/>
        </w:rPr>
        <w:tab/>
      </w:r>
      <w:hyperlink r:id="rId73" w:history="1">
        <w:r w:rsidR="00A3341E" w:rsidRPr="00D81879">
          <w:rPr>
            <w:rStyle w:val="Hyperlink"/>
            <w:rFonts w:ascii="Times New Roman" w:hAnsi="Times New Roman" w:cs="Times New Roman"/>
            <w:lang w:val="pt-PT"/>
          </w:rPr>
          <w:t>Regulation (EU) 2024/1623</w:t>
        </w:r>
      </w:hyperlink>
    </w:p>
  </w:footnote>
  <w:footnote w:id="111">
    <w:p w14:paraId="2FAC80AB" w14:textId="5F707F05" w:rsidR="006428C6" w:rsidRPr="00D81879" w:rsidRDefault="006428C6" w:rsidP="006A0DF4">
      <w:pPr>
        <w:pStyle w:val="FootnoteText"/>
        <w:ind w:left="709" w:hanging="709"/>
        <w:contextualSpacing/>
        <w:rPr>
          <w:rFonts w:ascii="Times New Roman" w:hAnsi="Times New Roman" w:cs="Times New Roman"/>
          <w:lang w:val="pt-PT"/>
        </w:rPr>
      </w:pPr>
      <w:r w:rsidRPr="00D81879">
        <w:rPr>
          <w:rStyle w:val="FootnoteReference"/>
          <w:rFonts w:ascii="Times New Roman" w:hAnsi="Times New Roman" w:cs="Times New Roman"/>
          <w:lang w:val="en-GB"/>
        </w:rPr>
        <w:footnoteRef/>
      </w:r>
      <w:r w:rsidR="00A01FFA" w:rsidRPr="00D81879">
        <w:rPr>
          <w:rFonts w:ascii="Times New Roman" w:hAnsi="Times New Roman" w:cs="Times New Roman"/>
          <w:lang w:val="pt-PT"/>
        </w:rPr>
        <w:tab/>
      </w:r>
      <w:r w:rsidRPr="00D81879">
        <w:rPr>
          <w:rFonts w:ascii="Times New Roman" w:hAnsi="Times New Roman" w:cs="Times New Roman"/>
          <w:lang w:val="pt-PT"/>
        </w:rPr>
        <w:t>Regulation (EU) 2025/2088</w:t>
      </w:r>
    </w:p>
  </w:footnote>
  <w:footnote w:id="112">
    <w:p w14:paraId="07D0E908" w14:textId="79C5BB9A" w:rsidR="006428C6" w:rsidRPr="00D81879" w:rsidRDefault="006428C6"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00A01FFA" w:rsidRPr="00D81879">
        <w:rPr>
          <w:rFonts w:ascii="Times New Roman" w:hAnsi="Times New Roman" w:cs="Times New Roman"/>
          <w:lang w:val="en-GB"/>
        </w:rPr>
        <w:tab/>
      </w:r>
      <w:hyperlink r:id="rId74" w:history="1">
        <w:r w:rsidRPr="00D81879">
          <w:rPr>
            <w:rStyle w:val="Hyperlink"/>
            <w:rFonts w:ascii="Times New Roman" w:hAnsi="Times New Roman" w:cs="Times New Roman"/>
            <w:lang w:val="en-GB"/>
          </w:rPr>
          <w:t>COM/2025/80 final</w:t>
        </w:r>
      </w:hyperlink>
    </w:p>
  </w:footnote>
  <w:footnote w:id="113">
    <w:p w14:paraId="74888144" w14:textId="31BB0C84" w:rsidR="006428C6" w:rsidRPr="00D81879" w:rsidRDefault="006428C6"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00A01FFA" w:rsidRPr="00D81879">
        <w:rPr>
          <w:rFonts w:ascii="Times New Roman" w:hAnsi="Times New Roman" w:cs="Times New Roman"/>
          <w:lang w:val="en-GB"/>
        </w:rPr>
        <w:tab/>
      </w:r>
      <w:hyperlink r:id="rId75" w:history="1">
        <w:r w:rsidRPr="00D81879">
          <w:rPr>
            <w:rStyle w:val="Hyperlink"/>
            <w:rFonts w:ascii="Times New Roman" w:hAnsi="Times New Roman" w:cs="Times New Roman"/>
            <w:lang w:val="en-GB"/>
          </w:rPr>
          <w:t>Simplification and efficiency of the Regulatory and Supervisory Framework | European Banking Authority</w:t>
        </w:r>
      </w:hyperlink>
    </w:p>
  </w:footnote>
  <w:footnote w:id="114">
    <w:p w14:paraId="2EB5E9EE" w14:textId="6FDBEA4F" w:rsidR="001A571C" w:rsidRPr="00D81879" w:rsidRDefault="001A571C"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003179F5" w:rsidRPr="00D81879">
        <w:rPr>
          <w:rFonts w:ascii="Times New Roman" w:hAnsi="Times New Roman" w:cs="Times New Roman"/>
          <w:lang w:val="en-GB"/>
        </w:rPr>
        <w:tab/>
      </w:r>
      <w:hyperlink r:id="rId76" w:history="1">
        <w:r w:rsidRPr="00D81879">
          <w:rPr>
            <w:rStyle w:val="Hyperlink"/>
            <w:rFonts w:ascii="Times New Roman" w:hAnsi="Times New Roman" w:cs="Times New Roman"/>
            <w:lang w:val="en-GB"/>
          </w:rPr>
          <w:t>Integrated Reporting Framework (IReF)</w:t>
        </w:r>
      </w:hyperlink>
    </w:p>
  </w:footnote>
  <w:footnote w:id="115">
    <w:p w14:paraId="73B76C0F" w14:textId="62B8C80A" w:rsidR="002A1886" w:rsidRPr="00D81879" w:rsidRDefault="002A1886" w:rsidP="006A0DF4">
      <w:pPr>
        <w:pStyle w:val="FootnoteText"/>
        <w:ind w:left="709" w:hanging="709"/>
        <w:contextualSpacing/>
        <w:jc w:val="both"/>
        <w:rPr>
          <w:rFonts w:ascii="Times New Roman" w:hAnsi="Times New Roman" w:cs="Times New Roman"/>
          <w:lang w:val="en-GB"/>
        </w:rPr>
      </w:pPr>
      <w:r w:rsidRPr="00D81879">
        <w:rPr>
          <w:rStyle w:val="FootnoteReference"/>
          <w:rFonts w:ascii="Times New Roman" w:hAnsi="Times New Roman" w:cs="Times New Roman"/>
          <w:lang w:val="en-GB"/>
        </w:rPr>
        <w:footnoteRef/>
      </w:r>
      <w:r w:rsidR="003179F5" w:rsidRPr="00D81879">
        <w:rPr>
          <w:rFonts w:ascii="Times New Roman" w:hAnsi="Times New Roman" w:cs="Times New Roman"/>
          <w:lang w:val="en-GB"/>
        </w:rPr>
        <w:tab/>
      </w:r>
      <w:hyperlink r:id="rId77" w:anchor=":~:text=The%20European%20Central%20Bank%20%28ECB%29%20and%20the%20European,of%20improving%20efficiency%20and%20reducing%20the%20associated%20costs." w:history="1">
        <w:r w:rsidRPr="00D81879">
          <w:rPr>
            <w:rStyle w:val="Hyperlink"/>
            <w:rFonts w:ascii="Times New Roman" w:hAnsi="Times New Roman" w:cs="Times New Roman"/>
            <w:lang w:val="en-GB"/>
          </w:rPr>
          <w:t>ECB and EBA step up efforts to make banking industry data reporting more efficient | European Banking Authority</w:t>
        </w:r>
      </w:hyperlink>
    </w:p>
  </w:footnote>
  <w:footnote w:id="116">
    <w:p w14:paraId="33D3F1BC" w14:textId="6DEBC5F7" w:rsidR="006428C6" w:rsidRPr="00D81879" w:rsidRDefault="006428C6"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003179F5" w:rsidRPr="00D81879">
        <w:rPr>
          <w:rFonts w:ascii="Times New Roman" w:hAnsi="Times New Roman" w:cs="Times New Roman"/>
          <w:lang w:val="en-GB"/>
        </w:rPr>
        <w:tab/>
      </w:r>
      <w:hyperlink r:id="rId78" w:history="1">
        <w:r w:rsidRPr="00D81879">
          <w:rPr>
            <w:rStyle w:val="Hyperlink"/>
            <w:rFonts w:ascii="Times New Roman" w:hAnsi="Times New Roman" w:cs="Times New Roman"/>
            <w:lang w:val="en-GB"/>
          </w:rPr>
          <w:t>Report on the efficiency of the regulatory and supervisory framework</w:t>
        </w:r>
      </w:hyperlink>
    </w:p>
  </w:footnote>
  <w:footnote w:id="117">
    <w:p w14:paraId="64ED7FA7" w14:textId="0916828B" w:rsidR="006428C6" w:rsidRPr="00D81879" w:rsidRDefault="006428C6" w:rsidP="006A0DF4">
      <w:pPr>
        <w:pStyle w:val="FootnoteText"/>
        <w:ind w:left="709" w:hanging="709"/>
        <w:contextualSpacing/>
        <w:rPr>
          <w:rFonts w:ascii="Times New Roman" w:hAnsi="Times New Roman" w:cs="Times New Roman"/>
          <w:lang w:val="en-GB"/>
        </w:rPr>
      </w:pPr>
      <w:r w:rsidRPr="00D81879">
        <w:rPr>
          <w:rStyle w:val="FootnoteReference"/>
          <w:rFonts w:ascii="Times New Roman" w:hAnsi="Times New Roman" w:cs="Times New Roman"/>
          <w:lang w:val="en-GB"/>
        </w:rPr>
        <w:footnoteRef/>
      </w:r>
      <w:r w:rsidR="003179F5" w:rsidRPr="00D81879">
        <w:rPr>
          <w:rFonts w:ascii="Times New Roman" w:hAnsi="Times New Roman" w:cs="Times New Roman"/>
          <w:lang w:val="en-GB"/>
        </w:rPr>
        <w:tab/>
      </w:r>
      <w:hyperlink r:id="rId79" w:history="1">
        <w:r w:rsidRPr="00D81879">
          <w:rPr>
            <w:rStyle w:val="Hyperlink"/>
            <w:rFonts w:ascii="Times New Roman" w:hAnsi="Times New Roman" w:cs="Times New Roman"/>
            <w:lang w:val="en-GB"/>
          </w:rPr>
          <w:t>Simplification of the European prudential regulatory, supervisory and reporting framework</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FFC25" w14:textId="77777777" w:rsidR="00F57171" w:rsidRPr="00F57171" w:rsidRDefault="00F57171" w:rsidP="00F5717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10BDC" w14:textId="77777777" w:rsidR="00F57171" w:rsidRPr="00F57171" w:rsidRDefault="00F57171" w:rsidP="00F5717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87F17" w14:textId="77777777" w:rsidR="00F57171" w:rsidRPr="00F57171" w:rsidRDefault="00F57171" w:rsidP="00F5717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37C10" w14:textId="77777777" w:rsidR="005C41C1" w:rsidRDefault="005C41C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1040F" w14:textId="77777777" w:rsidR="0026647D" w:rsidRDefault="0026647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3A78F" w14:textId="77777777" w:rsidR="00FF2D95" w:rsidRDefault="00FF2D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80C6D"/>
    <w:multiLevelType w:val="hybridMultilevel"/>
    <w:tmpl w:val="C9986468"/>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35D4194"/>
    <w:multiLevelType w:val="hybridMultilevel"/>
    <w:tmpl w:val="F99ED65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5250CED"/>
    <w:multiLevelType w:val="hybridMultilevel"/>
    <w:tmpl w:val="1A8CF0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60B0F9B"/>
    <w:multiLevelType w:val="multilevel"/>
    <w:tmpl w:val="FFFFFFFF"/>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D720E04"/>
    <w:multiLevelType w:val="multilevel"/>
    <w:tmpl w:val="9FAC0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9C377A"/>
    <w:multiLevelType w:val="hybridMultilevel"/>
    <w:tmpl w:val="D082AE16"/>
    <w:lvl w:ilvl="0" w:tplc="4FFCE4B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0023CE8"/>
    <w:multiLevelType w:val="hybridMultilevel"/>
    <w:tmpl w:val="9B84B33E"/>
    <w:lvl w:ilvl="0" w:tplc="B4D84CC6">
      <w:start w:val="2"/>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0AC4927"/>
    <w:multiLevelType w:val="hybridMultilevel"/>
    <w:tmpl w:val="7966C4E6"/>
    <w:lvl w:ilvl="0" w:tplc="1809000F">
      <w:start w:val="1"/>
      <w:numFmt w:val="decimal"/>
      <w:lvlText w:val="%1."/>
      <w:lvlJc w:val="left"/>
      <w:pPr>
        <w:ind w:left="1080" w:hanging="720"/>
      </w:pPr>
      <w:rPr>
        <w:rFonts w:hint="default"/>
        <w:lang w:val="en-I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0D2097A"/>
    <w:multiLevelType w:val="hybridMultilevel"/>
    <w:tmpl w:val="60A2A7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2A03B58"/>
    <w:multiLevelType w:val="hybridMultilevel"/>
    <w:tmpl w:val="A12EFD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6D637FA"/>
    <w:multiLevelType w:val="hybridMultilevel"/>
    <w:tmpl w:val="8780C5C4"/>
    <w:lvl w:ilvl="0" w:tplc="B2B8CEB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6DB165D"/>
    <w:multiLevelType w:val="multilevel"/>
    <w:tmpl w:val="0AB4FBBE"/>
    <w:lvl w:ilvl="0">
      <w:start w:val="1"/>
      <w:numFmt w:val="decimal"/>
      <w:lvlText w:val="%1."/>
      <w:lvlJc w:val="left"/>
      <w:pPr>
        <w:ind w:left="1080" w:hanging="72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74D1F8F"/>
    <w:multiLevelType w:val="hybridMultilevel"/>
    <w:tmpl w:val="F9664CAE"/>
    <w:lvl w:ilvl="0" w:tplc="CAB8AF5C">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7996D61"/>
    <w:multiLevelType w:val="hybridMultilevel"/>
    <w:tmpl w:val="73FABBBC"/>
    <w:lvl w:ilvl="0" w:tplc="FFFFFFFF">
      <w:start w:val="1"/>
      <w:numFmt w:val="low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803973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182EA53B"/>
    <w:multiLevelType w:val="hybridMultilevel"/>
    <w:tmpl w:val="FFFFFFFF"/>
    <w:lvl w:ilvl="0" w:tplc="FA0C41B2">
      <w:start w:val="1"/>
      <w:numFmt w:val="bullet"/>
      <w:lvlText w:val="-"/>
      <w:lvlJc w:val="left"/>
      <w:pPr>
        <w:ind w:left="1080" w:hanging="360"/>
      </w:pPr>
      <w:rPr>
        <w:rFonts w:ascii="Aptos" w:hAnsi="Aptos" w:hint="default"/>
      </w:rPr>
    </w:lvl>
    <w:lvl w:ilvl="1" w:tplc="9DD8D2E8">
      <w:start w:val="1"/>
      <w:numFmt w:val="bullet"/>
      <w:lvlText w:val="o"/>
      <w:lvlJc w:val="left"/>
      <w:pPr>
        <w:ind w:left="1800" w:hanging="360"/>
      </w:pPr>
      <w:rPr>
        <w:rFonts w:ascii="Courier New" w:hAnsi="Courier New" w:hint="default"/>
      </w:rPr>
    </w:lvl>
    <w:lvl w:ilvl="2" w:tplc="84228A14">
      <w:start w:val="1"/>
      <w:numFmt w:val="bullet"/>
      <w:lvlText w:val=""/>
      <w:lvlJc w:val="left"/>
      <w:pPr>
        <w:ind w:left="2520" w:hanging="360"/>
      </w:pPr>
      <w:rPr>
        <w:rFonts w:ascii="Wingdings" w:hAnsi="Wingdings" w:hint="default"/>
      </w:rPr>
    </w:lvl>
    <w:lvl w:ilvl="3" w:tplc="AE081AC4">
      <w:start w:val="1"/>
      <w:numFmt w:val="bullet"/>
      <w:lvlText w:val=""/>
      <w:lvlJc w:val="left"/>
      <w:pPr>
        <w:ind w:left="3240" w:hanging="360"/>
      </w:pPr>
      <w:rPr>
        <w:rFonts w:ascii="Symbol" w:hAnsi="Symbol" w:hint="default"/>
      </w:rPr>
    </w:lvl>
    <w:lvl w:ilvl="4" w:tplc="23225B60">
      <w:start w:val="1"/>
      <w:numFmt w:val="bullet"/>
      <w:lvlText w:val="o"/>
      <w:lvlJc w:val="left"/>
      <w:pPr>
        <w:ind w:left="3960" w:hanging="360"/>
      </w:pPr>
      <w:rPr>
        <w:rFonts w:ascii="Courier New" w:hAnsi="Courier New" w:hint="default"/>
      </w:rPr>
    </w:lvl>
    <w:lvl w:ilvl="5" w:tplc="C950BDC0">
      <w:start w:val="1"/>
      <w:numFmt w:val="bullet"/>
      <w:lvlText w:val=""/>
      <w:lvlJc w:val="left"/>
      <w:pPr>
        <w:ind w:left="4680" w:hanging="360"/>
      </w:pPr>
      <w:rPr>
        <w:rFonts w:ascii="Wingdings" w:hAnsi="Wingdings" w:hint="default"/>
      </w:rPr>
    </w:lvl>
    <w:lvl w:ilvl="6" w:tplc="077C8DC6">
      <w:start w:val="1"/>
      <w:numFmt w:val="bullet"/>
      <w:lvlText w:val=""/>
      <w:lvlJc w:val="left"/>
      <w:pPr>
        <w:ind w:left="5400" w:hanging="360"/>
      </w:pPr>
      <w:rPr>
        <w:rFonts w:ascii="Symbol" w:hAnsi="Symbol" w:hint="default"/>
      </w:rPr>
    </w:lvl>
    <w:lvl w:ilvl="7" w:tplc="61A8DE74">
      <w:start w:val="1"/>
      <w:numFmt w:val="bullet"/>
      <w:lvlText w:val="o"/>
      <w:lvlJc w:val="left"/>
      <w:pPr>
        <w:ind w:left="6120" w:hanging="360"/>
      </w:pPr>
      <w:rPr>
        <w:rFonts w:ascii="Courier New" w:hAnsi="Courier New" w:hint="default"/>
      </w:rPr>
    </w:lvl>
    <w:lvl w:ilvl="8" w:tplc="9B50C5A2">
      <w:start w:val="1"/>
      <w:numFmt w:val="bullet"/>
      <w:lvlText w:val=""/>
      <w:lvlJc w:val="left"/>
      <w:pPr>
        <w:ind w:left="6840" w:hanging="360"/>
      </w:pPr>
      <w:rPr>
        <w:rFonts w:ascii="Wingdings" w:hAnsi="Wingdings" w:hint="default"/>
      </w:rPr>
    </w:lvl>
  </w:abstractNum>
  <w:abstractNum w:abstractNumId="16" w15:restartNumberingAfterBreak="0">
    <w:nsid w:val="19852E22"/>
    <w:multiLevelType w:val="hybridMultilevel"/>
    <w:tmpl w:val="AC92FA18"/>
    <w:lvl w:ilvl="0" w:tplc="D9BC9B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B3C7BEC"/>
    <w:multiLevelType w:val="hybridMultilevel"/>
    <w:tmpl w:val="059232BE"/>
    <w:lvl w:ilvl="0" w:tplc="FFFFFFFF">
      <w:start w:val="1"/>
      <w:numFmt w:val="low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C65053F"/>
    <w:multiLevelType w:val="multilevel"/>
    <w:tmpl w:val="41FA857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1E3E54BF"/>
    <w:multiLevelType w:val="hybridMultilevel"/>
    <w:tmpl w:val="1CA40444"/>
    <w:lvl w:ilvl="0" w:tplc="FFFFFFFF">
      <w:start w:val="1"/>
      <w:numFmt w:val="lowerRoman"/>
      <w:lvlText w:val="(%1)"/>
      <w:lvlJc w:val="left"/>
      <w:pPr>
        <w:ind w:left="1080" w:hanging="72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EF434F5"/>
    <w:multiLevelType w:val="hybridMultilevel"/>
    <w:tmpl w:val="BD027918"/>
    <w:lvl w:ilvl="0" w:tplc="28F227F0">
      <w:start w:val="1"/>
      <w:numFmt w:val="bullet"/>
      <w:lvlText w:val=""/>
      <w:lvlJc w:val="left"/>
      <w:pPr>
        <w:ind w:left="720" w:hanging="360"/>
      </w:pPr>
      <w:rPr>
        <w:rFonts w:ascii="Symbol" w:hAnsi="Symbol"/>
      </w:rPr>
    </w:lvl>
    <w:lvl w:ilvl="1" w:tplc="733E9646">
      <w:start w:val="1"/>
      <w:numFmt w:val="bullet"/>
      <w:lvlText w:val=""/>
      <w:lvlJc w:val="left"/>
      <w:pPr>
        <w:ind w:left="720" w:hanging="360"/>
      </w:pPr>
      <w:rPr>
        <w:rFonts w:ascii="Symbol" w:hAnsi="Symbol"/>
      </w:rPr>
    </w:lvl>
    <w:lvl w:ilvl="2" w:tplc="6DBA1B22">
      <w:start w:val="1"/>
      <w:numFmt w:val="bullet"/>
      <w:lvlText w:val=""/>
      <w:lvlJc w:val="left"/>
      <w:pPr>
        <w:ind w:left="720" w:hanging="360"/>
      </w:pPr>
      <w:rPr>
        <w:rFonts w:ascii="Symbol" w:hAnsi="Symbol"/>
      </w:rPr>
    </w:lvl>
    <w:lvl w:ilvl="3" w:tplc="574C7382">
      <w:start w:val="1"/>
      <w:numFmt w:val="bullet"/>
      <w:lvlText w:val=""/>
      <w:lvlJc w:val="left"/>
      <w:pPr>
        <w:ind w:left="720" w:hanging="360"/>
      </w:pPr>
      <w:rPr>
        <w:rFonts w:ascii="Symbol" w:hAnsi="Symbol"/>
      </w:rPr>
    </w:lvl>
    <w:lvl w:ilvl="4" w:tplc="C952F73A">
      <w:start w:val="1"/>
      <w:numFmt w:val="bullet"/>
      <w:lvlText w:val=""/>
      <w:lvlJc w:val="left"/>
      <w:pPr>
        <w:ind w:left="720" w:hanging="360"/>
      </w:pPr>
      <w:rPr>
        <w:rFonts w:ascii="Symbol" w:hAnsi="Symbol"/>
      </w:rPr>
    </w:lvl>
    <w:lvl w:ilvl="5" w:tplc="16F414DC">
      <w:start w:val="1"/>
      <w:numFmt w:val="bullet"/>
      <w:lvlText w:val=""/>
      <w:lvlJc w:val="left"/>
      <w:pPr>
        <w:ind w:left="720" w:hanging="360"/>
      </w:pPr>
      <w:rPr>
        <w:rFonts w:ascii="Symbol" w:hAnsi="Symbol"/>
      </w:rPr>
    </w:lvl>
    <w:lvl w:ilvl="6" w:tplc="85D47904">
      <w:start w:val="1"/>
      <w:numFmt w:val="bullet"/>
      <w:lvlText w:val=""/>
      <w:lvlJc w:val="left"/>
      <w:pPr>
        <w:ind w:left="720" w:hanging="360"/>
      </w:pPr>
      <w:rPr>
        <w:rFonts w:ascii="Symbol" w:hAnsi="Symbol"/>
      </w:rPr>
    </w:lvl>
    <w:lvl w:ilvl="7" w:tplc="2A90215C">
      <w:start w:val="1"/>
      <w:numFmt w:val="bullet"/>
      <w:lvlText w:val=""/>
      <w:lvlJc w:val="left"/>
      <w:pPr>
        <w:ind w:left="720" w:hanging="360"/>
      </w:pPr>
      <w:rPr>
        <w:rFonts w:ascii="Symbol" w:hAnsi="Symbol"/>
      </w:rPr>
    </w:lvl>
    <w:lvl w:ilvl="8" w:tplc="31E6C8CC">
      <w:start w:val="1"/>
      <w:numFmt w:val="bullet"/>
      <w:lvlText w:val=""/>
      <w:lvlJc w:val="left"/>
      <w:pPr>
        <w:ind w:left="720" w:hanging="360"/>
      </w:pPr>
      <w:rPr>
        <w:rFonts w:ascii="Symbol" w:hAnsi="Symbol"/>
      </w:rPr>
    </w:lvl>
  </w:abstractNum>
  <w:abstractNum w:abstractNumId="21" w15:restartNumberingAfterBreak="0">
    <w:nsid w:val="21046189"/>
    <w:multiLevelType w:val="hybridMultilevel"/>
    <w:tmpl w:val="9BCEC012"/>
    <w:lvl w:ilvl="0" w:tplc="FFFFFFFF">
      <w:start w:val="1"/>
      <w:numFmt w:val="low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2BC4A2E"/>
    <w:multiLevelType w:val="hybridMultilevel"/>
    <w:tmpl w:val="2F02E32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26BF1ECC"/>
    <w:multiLevelType w:val="hybridMultilevel"/>
    <w:tmpl w:val="D9902C84"/>
    <w:lvl w:ilvl="0" w:tplc="1809000F">
      <w:start w:val="1"/>
      <w:numFmt w:val="decimal"/>
      <w:lvlText w:val="%1."/>
      <w:lvlJc w:val="left"/>
      <w:pPr>
        <w:ind w:left="720" w:hanging="360"/>
      </w:pPr>
    </w:lvl>
    <w:lvl w:ilvl="1" w:tplc="1809000B">
      <w:start w:val="1"/>
      <w:numFmt w:val="bullet"/>
      <w:lvlText w:val=""/>
      <w:lvlJc w:val="left"/>
      <w:pPr>
        <w:ind w:left="1440" w:hanging="360"/>
      </w:pPr>
      <w:rPr>
        <w:rFonts w:ascii="Wingdings" w:hAnsi="Wingdings"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27A35915"/>
    <w:multiLevelType w:val="multilevel"/>
    <w:tmpl w:val="41FA857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2AB51416"/>
    <w:multiLevelType w:val="multilevel"/>
    <w:tmpl w:val="8AC08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DF546F0"/>
    <w:multiLevelType w:val="hybridMultilevel"/>
    <w:tmpl w:val="5C6AE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FA76F5"/>
    <w:multiLevelType w:val="hybridMultilevel"/>
    <w:tmpl w:val="D29088AE"/>
    <w:lvl w:ilvl="0" w:tplc="F79A533E">
      <w:start w:val="1"/>
      <w:numFmt w:val="bullet"/>
      <w:lvlText w:val="•"/>
      <w:lvlJc w:val="left"/>
      <w:pPr>
        <w:tabs>
          <w:tab w:val="num" w:pos="720"/>
        </w:tabs>
        <w:ind w:left="720" w:hanging="360"/>
      </w:pPr>
      <w:rPr>
        <w:rFonts w:ascii="Arial" w:hAnsi="Arial" w:hint="default"/>
      </w:rPr>
    </w:lvl>
    <w:lvl w:ilvl="1" w:tplc="F06ABACC">
      <w:numFmt w:val="bullet"/>
      <w:lvlText w:val="•"/>
      <w:lvlJc w:val="left"/>
      <w:pPr>
        <w:tabs>
          <w:tab w:val="num" w:pos="1440"/>
        </w:tabs>
        <w:ind w:left="1440" w:hanging="360"/>
      </w:pPr>
      <w:rPr>
        <w:rFonts w:ascii="Arial" w:hAnsi="Arial" w:hint="default"/>
      </w:rPr>
    </w:lvl>
    <w:lvl w:ilvl="2" w:tplc="C91E0E14" w:tentative="1">
      <w:start w:val="1"/>
      <w:numFmt w:val="bullet"/>
      <w:lvlText w:val="•"/>
      <w:lvlJc w:val="left"/>
      <w:pPr>
        <w:tabs>
          <w:tab w:val="num" w:pos="2160"/>
        </w:tabs>
        <w:ind w:left="2160" w:hanging="360"/>
      </w:pPr>
      <w:rPr>
        <w:rFonts w:ascii="Arial" w:hAnsi="Arial" w:hint="default"/>
      </w:rPr>
    </w:lvl>
    <w:lvl w:ilvl="3" w:tplc="711A86B4" w:tentative="1">
      <w:start w:val="1"/>
      <w:numFmt w:val="bullet"/>
      <w:lvlText w:val="•"/>
      <w:lvlJc w:val="left"/>
      <w:pPr>
        <w:tabs>
          <w:tab w:val="num" w:pos="2880"/>
        </w:tabs>
        <w:ind w:left="2880" w:hanging="360"/>
      </w:pPr>
      <w:rPr>
        <w:rFonts w:ascii="Arial" w:hAnsi="Arial" w:hint="default"/>
      </w:rPr>
    </w:lvl>
    <w:lvl w:ilvl="4" w:tplc="123A794C" w:tentative="1">
      <w:start w:val="1"/>
      <w:numFmt w:val="bullet"/>
      <w:lvlText w:val="•"/>
      <w:lvlJc w:val="left"/>
      <w:pPr>
        <w:tabs>
          <w:tab w:val="num" w:pos="3600"/>
        </w:tabs>
        <w:ind w:left="3600" w:hanging="360"/>
      </w:pPr>
      <w:rPr>
        <w:rFonts w:ascii="Arial" w:hAnsi="Arial" w:hint="default"/>
      </w:rPr>
    </w:lvl>
    <w:lvl w:ilvl="5" w:tplc="FED6E864" w:tentative="1">
      <w:start w:val="1"/>
      <w:numFmt w:val="bullet"/>
      <w:lvlText w:val="•"/>
      <w:lvlJc w:val="left"/>
      <w:pPr>
        <w:tabs>
          <w:tab w:val="num" w:pos="4320"/>
        </w:tabs>
        <w:ind w:left="4320" w:hanging="360"/>
      </w:pPr>
      <w:rPr>
        <w:rFonts w:ascii="Arial" w:hAnsi="Arial" w:hint="default"/>
      </w:rPr>
    </w:lvl>
    <w:lvl w:ilvl="6" w:tplc="E1503444" w:tentative="1">
      <w:start w:val="1"/>
      <w:numFmt w:val="bullet"/>
      <w:lvlText w:val="•"/>
      <w:lvlJc w:val="left"/>
      <w:pPr>
        <w:tabs>
          <w:tab w:val="num" w:pos="5040"/>
        </w:tabs>
        <w:ind w:left="5040" w:hanging="360"/>
      </w:pPr>
      <w:rPr>
        <w:rFonts w:ascii="Arial" w:hAnsi="Arial" w:hint="default"/>
      </w:rPr>
    </w:lvl>
    <w:lvl w:ilvl="7" w:tplc="6D3C0D24" w:tentative="1">
      <w:start w:val="1"/>
      <w:numFmt w:val="bullet"/>
      <w:lvlText w:val="•"/>
      <w:lvlJc w:val="left"/>
      <w:pPr>
        <w:tabs>
          <w:tab w:val="num" w:pos="5760"/>
        </w:tabs>
        <w:ind w:left="5760" w:hanging="360"/>
      </w:pPr>
      <w:rPr>
        <w:rFonts w:ascii="Arial" w:hAnsi="Arial" w:hint="default"/>
      </w:rPr>
    </w:lvl>
    <w:lvl w:ilvl="8" w:tplc="8A5C7A7A"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2FEA62B6"/>
    <w:multiLevelType w:val="hybridMultilevel"/>
    <w:tmpl w:val="73FABBBC"/>
    <w:lvl w:ilvl="0" w:tplc="FFFFFFFF">
      <w:start w:val="1"/>
      <w:numFmt w:val="low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1386D5E"/>
    <w:multiLevelType w:val="hybridMultilevel"/>
    <w:tmpl w:val="F2B0E8C4"/>
    <w:lvl w:ilvl="0" w:tplc="6AD8605C">
      <w:start w:val="1"/>
      <w:numFmt w:val="bullet"/>
      <w:lvlText w:val=""/>
      <w:lvlJc w:val="left"/>
      <w:pPr>
        <w:ind w:left="720" w:hanging="360"/>
      </w:pPr>
      <w:rPr>
        <w:rFonts w:ascii="Symbol" w:hAnsi="Symbol"/>
      </w:rPr>
    </w:lvl>
    <w:lvl w:ilvl="1" w:tplc="339A2CC6">
      <w:start w:val="1"/>
      <w:numFmt w:val="bullet"/>
      <w:lvlText w:val=""/>
      <w:lvlJc w:val="left"/>
      <w:pPr>
        <w:ind w:left="720" w:hanging="360"/>
      </w:pPr>
      <w:rPr>
        <w:rFonts w:ascii="Symbol" w:hAnsi="Symbol"/>
      </w:rPr>
    </w:lvl>
    <w:lvl w:ilvl="2" w:tplc="05606F18">
      <w:start w:val="1"/>
      <w:numFmt w:val="bullet"/>
      <w:lvlText w:val=""/>
      <w:lvlJc w:val="left"/>
      <w:pPr>
        <w:ind w:left="720" w:hanging="360"/>
      </w:pPr>
      <w:rPr>
        <w:rFonts w:ascii="Symbol" w:hAnsi="Symbol"/>
      </w:rPr>
    </w:lvl>
    <w:lvl w:ilvl="3" w:tplc="8280E47C">
      <w:start w:val="1"/>
      <w:numFmt w:val="bullet"/>
      <w:lvlText w:val=""/>
      <w:lvlJc w:val="left"/>
      <w:pPr>
        <w:ind w:left="720" w:hanging="360"/>
      </w:pPr>
      <w:rPr>
        <w:rFonts w:ascii="Symbol" w:hAnsi="Symbol"/>
      </w:rPr>
    </w:lvl>
    <w:lvl w:ilvl="4" w:tplc="171A8A98">
      <w:start w:val="1"/>
      <w:numFmt w:val="bullet"/>
      <w:lvlText w:val=""/>
      <w:lvlJc w:val="left"/>
      <w:pPr>
        <w:ind w:left="720" w:hanging="360"/>
      </w:pPr>
      <w:rPr>
        <w:rFonts w:ascii="Symbol" w:hAnsi="Symbol"/>
      </w:rPr>
    </w:lvl>
    <w:lvl w:ilvl="5" w:tplc="57548A0E">
      <w:start w:val="1"/>
      <w:numFmt w:val="bullet"/>
      <w:lvlText w:val=""/>
      <w:lvlJc w:val="left"/>
      <w:pPr>
        <w:ind w:left="720" w:hanging="360"/>
      </w:pPr>
      <w:rPr>
        <w:rFonts w:ascii="Symbol" w:hAnsi="Symbol"/>
      </w:rPr>
    </w:lvl>
    <w:lvl w:ilvl="6" w:tplc="AEC407EE">
      <w:start w:val="1"/>
      <w:numFmt w:val="bullet"/>
      <w:lvlText w:val=""/>
      <w:lvlJc w:val="left"/>
      <w:pPr>
        <w:ind w:left="720" w:hanging="360"/>
      </w:pPr>
      <w:rPr>
        <w:rFonts w:ascii="Symbol" w:hAnsi="Symbol"/>
      </w:rPr>
    </w:lvl>
    <w:lvl w:ilvl="7" w:tplc="84CCFB3A">
      <w:start w:val="1"/>
      <w:numFmt w:val="bullet"/>
      <w:lvlText w:val=""/>
      <w:lvlJc w:val="left"/>
      <w:pPr>
        <w:ind w:left="720" w:hanging="360"/>
      </w:pPr>
      <w:rPr>
        <w:rFonts w:ascii="Symbol" w:hAnsi="Symbol"/>
      </w:rPr>
    </w:lvl>
    <w:lvl w:ilvl="8" w:tplc="7E26DF6E">
      <w:start w:val="1"/>
      <w:numFmt w:val="bullet"/>
      <w:lvlText w:val=""/>
      <w:lvlJc w:val="left"/>
      <w:pPr>
        <w:ind w:left="720" w:hanging="360"/>
      </w:pPr>
      <w:rPr>
        <w:rFonts w:ascii="Symbol" w:hAnsi="Symbol"/>
      </w:rPr>
    </w:lvl>
  </w:abstractNum>
  <w:abstractNum w:abstractNumId="30" w15:restartNumberingAfterBreak="0">
    <w:nsid w:val="323F52B8"/>
    <w:multiLevelType w:val="hybridMultilevel"/>
    <w:tmpl w:val="684CB476"/>
    <w:lvl w:ilvl="0" w:tplc="4FFCE4B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354C5769"/>
    <w:multiLevelType w:val="hybridMultilevel"/>
    <w:tmpl w:val="9BCEC012"/>
    <w:lvl w:ilvl="0" w:tplc="09684FEA">
      <w:start w:val="1"/>
      <w:numFmt w:val="low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66E4A42"/>
    <w:multiLevelType w:val="hybridMultilevel"/>
    <w:tmpl w:val="E892E420"/>
    <w:lvl w:ilvl="0" w:tplc="99FA7AC8">
      <w:start w:val="1"/>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687276A"/>
    <w:multiLevelType w:val="hybridMultilevel"/>
    <w:tmpl w:val="B0A073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3B2412D5"/>
    <w:multiLevelType w:val="hybridMultilevel"/>
    <w:tmpl w:val="1CA40444"/>
    <w:lvl w:ilvl="0" w:tplc="6960063A">
      <w:start w:val="1"/>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405E06DC"/>
    <w:multiLevelType w:val="hybridMultilevel"/>
    <w:tmpl w:val="73FABBBC"/>
    <w:lvl w:ilvl="0" w:tplc="FFFFFFFF">
      <w:start w:val="1"/>
      <w:numFmt w:val="low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0F00470"/>
    <w:multiLevelType w:val="hybridMultilevel"/>
    <w:tmpl w:val="CA744634"/>
    <w:lvl w:ilvl="0" w:tplc="8EFE528E">
      <w:start w:val="1"/>
      <w:numFmt w:val="bullet"/>
      <w:lvlText w:val=""/>
      <w:lvlJc w:val="left"/>
      <w:pPr>
        <w:ind w:left="720" w:hanging="360"/>
      </w:pPr>
      <w:rPr>
        <w:rFonts w:ascii="Symbol" w:hAnsi="Symbol"/>
      </w:rPr>
    </w:lvl>
    <w:lvl w:ilvl="1" w:tplc="669027FA">
      <w:start w:val="1"/>
      <w:numFmt w:val="bullet"/>
      <w:lvlText w:val=""/>
      <w:lvlJc w:val="left"/>
      <w:pPr>
        <w:ind w:left="720" w:hanging="360"/>
      </w:pPr>
      <w:rPr>
        <w:rFonts w:ascii="Symbol" w:hAnsi="Symbol"/>
      </w:rPr>
    </w:lvl>
    <w:lvl w:ilvl="2" w:tplc="033C52BC">
      <w:start w:val="1"/>
      <w:numFmt w:val="bullet"/>
      <w:lvlText w:val=""/>
      <w:lvlJc w:val="left"/>
      <w:pPr>
        <w:ind w:left="720" w:hanging="360"/>
      </w:pPr>
      <w:rPr>
        <w:rFonts w:ascii="Symbol" w:hAnsi="Symbol"/>
      </w:rPr>
    </w:lvl>
    <w:lvl w:ilvl="3" w:tplc="841E064E">
      <w:start w:val="1"/>
      <w:numFmt w:val="bullet"/>
      <w:lvlText w:val=""/>
      <w:lvlJc w:val="left"/>
      <w:pPr>
        <w:ind w:left="720" w:hanging="360"/>
      </w:pPr>
      <w:rPr>
        <w:rFonts w:ascii="Symbol" w:hAnsi="Symbol"/>
      </w:rPr>
    </w:lvl>
    <w:lvl w:ilvl="4" w:tplc="379A9750">
      <w:start w:val="1"/>
      <w:numFmt w:val="bullet"/>
      <w:lvlText w:val=""/>
      <w:lvlJc w:val="left"/>
      <w:pPr>
        <w:ind w:left="720" w:hanging="360"/>
      </w:pPr>
      <w:rPr>
        <w:rFonts w:ascii="Symbol" w:hAnsi="Symbol"/>
      </w:rPr>
    </w:lvl>
    <w:lvl w:ilvl="5" w:tplc="4282D518">
      <w:start w:val="1"/>
      <w:numFmt w:val="bullet"/>
      <w:lvlText w:val=""/>
      <w:lvlJc w:val="left"/>
      <w:pPr>
        <w:ind w:left="720" w:hanging="360"/>
      </w:pPr>
      <w:rPr>
        <w:rFonts w:ascii="Symbol" w:hAnsi="Symbol"/>
      </w:rPr>
    </w:lvl>
    <w:lvl w:ilvl="6" w:tplc="A33E286C">
      <w:start w:val="1"/>
      <w:numFmt w:val="bullet"/>
      <w:lvlText w:val=""/>
      <w:lvlJc w:val="left"/>
      <w:pPr>
        <w:ind w:left="720" w:hanging="360"/>
      </w:pPr>
      <w:rPr>
        <w:rFonts w:ascii="Symbol" w:hAnsi="Symbol"/>
      </w:rPr>
    </w:lvl>
    <w:lvl w:ilvl="7" w:tplc="37CCE150">
      <w:start w:val="1"/>
      <w:numFmt w:val="bullet"/>
      <w:lvlText w:val=""/>
      <w:lvlJc w:val="left"/>
      <w:pPr>
        <w:ind w:left="720" w:hanging="360"/>
      </w:pPr>
      <w:rPr>
        <w:rFonts w:ascii="Symbol" w:hAnsi="Symbol"/>
      </w:rPr>
    </w:lvl>
    <w:lvl w:ilvl="8" w:tplc="3AE8497C">
      <w:start w:val="1"/>
      <w:numFmt w:val="bullet"/>
      <w:lvlText w:val=""/>
      <w:lvlJc w:val="left"/>
      <w:pPr>
        <w:ind w:left="720" w:hanging="360"/>
      </w:pPr>
      <w:rPr>
        <w:rFonts w:ascii="Symbol" w:hAnsi="Symbol"/>
      </w:rPr>
    </w:lvl>
  </w:abstractNum>
  <w:abstractNum w:abstractNumId="37" w15:restartNumberingAfterBreak="0">
    <w:nsid w:val="41604B49"/>
    <w:multiLevelType w:val="hybridMultilevel"/>
    <w:tmpl w:val="58A2D7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41B343A7"/>
    <w:multiLevelType w:val="hybridMultilevel"/>
    <w:tmpl w:val="4970B708"/>
    <w:lvl w:ilvl="0" w:tplc="5EAAF67C">
      <w:start w:val="1"/>
      <w:numFmt w:val="bullet"/>
      <w:lvlText w:val=""/>
      <w:lvlJc w:val="left"/>
      <w:pPr>
        <w:ind w:left="720" w:hanging="360"/>
      </w:pPr>
      <w:rPr>
        <w:rFonts w:ascii="Symbol" w:hAnsi="Symbol"/>
      </w:rPr>
    </w:lvl>
    <w:lvl w:ilvl="1" w:tplc="893AEB14">
      <w:start w:val="1"/>
      <w:numFmt w:val="bullet"/>
      <w:lvlText w:val=""/>
      <w:lvlJc w:val="left"/>
      <w:pPr>
        <w:ind w:left="720" w:hanging="360"/>
      </w:pPr>
      <w:rPr>
        <w:rFonts w:ascii="Symbol" w:hAnsi="Symbol"/>
      </w:rPr>
    </w:lvl>
    <w:lvl w:ilvl="2" w:tplc="ED2A1904">
      <w:start w:val="1"/>
      <w:numFmt w:val="bullet"/>
      <w:lvlText w:val=""/>
      <w:lvlJc w:val="left"/>
      <w:pPr>
        <w:ind w:left="720" w:hanging="360"/>
      </w:pPr>
      <w:rPr>
        <w:rFonts w:ascii="Symbol" w:hAnsi="Symbol"/>
      </w:rPr>
    </w:lvl>
    <w:lvl w:ilvl="3" w:tplc="091003E2">
      <w:start w:val="1"/>
      <w:numFmt w:val="bullet"/>
      <w:lvlText w:val=""/>
      <w:lvlJc w:val="left"/>
      <w:pPr>
        <w:ind w:left="720" w:hanging="360"/>
      </w:pPr>
      <w:rPr>
        <w:rFonts w:ascii="Symbol" w:hAnsi="Symbol"/>
      </w:rPr>
    </w:lvl>
    <w:lvl w:ilvl="4" w:tplc="3E64CBB2">
      <w:start w:val="1"/>
      <w:numFmt w:val="bullet"/>
      <w:lvlText w:val=""/>
      <w:lvlJc w:val="left"/>
      <w:pPr>
        <w:ind w:left="720" w:hanging="360"/>
      </w:pPr>
      <w:rPr>
        <w:rFonts w:ascii="Symbol" w:hAnsi="Symbol"/>
      </w:rPr>
    </w:lvl>
    <w:lvl w:ilvl="5" w:tplc="E5A6A700">
      <w:start w:val="1"/>
      <w:numFmt w:val="bullet"/>
      <w:lvlText w:val=""/>
      <w:lvlJc w:val="left"/>
      <w:pPr>
        <w:ind w:left="720" w:hanging="360"/>
      </w:pPr>
      <w:rPr>
        <w:rFonts w:ascii="Symbol" w:hAnsi="Symbol"/>
      </w:rPr>
    </w:lvl>
    <w:lvl w:ilvl="6" w:tplc="4D94B4A4">
      <w:start w:val="1"/>
      <w:numFmt w:val="bullet"/>
      <w:lvlText w:val=""/>
      <w:lvlJc w:val="left"/>
      <w:pPr>
        <w:ind w:left="720" w:hanging="360"/>
      </w:pPr>
      <w:rPr>
        <w:rFonts w:ascii="Symbol" w:hAnsi="Symbol"/>
      </w:rPr>
    </w:lvl>
    <w:lvl w:ilvl="7" w:tplc="760C1E06">
      <w:start w:val="1"/>
      <w:numFmt w:val="bullet"/>
      <w:lvlText w:val=""/>
      <w:lvlJc w:val="left"/>
      <w:pPr>
        <w:ind w:left="720" w:hanging="360"/>
      </w:pPr>
      <w:rPr>
        <w:rFonts w:ascii="Symbol" w:hAnsi="Symbol"/>
      </w:rPr>
    </w:lvl>
    <w:lvl w:ilvl="8" w:tplc="42366ABE">
      <w:start w:val="1"/>
      <w:numFmt w:val="bullet"/>
      <w:lvlText w:val=""/>
      <w:lvlJc w:val="left"/>
      <w:pPr>
        <w:ind w:left="720" w:hanging="360"/>
      </w:pPr>
      <w:rPr>
        <w:rFonts w:ascii="Symbol" w:hAnsi="Symbol"/>
      </w:rPr>
    </w:lvl>
  </w:abstractNum>
  <w:abstractNum w:abstractNumId="39" w15:restartNumberingAfterBreak="0">
    <w:nsid w:val="43874F3B"/>
    <w:multiLevelType w:val="multilevel"/>
    <w:tmpl w:val="7D742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7E55EB0"/>
    <w:multiLevelType w:val="hybridMultilevel"/>
    <w:tmpl w:val="A2983034"/>
    <w:lvl w:ilvl="0" w:tplc="FFFFFFFF">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48B63538"/>
    <w:multiLevelType w:val="hybridMultilevel"/>
    <w:tmpl w:val="5BC88746"/>
    <w:lvl w:ilvl="0" w:tplc="D2B0237A">
      <w:start w:val="5"/>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2" w15:restartNumberingAfterBreak="0">
    <w:nsid w:val="49E21AB4"/>
    <w:multiLevelType w:val="multilevel"/>
    <w:tmpl w:val="4CF01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AF2663B"/>
    <w:multiLevelType w:val="hybridMultilevel"/>
    <w:tmpl w:val="6180F6A8"/>
    <w:lvl w:ilvl="0" w:tplc="942CF4EA">
      <w:numFmt w:val="bullet"/>
      <w:lvlText w:val=""/>
      <w:lvlJc w:val="left"/>
      <w:pPr>
        <w:ind w:left="720" w:hanging="360"/>
      </w:pPr>
      <w:rPr>
        <w:rFonts w:ascii="Wingdings" w:eastAsiaTheme="minorHAns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D172245"/>
    <w:multiLevelType w:val="hybridMultilevel"/>
    <w:tmpl w:val="3B28F842"/>
    <w:lvl w:ilvl="0" w:tplc="4B94D4DA">
      <w:start w:val="3"/>
      <w:numFmt w:val="bullet"/>
      <w:lvlText w:val="-"/>
      <w:lvlJc w:val="left"/>
      <w:pPr>
        <w:ind w:left="1789" w:hanging="360"/>
      </w:pPr>
      <w:rPr>
        <w:rFonts w:ascii="Aptos" w:eastAsiaTheme="minorHAnsi" w:hAnsi="Aptos" w:cstheme="minorBidi" w:hint="default"/>
      </w:rPr>
    </w:lvl>
    <w:lvl w:ilvl="1" w:tplc="18090003" w:tentative="1">
      <w:start w:val="1"/>
      <w:numFmt w:val="bullet"/>
      <w:lvlText w:val="o"/>
      <w:lvlJc w:val="left"/>
      <w:pPr>
        <w:ind w:left="2509" w:hanging="360"/>
      </w:pPr>
      <w:rPr>
        <w:rFonts w:ascii="Courier New" w:hAnsi="Courier New" w:cs="Courier New" w:hint="default"/>
      </w:rPr>
    </w:lvl>
    <w:lvl w:ilvl="2" w:tplc="18090005" w:tentative="1">
      <w:start w:val="1"/>
      <w:numFmt w:val="bullet"/>
      <w:lvlText w:val=""/>
      <w:lvlJc w:val="left"/>
      <w:pPr>
        <w:ind w:left="3229" w:hanging="360"/>
      </w:pPr>
      <w:rPr>
        <w:rFonts w:ascii="Wingdings" w:hAnsi="Wingdings" w:hint="default"/>
      </w:rPr>
    </w:lvl>
    <w:lvl w:ilvl="3" w:tplc="18090001" w:tentative="1">
      <w:start w:val="1"/>
      <w:numFmt w:val="bullet"/>
      <w:lvlText w:val=""/>
      <w:lvlJc w:val="left"/>
      <w:pPr>
        <w:ind w:left="3949" w:hanging="360"/>
      </w:pPr>
      <w:rPr>
        <w:rFonts w:ascii="Symbol" w:hAnsi="Symbol" w:hint="default"/>
      </w:rPr>
    </w:lvl>
    <w:lvl w:ilvl="4" w:tplc="18090003" w:tentative="1">
      <w:start w:val="1"/>
      <w:numFmt w:val="bullet"/>
      <w:lvlText w:val="o"/>
      <w:lvlJc w:val="left"/>
      <w:pPr>
        <w:ind w:left="4669" w:hanging="360"/>
      </w:pPr>
      <w:rPr>
        <w:rFonts w:ascii="Courier New" w:hAnsi="Courier New" w:cs="Courier New" w:hint="default"/>
      </w:rPr>
    </w:lvl>
    <w:lvl w:ilvl="5" w:tplc="18090005" w:tentative="1">
      <w:start w:val="1"/>
      <w:numFmt w:val="bullet"/>
      <w:lvlText w:val=""/>
      <w:lvlJc w:val="left"/>
      <w:pPr>
        <w:ind w:left="5389" w:hanging="360"/>
      </w:pPr>
      <w:rPr>
        <w:rFonts w:ascii="Wingdings" w:hAnsi="Wingdings" w:hint="default"/>
      </w:rPr>
    </w:lvl>
    <w:lvl w:ilvl="6" w:tplc="18090001" w:tentative="1">
      <w:start w:val="1"/>
      <w:numFmt w:val="bullet"/>
      <w:lvlText w:val=""/>
      <w:lvlJc w:val="left"/>
      <w:pPr>
        <w:ind w:left="6109" w:hanging="360"/>
      </w:pPr>
      <w:rPr>
        <w:rFonts w:ascii="Symbol" w:hAnsi="Symbol" w:hint="default"/>
      </w:rPr>
    </w:lvl>
    <w:lvl w:ilvl="7" w:tplc="18090003" w:tentative="1">
      <w:start w:val="1"/>
      <w:numFmt w:val="bullet"/>
      <w:lvlText w:val="o"/>
      <w:lvlJc w:val="left"/>
      <w:pPr>
        <w:ind w:left="6829" w:hanging="360"/>
      </w:pPr>
      <w:rPr>
        <w:rFonts w:ascii="Courier New" w:hAnsi="Courier New" w:cs="Courier New" w:hint="default"/>
      </w:rPr>
    </w:lvl>
    <w:lvl w:ilvl="8" w:tplc="18090005" w:tentative="1">
      <w:start w:val="1"/>
      <w:numFmt w:val="bullet"/>
      <w:lvlText w:val=""/>
      <w:lvlJc w:val="left"/>
      <w:pPr>
        <w:ind w:left="7549" w:hanging="360"/>
      </w:pPr>
      <w:rPr>
        <w:rFonts w:ascii="Wingdings" w:hAnsi="Wingdings" w:hint="default"/>
      </w:rPr>
    </w:lvl>
  </w:abstractNum>
  <w:abstractNum w:abstractNumId="45" w15:restartNumberingAfterBreak="0">
    <w:nsid w:val="4FB52199"/>
    <w:multiLevelType w:val="multilevel"/>
    <w:tmpl w:val="431AB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19AEAC2"/>
    <w:multiLevelType w:val="hybridMultilevel"/>
    <w:tmpl w:val="FFFFFFFF"/>
    <w:lvl w:ilvl="0" w:tplc="BFFA6574">
      <w:start w:val="1"/>
      <w:numFmt w:val="bullet"/>
      <w:lvlText w:val=""/>
      <w:lvlJc w:val="left"/>
      <w:pPr>
        <w:ind w:left="720" w:hanging="360"/>
      </w:pPr>
      <w:rPr>
        <w:rFonts w:ascii="Symbol" w:hAnsi="Symbol" w:hint="default"/>
      </w:rPr>
    </w:lvl>
    <w:lvl w:ilvl="1" w:tplc="B1FA3EF6">
      <w:start w:val="1"/>
      <w:numFmt w:val="bullet"/>
      <w:lvlText w:val="o"/>
      <w:lvlJc w:val="left"/>
      <w:pPr>
        <w:ind w:left="1440" w:hanging="360"/>
      </w:pPr>
      <w:rPr>
        <w:rFonts w:ascii="Courier New" w:hAnsi="Courier New" w:hint="default"/>
      </w:rPr>
    </w:lvl>
    <w:lvl w:ilvl="2" w:tplc="B596BD22">
      <w:start w:val="1"/>
      <w:numFmt w:val="bullet"/>
      <w:lvlText w:val=""/>
      <w:lvlJc w:val="left"/>
      <w:pPr>
        <w:ind w:left="2160" w:hanging="360"/>
      </w:pPr>
      <w:rPr>
        <w:rFonts w:ascii="Wingdings" w:hAnsi="Wingdings" w:hint="default"/>
      </w:rPr>
    </w:lvl>
    <w:lvl w:ilvl="3" w:tplc="3550BCDA">
      <w:start w:val="1"/>
      <w:numFmt w:val="bullet"/>
      <w:lvlText w:val=""/>
      <w:lvlJc w:val="left"/>
      <w:pPr>
        <w:ind w:left="2880" w:hanging="360"/>
      </w:pPr>
      <w:rPr>
        <w:rFonts w:ascii="Symbol" w:hAnsi="Symbol" w:hint="default"/>
      </w:rPr>
    </w:lvl>
    <w:lvl w:ilvl="4" w:tplc="7D98C7D4">
      <w:start w:val="1"/>
      <w:numFmt w:val="bullet"/>
      <w:lvlText w:val="o"/>
      <w:lvlJc w:val="left"/>
      <w:pPr>
        <w:ind w:left="3600" w:hanging="360"/>
      </w:pPr>
      <w:rPr>
        <w:rFonts w:ascii="Courier New" w:hAnsi="Courier New" w:hint="default"/>
      </w:rPr>
    </w:lvl>
    <w:lvl w:ilvl="5" w:tplc="8A5A1294">
      <w:start w:val="1"/>
      <w:numFmt w:val="bullet"/>
      <w:lvlText w:val=""/>
      <w:lvlJc w:val="left"/>
      <w:pPr>
        <w:ind w:left="4320" w:hanging="360"/>
      </w:pPr>
      <w:rPr>
        <w:rFonts w:ascii="Wingdings" w:hAnsi="Wingdings" w:hint="default"/>
      </w:rPr>
    </w:lvl>
    <w:lvl w:ilvl="6" w:tplc="0B04EE18">
      <w:start w:val="1"/>
      <w:numFmt w:val="bullet"/>
      <w:lvlText w:val=""/>
      <w:lvlJc w:val="left"/>
      <w:pPr>
        <w:ind w:left="5040" w:hanging="360"/>
      </w:pPr>
      <w:rPr>
        <w:rFonts w:ascii="Symbol" w:hAnsi="Symbol" w:hint="default"/>
      </w:rPr>
    </w:lvl>
    <w:lvl w:ilvl="7" w:tplc="8ED402A6">
      <w:start w:val="1"/>
      <w:numFmt w:val="bullet"/>
      <w:lvlText w:val="o"/>
      <w:lvlJc w:val="left"/>
      <w:pPr>
        <w:ind w:left="5760" w:hanging="360"/>
      </w:pPr>
      <w:rPr>
        <w:rFonts w:ascii="Courier New" w:hAnsi="Courier New" w:hint="default"/>
      </w:rPr>
    </w:lvl>
    <w:lvl w:ilvl="8" w:tplc="E02C8206">
      <w:start w:val="1"/>
      <w:numFmt w:val="bullet"/>
      <w:lvlText w:val=""/>
      <w:lvlJc w:val="left"/>
      <w:pPr>
        <w:ind w:left="6480" w:hanging="360"/>
      </w:pPr>
      <w:rPr>
        <w:rFonts w:ascii="Wingdings" w:hAnsi="Wingdings" w:hint="default"/>
      </w:rPr>
    </w:lvl>
  </w:abstractNum>
  <w:abstractNum w:abstractNumId="47" w15:restartNumberingAfterBreak="0">
    <w:nsid w:val="53692110"/>
    <w:multiLevelType w:val="hybridMultilevel"/>
    <w:tmpl w:val="83A8357C"/>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550E5BFC"/>
    <w:multiLevelType w:val="hybridMultilevel"/>
    <w:tmpl w:val="FFFFFFFF"/>
    <w:lvl w:ilvl="0" w:tplc="DCFE90C0">
      <w:start w:val="1"/>
      <w:numFmt w:val="bullet"/>
      <w:lvlText w:val="-"/>
      <w:lvlJc w:val="left"/>
      <w:pPr>
        <w:ind w:left="720" w:hanging="360"/>
      </w:pPr>
      <w:rPr>
        <w:rFonts w:ascii="Aptos" w:hAnsi="Aptos" w:hint="default"/>
      </w:rPr>
    </w:lvl>
    <w:lvl w:ilvl="1" w:tplc="7B144FEC">
      <w:start w:val="1"/>
      <w:numFmt w:val="bullet"/>
      <w:lvlText w:val="o"/>
      <w:lvlJc w:val="left"/>
      <w:pPr>
        <w:ind w:left="1440" w:hanging="360"/>
      </w:pPr>
      <w:rPr>
        <w:rFonts w:ascii="Courier New" w:hAnsi="Courier New" w:hint="default"/>
      </w:rPr>
    </w:lvl>
    <w:lvl w:ilvl="2" w:tplc="712868A0">
      <w:start w:val="1"/>
      <w:numFmt w:val="bullet"/>
      <w:lvlText w:val=""/>
      <w:lvlJc w:val="left"/>
      <w:pPr>
        <w:ind w:left="2160" w:hanging="360"/>
      </w:pPr>
      <w:rPr>
        <w:rFonts w:ascii="Wingdings" w:hAnsi="Wingdings" w:hint="default"/>
      </w:rPr>
    </w:lvl>
    <w:lvl w:ilvl="3" w:tplc="333A7EE4">
      <w:start w:val="1"/>
      <w:numFmt w:val="bullet"/>
      <w:lvlText w:val=""/>
      <w:lvlJc w:val="left"/>
      <w:pPr>
        <w:ind w:left="2880" w:hanging="360"/>
      </w:pPr>
      <w:rPr>
        <w:rFonts w:ascii="Symbol" w:hAnsi="Symbol" w:hint="default"/>
      </w:rPr>
    </w:lvl>
    <w:lvl w:ilvl="4" w:tplc="752E0330">
      <w:start w:val="1"/>
      <w:numFmt w:val="bullet"/>
      <w:lvlText w:val="o"/>
      <w:lvlJc w:val="left"/>
      <w:pPr>
        <w:ind w:left="3600" w:hanging="360"/>
      </w:pPr>
      <w:rPr>
        <w:rFonts w:ascii="Courier New" w:hAnsi="Courier New" w:hint="default"/>
      </w:rPr>
    </w:lvl>
    <w:lvl w:ilvl="5" w:tplc="C8D078AA">
      <w:start w:val="1"/>
      <w:numFmt w:val="bullet"/>
      <w:lvlText w:val=""/>
      <w:lvlJc w:val="left"/>
      <w:pPr>
        <w:ind w:left="4320" w:hanging="360"/>
      </w:pPr>
      <w:rPr>
        <w:rFonts w:ascii="Wingdings" w:hAnsi="Wingdings" w:hint="default"/>
      </w:rPr>
    </w:lvl>
    <w:lvl w:ilvl="6" w:tplc="9A94C76E">
      <w:start w:val="1"/>
      <w:numFmt w:val="bullet"/>
      <w:lvlText w:val=""/>
      <w:lvlJc w:val="left"/>
      <w:pPr>
        <w:ind w:left="5040" w:hanging="360"/>
      </w:pPr>
      <w:rPr>
        <w:rFonts w:ascii="Symbol" w:hAnsi="Symbol" w:hint="default"/>
      </w:rPr>
    </w:lvl>
    <w:lvl w:ilvl="7" w:tplc="3DDEE3F6">
      <w:start w:val="1"/>
      <w:numFmt w:val="bullet"/>
      <w:lvlText w:val="o"/>
      <w:lvlJc w:val="left"/>
      <w:pPr>
        <w:ind w:left="5760" w:hanging="360"/>
      </w:pPr>
      <w:rPr>
        <w:rFonts w:ascii="Courier New" w:hAnsi="Courier New" w:hint="default"/>
      </w:rPr>
    </w:lvl>
    <w:lvl w:ilvl="8" w:tplc="F6CCAA30">
      <w:start w:val="1"/>
      <w:numFmt w:val="bullet"/>
      <w:lvlText w:val=""/>
      <w:lvlJc w:val="left"/>
      <w:pPr>
        <w:ind w:left="6480" w:hanging="360"/>
      </w:pPr>
      <w:rPr>
        <w:rFonts w:ascii="Wingdings" w:hAnsi="Wingdings" w:hint="default"/>
      </w:rPr>
    </w:lvl>
  </w:abstractNum>
  <w:abstractNum w:abstractNumId="49" w15:restartNumberingAfterBreak="0">
    <w:nsid w:val="58F272EC"/>
    <w:multiLevelType w:val="hybridMultilevel"/>
    <w:tmpl w:val="257A3314"/>
    <w:lvl w:ilvl="0" w:tplc="CAB8AF5C">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59346046"/>
    <w:multiLevelType w:val="hybridMultilevel"/>
    <w:tmpl w:val="310E2C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59636DBE"/>
    <w:multiLevelType w:val="multilevel"/>
    <w:tmpl w:val="B5E0092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2" w15:restartNumberingAfterBreak="0">
    <w:nsid w:val="5B410A9E"/>
    <w:multiLevelType w:val="hybridMultilevel"/>
    <w:tmpl w:val="FB6021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5BB62906"/>
    <w:multiLevelType w:val="hybridMultilevel"/>
    <w:tmpl w:val="8A240A7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5C340226"/>
    <w:multiLevelType w:val="hybridMultilevel"/>
    <w:tmpl w:val="4914E2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5DCD4338"/>
    <w:multiLevelType w:val="hybridMultilevel"/>
    <w:tmpl w:val="0CE4F5CC"/>
    <w:lvl w:ilvl="0" w:tplc="3B881B50">
      <w:start w:val="1"/>
      <w:numFmt w:val="decimal"/>
      <w:lvlText w:val="%1)"/>
      <w:lvlJc w:val="left"/>
      <w:pPr>
        <w:ind w:left="1020" w:hanging="360"/>
      </w:pPr>
    </w:lvl>
    <w:lvl w:ilvl="1" w:tplc="5134BB6A">
      <w:start w:val="1"/>
      <w:numFmt w:val="decimal"/>
      <w:lvlText w:val="%2)"/>
      <w:lvlJc w:val="left"/>
      <w:pPr>
        <w:ind w:left="1020" w:hanging="360"/>
      </w:pPr>
    </w:lvl>
    <w:lvl w:ilvl="2" w:tplc="5C1C3BB6">
      <w:start w:val="1"/>
      <w:numFmt w:val="decimal"/>
      <w:lvlText w:val="%3)"/>
      <w:lvlJc w:val="left"/>
      <w:pPr>
        <w:ind w:left="1020" w:hanging="360"/>
      </w:pPr>
    </w:lvl>
    <w:lvl w:ilvl="3" w:tplc="2840A6D0">
      <w:start w:val="1"/>
      <w:numFmt w:val="decimal"/>
      <w:lvlText w:val="%4)"/>
      <w:lvlJc w:val="left"/>
      <w:pPr>
        <w:ind w:left="1020" w:hanging="360"/>
      </w:pPr>
    </w:lvl>
    <w:lvl w:ilvl="4" w:tplc="F6FE2EDA">
      <w:start w:val="1"/>
      <w:numFmt w:val="decimal"/>
      <w:lvlText w:val="%5)"/>
      <w:lvlJc w:val="left"/>
      <w:pPr>
        <w:ind w:left="1020" w:hanging="360"/>
      </w:pPr>
    </w:lvl>
    <w:lvl w:ilvl="5" w:tplc="C0609FB6">
      <w:start w:val="1"/>
      <w:numFmt w:val="decimal"/>
      <w:lvlText w:val="%6)"/>
      <w:lvlJc w:val="left"/>
      <w:pPr>
        <w:ind w:left="1020" w:hanging="360"/>
      </w:pPr>
    </w:lvl>
    <w:lvl w:ilvl="6" w:tplc="77DA59D6">
      <w:start w:val="1"/>
      <w:numFmt w:val="decimal"/>
      <w:lvlText w:val="%7)"/>
      <w:lvlJc w:val="left"/>
      <w:pPr>
        <w:ind w:left="1020" w:hanging="360"/>
      </w:pPr>
    </w:lvl>
    <w:lvl w:ilvl="7" w:tplc="FBD81E86">
      <w:start w:val="1"/>
      <w:numFmt w:val="decimal"/>
      <w:lvlText w:val="%8)"/>
      <w:lvlJc w:val="left"/>
      <w:pPr>
        <w:ind w:left="1020" w:hanging="360"/>
      </w:pPr>
    </w:lvl>
    <w:lvl w:ilvl="8" w:tplc="7AB61DD6">
      <w:start w:val="1"/>
      <w:numFmt w:val="decimal"/>
      <w:lvlText w:val="%9)"/>
      <w:lvlJc w:val="left"/>
      <w:pPr>
        <w:ind w:left="1020" w:hanging="360"/>
      </w:pPr>
    </w:lvl>
  </w:abstractNum>
  <w:abstractNum w:abstractNumId="56" w15:restartNumberingAfterBreak="0">
    <w:nsid w:val="5E72052C"/>
    <w:multiLevelType w:val="hybridMultilevel"/>
    <w:tmpl w:val="73FABBBC"/>
    <w:lvl w:ilvl="0" w:tplc="FFFFFFFF">
      <w:start w:val="1"/>
      <w:numFmt w:val="low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EAD5B35"/>
    <w:multiLevelType w:val="hybridMultilevel"/>
    <w:tmpl w:val="B99AD464"/>
    <w:lvl w:ilvl="0" w:tplc="FFFFFFFF">
      <w:start w:val="1"/>
      <w:numFmt w:val="low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5F6D2322"/>
    <w:multiLevelType w:val="hybridMultilevel"/>
    <w:tmpl w:val="0132311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9" w15:restartNumberingAfterBreak="0">
    <w:nsid w:val="5FCC5263"/>
    <w:multiLevelType w:val="hybridMultilevel"/>
    <w:tmpl w:val="73FABBBC"/>
    <w:lvl w:ilvl="0" w:tplc="FFFFFFFF">
      <w:start w:val="1"/>
      <w:numFmt w:val="low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0D51708"/>
    <w:multiLevelType w:val="hybridMultilevel"/>
    <w:tmpl w:val="A8A407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57F1093"/>
    <w:multiLevelType w:val="hybridMultilevel"/>
    <w:tmpl w:val="B99AD464"/>
    <w:lvl w:ilvl="0" w:tplc="FFFFFFFF">
      <w:start w:val="1"/>
      <w:numFmt w:val="low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64A79CE"/>
    <w:multiLevelType w:val="hybridMultilevel"/>
    <w:tmpl w:val="60F4C6AC"/>
    <w:lvl w:ilvl="0" w:tplc="47388310">
      <w:start w:val="1"/>
      <w:numFmt w:val="lowerRoman"/>
      <w:lvlText w:val="(%1)"/>
      <w:lvlJc w:val="right"/>
      <w:pPr>
        <w:tabs>
          <w:tab w:val="num" w:pos="720"/>
        </w:tabs>
        <w:ind w:left="720" w:hanging="360"/>
      </w:pPr>
    </w:lvl>
    <w:lvl w:ilvl="1" w:tplc="A1C48EA6" w:tentative="1">
      <w:start w:val="1"/>
      <w:numFmt w:val="lowerRoman"/>
      <w:lvlText w:val="(%2)"/>
      <w:lvlJc w:val="right"/>
      <w:pPr>
        <w:tabs>
          <w:tab w:val="num" w:pos="1440"/>
        </w:tabs>
        <w:ind w:left="1440" w:hanging="360"/>
      </w:pPr>
    </w:lvl>
    <w:lvl w:ilvl="2" w:tplc="FC6C5A8A" w:tentative="1">
      <w:start w:val="1"/>
      <w:numFmt w:val="lowerRoman"/>
      <w:lvlText w:val="(%3)"/>
      <w:lvlJc w:val="right"/>
      <w:pPr>
        <w:tabs>
          <w:tab w:val="num" w:pos="2160"/>
        </w:tabs>
        <w:ind w:left="2160" w:hanging="360"/>
      </w:pPr>
    </w:lvl>
    <w:lvl w:ilvl="3" w:tplc="CE040D88" w:tentative="1">
      <w:start w:val="1"/>
      <w:numFmt w:val="lowerRoman"/>
      <w:lvlText w:val="(%4)"/>
      <w:lvlJc w:val="right"/>
      <w:pPr>
        <w:tabs>
          <w:tab w:val="num" w:pos="2880"/>
        </w:tabs>
        <w:ind w:left="2880" w:hanging="360"/>
      </w:pPr>
    </w:lvl>
    <w:lvl w:ilvl="4" w:tplc="7084FA78" w:tentative="1">
      <w:start w:val="1"/>
      <w:numFmt w:val="lowerRoman"/>
      <w:lvlText w:val="(%5)"/>
      <w:lvlJc w:val="right"/>
      <w:pPr>
        <w:tabs>
          <w:tab w:val="num" w:pos="3600"/>
        </w:tabs>
        <w:ind w:left="3600" w:hanging="360"/>
      </w:pPr>
    </w:lvl>
    <w:lvl w:ilvl="5" w:tplc="4FB8CDD4" w:tentative="1">
      <w:start w:val="1"/>
      <w:numFmt w:val="lowerRoman"/>
      <w:lvlText w:val="(%6)"/>
      <w:lvlJc w:val="right"/>
      <w:pPr>
        <w:tabs>
          <w:tab w:val="num" w:pos="4320"/>
        </w:tabs>
        <w:ind w:left="4320" w:hanging="360"/>
      </w:pPr>
    </w:lvl>
    <w:lvl w:ilvl="6" w:tplc="DC7E9266" w:tentative="1">
      <w:start w:val="1"/>
      <w:numFmt w:val="lowerRoman"/>
      <w:lvlText w:val="(%7)"/>
      <w:lvlJc w:val="right"/>
      <w:pPr>
        <w:tabs>
          <w:tab w:val="num" w:pos="5040"/>
        </w:tabs>
        <w:ind w:left="5040" w:hanging="360"/>
      </w:pPr>
    </w:lvl>
    <w:lvl w:ilvl="7" w:tplc="FB045C16" w:tentative="1">
      <w:start w:val="1"/>
      <w:numFmt w:val="lowerRoman"/>
      <w:lvlText w:val="(%8)"/>
      <w:lvlJc w:val="right"/>
      <w:pPr>
        <w:tabs>
          <w:tab w:val="num" w:pos="5760"/>
        </w:tabs>
        <w:ind w:left="5760" w:hanging="360"/>
      </w:pPr>
    </w:lvl>
    <w:lvl w:ilvl="8" w:tplc="2F8802C4" w:tentative="1">
      <w:start w:val="1"/>
      <w:numFmt w:val="lowerRoman"/>
      <w:lvlText w:val="(%9)"/>
      <w:lvlJc w:val="right"/>
      <w:pPr>
        <w:tabs>
          <w:tab w:val="num" w:pos="6480"/>
        </w:tabs>
        <w:ind w:left="6480" w:hanging="360"/>
      </w:pPr>
    </w:lvl>
  </w:abstractNum>
  <w:abstractNum w:abstractNumId="63" w15:restartNumberingAfterBreak="0">
    <w:nsid w:val="670501C8"/>
    <w:multiLevelType w:val="hybridMultilevel"/>
    <w:tmpl w:val="0382E4FE"/>
    <w:lvl w:ilvl="0" w:tplc="B8922808">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4" w15:restartNumberingAfterBreak="0">
    <w:nsid w:val="6C4448D5"/>
    <w:multiLevelType w:val="hybridMultilevel"/>
    <w:tmpl w:val="1A709A1A"/>
    <w:lvl w:ilvl="0" w:tplc="F154C91E">
      <w:start w:val="7"/>
      <w:numFmt w:val="bullet"/>
      <w:lvlText w:val="-"/>
      <w:lvlJc w:val="left"/>
      <w:pPr>
        <w:ind w:left="720" w:hanging="360"/>
      </w:pPr>
      <w:rPr>
        <w:rFonts w:ascii="Times New Roman" w:eastAsiaTheme="minorHAnsi" w:hAnsi="Times New Roman" w:cs="Times New Roman"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6C7C24DF"/>
    <w:multiLevelType w:val="hybridMultilevel"/>
    <w:tmpl w:val="8D36B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D1100A6"/>
    <w:multiLevelType w:val="hybridMultilevel"/>
    <w:tmpl w:val="8A869B70"/>
    <w:lvl w:ilvl="0" w:tplc="1604EA84">
      <w:numFmt w:val="bullet"/>
      <w:lvlText w:val=""/>
      <w:lvlJc w:val="left"/>
      <w:pPr>
        <w:ind w:left="720" w:hanging="360"/>
      </w:pPr>
      <w:rPr>
        <w:rFonts w:ascii="Wingdings" w:eastAsiaTheme="minorHAns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DC602BE"/>
    <w:multiLevelType w:val="hybridMultilevel"/>
    <w:tmpl w:val="18827896"/>
    <w:lvl w:ilvl="0" w:tplc="BF5A6B62">
      <w:start w:val="72"/>
      <w:numFmt w:val="bullet"/>
      <w:lvlText w:val="-"/>
      <w:lvlJc w:val="left"/>
      <w:pPr>
        <w:ind w:left="720" w:hanging="360"/>
      </w:pPr>
      <w:rPr>
        <w:rFonts w:ascii="Times New Roman" w:eastAsia="Aptos"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6DCF78F2"/>
    <w:multiLevelType w:val="hybridMultilevel"/>
    <w:tmpl w:val="53BA9C10"/>
    <w:lvl w:ilvl="0" w:tplc="A7ACF894">
      <w:start w:val="1"/>
      <w:numFmt w:val="bullet"/>
      <w:lvlText w:val=""/>
      <w:lvlJc w:val="left"/>
      <w:pPr>
        <w:ind w:left="720" w:hanging="360"/>
      </w:pPr>
      <w:rPr>
        <w:rFonts w:ascii="Symbol" w:hAnsi="Symbol"/>
      </w:rPr>
    </w:lvl>
    <w:lvl w:ilvl="1" w:tplc="0CF458DE">
      <w:start w:val="1"/>
      <w:numFmt w:val="bullet"/>
      <w:lvlText w:val=""/>
      <w:lvlJc w:val="left"/>
      <w:pPr>
        <w:ind w:left="720" w:hanging="360"/>
      </w:pPr>
      <w:rPr>
        <w:rFonts w:ascii="Symbol" w:hAnsi="Symbol"/>
      </w:rPr>
    </w:lvl>
    <w:lvl w:ilvl="2" w:tplc="D7568CEA">
      <w:start w:val="1"/>
      <w:numFmt w:val="bullet"/>
      <w:lvlText w:val=""/>
      <w:lvlJc w:val="left"/>
      <w:pPr>
        <w:ind w:left="720" w:hanging="360"/>
      </w:pPr>
      <w:rPr>
        <w:rFonts w:ascii="Symbol" w:hAnsi="Symbol"/>
      </w:rPr>
    </w:lvl>
    <w:lvl w:ilvl="3" w:tplc="4DBCBEC4">
      <w:start w:val="1"/>
      <w:numFmt w:val="bullet"/>
      <w:lvlText w:val=""/>
      <w:lvlJc w:val="left"/>
      <w:pPr>
        <w:ind w:left="720" w:hanging="360"/>
      </w:pPr>
      <w:rPr>
        <w:rFonts w:ascii="Symbol" w:hAnsi="Symbol"/>
      </w:rPr>
    </w:lvl>
    <w:lvl w:ilvl="4" w:tplc="EF7610FA">
      <w:start w:val="1"/>
      <w:numFmt w:val="bullet"/>
      <w:lvlText w:val=""/>
      <w:lvlJc w:val="left"/>
      <w:pPr>
        <w:ind w:left="720" w:hanging="360"/>
      </w:pPr>
      <w:rPr>
        <w:rFonts w:ascii="Symbol" w:hAnsi="Symbol"/>
      </w:rPr>
    </w:lvl>
    <w:lvl w:ilvl="5" w:tplc="B1C69198">
      <w:start w:val="1"/>
      <w:numFmt w:val="bullet"/>
      <w:lvlText w:val=""/>
      <w:lvlJc w:val="left"/>
      <w:pPr>
        <w:ind w:left="720" w:hanging="360"/>
      </w:pPr>
      <w:rPr>
        <w:rFonts w:ascii="Symbol" w:hAnsi="Symbol"/>
      </w:rPr>
    </w:lvl>
    <w:lvl w:ilvl="6" w:tplc="F9E438F6">
      <w:start w:val="1"/>
      <w:numFmt w:val="bullet"/>
      <w:lvlText w:val=""/>
      <w:lvlJc w:val="left"/>
      <w:pPr>
        <w:ind w:left="720" w:hanging="360"/>
      </w:pPr>
      <w:rPr>
        <w:rFonts w:ascii="Symbol" w:hAnsi="Symbol"/>
      </w:rPr>
    </w:lvl>
    <w:lvl w:ilvl="7" w:tplc="AE6CD606">
      <w:start w:val="1"/>
      <w:numFmt w:val="bullet"/>
      <w:lvlText w:val=""/>
      <w:lvlJc w:val="left"/>
      <w:pPr>
        <w:ind w:left="720" w:hanging="360"/>
      </w:pPr>
      <w:rPr>
        <w:rFonts w:ascii="Symbol" w:hAnsi="Symbol"/>
      </w:rPr>
    </w:lvl>
    <w:lvl w:ilvl="8" w:tplc="27FAEFF2">
      <w:start w:val="1"/>
      <w:numFmt w:val="bullet"/>
      <w:lvlText w:val=""/>
      <w:lvlJc w:val="left"/>
      <w:pPr>
        <w:ind w:left="720" w:hanging="360"/>
      </w:pPr>
      <w:rPr>
        <w:rFonts w:ascii="Symbol" w:hAnsi="Symbol"/>
      </w:rPr>
    </w:lvl>
  </w:abstractNum>
  <w:abstractNum w:abstractNumId="69" w15:restartNumberingAfterBreak="0">
    <w:nsid w:val="6F6F56F0"/>
    <w:multiLevelType w:val="hybridMultilevel"/>
    <w:tmpl w:val="E4784E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708C7D78"/>
    <w:multiLevelType w:val="hybridMultilevel"/>
    <w:tmpl w:val="7D0A6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3013129"/>
    <w:multiLevelType w:val="multilevel"/>
    <w:tmpl w:val="58F4F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73B367EA"/>
    <w:multiLevelType w:val="hybridMultilevel"/>
    <w:tmpl w:val="368C116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3" w15:restartNumberingAfterBreak="0">
    <w:nsid w:val="744544A2"/>
    <w:multiLevelType w:val="hybridMultilevel"/>
    <w:tmpl w:val="1CA40444"/>
    <w:lvl w:ilvl="0" w:tplc="FFFFFFFF">
      <w:start w:val="1"/>
      <w:numFmt w:val="lowerRoman"/>
      <w:lvlText w:val="(%1)"/>
      <w:lvlJc w:val="left"/>
      <w:pPr>
        <w:ind w:left="1080" w:hanging="72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486177A"/>
    <w:multiLevelType w:val="hybridMultilevel"/>
    <w:tmpl w:val="684CB47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71F384D"/>
    <w:multiLevelType w:val="multilevel"/>
    <w:tmpl w:val="9754E00C"/>
    <w:lvl w:ilvl="0">
      <w:start w:val="1"/>
      <w:numFmt w:val="lowerRoman"/>
      <w:lvlText w:val="(%1)"/>
      <w:lvlJc w:val="left"/>
      <w:pPr>
        <w:ind w:left="1080" w:hanging="720"/>
      </w:pPr>
      <w:rPr>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6" w15:restartNumberingAfterBreak="0">
    <w:nsid w:val="7A264B72"/>
    <w:multiLevelType w:val="hybridMultilevel"/>
    <w:tmpl w:val="684CB47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7BE54C83"/>
    <w:multiLevelType w:val="hybridMultilevel"/>
    <w:tmpl w:val="0BB4362C"/>
    <w:lvl w:ilvl="0" w:tplc="A72CD960">
      <w:start w:val="1"/>
      <w:numFmt w:val="bullet"/>
      <w:lvlText w:val=""/>
      <w:lvlJc w:val="left"/>
      <w:pPr>
        <w:ind w:left="720" w:hanging="360"/>
      </w:pPr>
      <w:rPr>
        <w:rFonts w:ascii="Symbol" w:hAnsi="Symbol"/>
      </w:rPr>
    </w:lvl>
    <w:lvl w:ilvl="1" w:tplc="E098D1B4">
      <w:start w:val="1"/>
      <w:numFmt w:val="bullet"/>
      <w:lvlText w:val=""/>
      <w:lvlJc w:val="left"/>
      <w:pPr>
        <w:ind w:left="720" w:hanging="360"/>
      </w:pPr>
      <w:rPr>
        <w:rFonts w:ascii="Symbol" w:hAnsi="Symbol"/>
      </w:rPr>
    </w:lvl>
    <w:lvl w:ilvl="2" w:tplc="8940E028">
      <w:start w:val="1"/>
      <w:numFmt w:val="bullet"/>
      <w:lvlText w:val=""/>
      <w:lvlJc w:val="left"/>
      <w:pPr>
        <w:ind w:left="720" w:hanging="360"/>
      </w:pPr>
      <w:rPr>
        <w:rFonts w:ascii="Symbol" w:hAnsi="Symbol"/>
      </w:rPr>
    </w:lvl>
    <w:lvl w:ilvl="3" w:tplc="1D522D60">
      <w:start w:val="1"/>
      <w:numFmt w:val="bullet"/>
      <w:lvlText w:val=""/>
      <w:lvlJc w:val="left"/>
      <w:pPr>
        <w:ind w:left="720" w:hanging="360"/>
      </w:pPr>
      <w:rPr>
        <w:rFonts w:ascii="Symbol" w:hAnsi="Symbol"/>
      </w:rPr>
    </w:lvl>
    <w:lvl w:ilvl="4" w:tplc="40DCC952">
      <w:start w:val="1"/>
      <w:numFmt w:val="bullet"/>
      <w:lvlText w:val=""/>
      <w:lvlJc w:val="left"/>
      <w:pPr>
        <w:ind w:left="720" w:hanging="360"/>
      </w:pPr>
      <w:rPr>
        <w:rFonts w:ascii="Symbol" w:hAnsi="Symbol"/>
      </w:rPr>
    </w:lvl>
    <w:lvl w:ilvl="5" w:tplc="FC82ABD8">
      <w:start w:val="1"/>
      <w:numFmt w:val="bullet"/>
      <w:lvlText w:val=""/>
      <w:lvlJc w:val="left"/>
      <w:pPr>
        <w:ind w:left="720" w:hanging="360"/>
      </w:pPr>
      <w:rPr>
        <w:rFonts w:ascii="Symbol" w:hAnsi="Symbol"/>
      </w:rPr>
    </w:lvl>
    <w:lvl w:ilvl="6" w:tplc="2984F88A">
      <w:start w:val="1"/>
      <w:numFmt w:val="bullet"/>
      <w:lvlText w:val=""/>
      <w:lvlJc w:val="left"/>
      <w:pPr>
        <w:ind w:left="720" w:hanging="360"/>
      </w:pPr>
      <w:rPr>
        <w:rFonts w:ascii="Symbol" w:hAnsi="Symbol"/>
      </w:rPr>
    </w:lvl>
    <w:lvl w:ilvl="7" w:tplc="717880EE">
      <w:start w:val="1"/>
      <w:numFmt w:val="bullet"/>
      <w:lvlText w:val=""/>
      <w:lvlJc w:val="left"/>
      <w:pPr>
        <w:ind w:left="720" w:hanging="360"/>
      </w:pPr>
      <w:rPr>
        <w:rFonts w:ascii="Symbol" w:hAnsi="Symbol"/>
      </w:rPr>
    </w:lvl>
    <w:lvl w:ilvl="8" w:tplc="C728E4A2">
      <w:start w:val="1"/>
      <w:numFmt w:val="bullet"/>
      <w:lvlText w:val=""/>
      <w:lvlJc w:val="left"/>
      <w:pPr>
        <w:ind w:left="720" w:hanging="360"/>
      </w:pPr>
      <w:rPr>
        <w:rFonts w:ascii="Symbol" w:hAnsi="Symbol"/>
      </w:rPr>
    </w:lvl>
  </w:abstractNum>
  <w:abstractNum w:abstractNumId="78" w15:restartNumberingAfterBreak="0">
    <w:nsid w:val="7EF254E7"/>
    <w:multiLevelType w:val="hybridMultilevel"/>
    <w:tmpl w:val="AD5C320E"/>
    <w:lvl w:ilvl="0" w:tplc="CD62CCFA">
      <w:start w:val="1"/>
      <w:numFmt w:val="bullet"/>
      <w:lvlText w:val="•"/>
      <w:lvlJc w:val="left"/>
      <w:pPr>
        <w:tabs>
          <w:tab w:val="num" w:pos="720"/>
        </w:tabs>
        <w:ind w:left="720" w:hanging="360"/>
      </w:pPr>
      <w:rPr>
        <w:rFonts w:ascii="Arial" w:hAnsi="Arial" w:hint="default"/>
      </w:rPr>
    </w:lvl>
    <w:lvl w:ilvl="1" w:tplc="08A60868" w:tentative="1">
      <w:start w:val="1"/>
      <w:numFmt w:val="bullet"/>
      <w:lvlText w:val="•"/>
      <w:lvlJc w:val="left"/>
      <w:pPr>
        <w:tabs>
          <w:tab w:val="num" w:pos="1440"/>
        </w:tabs>
        <w:ind w:left="1440" w:hanging="360"/>
      </w:pPr>
      <w:rPr>
        <w:rFonts w:ascii="Arial" w:hAnsi="Arial" w:hint="default"/>
      </w:rPr>
    </w:lvl>
    <w:lvl w:ilvl="2" w:tplc="FC4CB276" w:tentative="1">
      <w:start w:val="1"/>
      <w:numFmt w:val="bullet"/>
      <w:lvlText w:val="•"/>
      <w:lvlJc w:val="left"/>
      <w:pPr>
        <w:tabs>
          <w:tab w:val="num" w:pos="2160"/>
        </w:tabs>
        <w:ind w:left="2160" w:hanging="360"/>
      </w:pPr>
      <w:rPr>
        <w:rFonts w:ascii="Arial" w:hAnsi="Arial" w:hint="default"/>
      </w:rPr>
    </w:lvl>
    <w:lvl w:ilvl="3" w:tplc="FDE4BA00" w:tentative="1">
      <w:start w:val="1"/>
      <w:numFmt w:val="bullet"/>
      <w:lvlText w:val="•"/>
      <w:lvlJc w:val="left"/>
      <w:pPr>
        <w:tabs>
          <w:tab w:val="num" w:pos="2880"/>
        </w:tabs>
        <w:ind w:left="2880" w:hanging="360"/>
      </w:pPr>
      <w:rPr>
        <w:rFonts w:ascii="Arial" w:hAnsi="Arial" w:hint="default"/>
      </w:rPr>
    </w:lvl>
    <w:lvl w:ilvl="4" w:tplc="344A4FD0" w:tentative="1">
      <w:start w:val="1"/>
      <w:numFmt w:val="bullet"/>
      <w:lvlText w:val="•"/>
      <w:lvlJc w:val="left"/>
      <w:pPr>
        <w:tabs>
          <w:tab w:val="num" w:pos="3600"/>
        </w:tabs>
        <w:ind w:left="3600" w:hanging="360"/>
      </w:pPr>
      <w:rPr>
        <w:rFonts w:ascii="Arial" w:hAnsi="Arial" w:hint="default"/>
      </w:rPr>
    </w:lvl>
    <w:lvl w:ilvl="5" w:tplc="54D00D58" w:tentative="1">
      <w:start w:val="1"/>
      <w:numFmt w:val="bullet"/>
      <w:lvlText w:val="•"/>
      <w:lvlJc w:val="left"/>
      <w:pPr>
        <w:tabs>
          <w:tab w:val="num" w:pos="4320"/>
        </w:tabs>
        <w:ind w:left="4320" w:hanging="360"/>
      </w:pPr>
      <w:rPr>
        <w:rFonts w:ascii="Arial" w:hAnsi="Arial" w:hint="default"/>
      </w:rPr>
    </w:lvl>
    <w:lvl w:ilvl="6" w:tplc="5E2E796C" w:tentative="1">
      <w:start w:val="1"/>
      <w:numFmt w:val="bullet"/>
      <w:lvlText w:val="•"/>
      <w:lvlJc w:val="left"/>
      <w:pPr>
        <w:tabs>
          <w:tab w:val="num" w:pos="5040"/>
        </w:tabs>
        <w:ind w:left="5040" w:hanging="360"/>
      </w:pPr>
      <w:rPr>
        <w:rFonts w:ascii="Arial" w:hAnsi="Arial" w:hint="default"/>
      </w:rPr>
    </w:lvl>
    <w:lvl w:ilvl="7" w:tplc="93CEE606" w:tentative="1">
      <w:start w:val="1"/>
      <w:numFmt w:val="bullet"/>
      <w:lvlText w:val="•"/>
      <w:lvlJc w:val="left"/>
      <w:pPr>
        <w:tabs>
          <w:tab w:val="num" w:pos="5760"/>
        </w:tabs>
        <w:ind w:left="5760" w:hanging="360"/>
      </w:pPr>
      <w:rPr>
        <w:rFonts w:ascii="Arial" w:hAnsi="Arial" w:hint="default"/>
      </w:rPr>
    </w:lvl>
    <w:lvl w:ilvl="8" w:tplc="218EC87E" w:tentative="1">
      <w:start w:val="1"/>
      <w:numFmt w:val="bullet"/>
      <w:lvlText w:val="•"/>
      <w:lvlJc w:val="left"/>
      <w:pPr>
        <w:tabs>
          <w:tab w:val="num" w:pos="6480"/>
        </w:tabs>
        <w:ind w:left="6480" w:hanging="360"/>
      </w:pPr>
      <w:rPr>
        <w:rFonts w:ascii="Arial" w:hAnsi="Arial" w:hint="default"/>
      </w:rPr>
    </w:lvl>
  </w:abstractNum>
  <w:num w:numId="1">
    <w:abstractNumId w:val="36"/>
  </w:num>
  <w:num w:numId="2">
    <w:abstractNumId w:val="29"/>
  </w:num>
  <w:num w:numId="3">
    <w:abstractNumId w:val="20"/>
  </w:num>
  <w:num w:numId="4">
    <w:abstractNumId w:val="68"/>
  </w:num>
  <w:num w:numId="5">
    <w:abstractNumId w:val="47"/>
  </w:num>
  <w:num w:numId="6">
    <w:abstractNumId w:val="32"/>
  </w:num>
  <w:num w:numId="7">
    <w:abstractNumId w:val="0"/>
  </w:num>
  <w:num w:numId="8">
    <w:abstractNumId w:val="70"/>
  </w:num>
  <w:num w:numId="9">
    <w:abstractNumId w:val="63"/>
  </w:num>
  <w:num w:numId="10">
    <w:abstractNumId w:val="53"/>
  </w:num>
  <w:num w:numId="11">
    <w:abstractNumId w:val="11"/>
  </w:num>
  <w:num w:numId="12">
    <w:abstractNumId w:val="30"/>
  </w:num>
  <w:num w:numId="13">
    <w:abstractNumId w:val="22"/>
  </w:num>
  <w:num w:numId="14">
    <w:abstractNumId w:val="37"/>
  </w:num>
  <w:num w:numId="15">
    <w:abstractNumId w:val="7"/>
  </w:num>
  <w:num w:numId="16">
    <w:abstractNumId w:val="5"/>
  </w:num>
  <w:num w:numId="17">
    <w:abstractNumId w:val="44"/>
  </w:num>
  <w:num w:numId="18">
    <w:abstractNumId w:val="34"/>
  </w:num>
  <w:num w:numId="19">
    <w:abstractNumId w:val="56"/>
  </w:num>
  <w:num w:numId="20">
    <w:abstractNumId w:val="59"/>
  </w:num>
  <w:num w:numId="21">
    <w:abstractNumId w:val="28"/>
  </w:num>
  <w:num w:numId="22">
    <w:abstractNumId w:val="31"/>
  </w:num>
  <w:num w:numId="23">
    <w:abstractNumId w:val="61"/>
  </w:num>
  <w:num w:numId="24">
    <w:abstractNumId w:val="73"/>
  </w:num>
  <w:num w:numId="25">
    <w:abstractNumId w:val="64"/>
  </w:num>
  <w:num w:numId="26">
    <w:abstractNumId w:val="35"/>
  </w:num>
  <w:num w:numId="27">
    <w:abstractNumId w:val="12"/>
  </w:num>
  <w:num w:numId="28">
    <w:abstractNumId w:val="78"/>
  </w:num>
  <w:num w:numId="29">
    <w:abstractNumId w:val="27"/>
  </w:num>
  <w:num w:numId="30">
    <w:abstractNumId w:val="9"/>
  </w:num>
  <w:num w:numId="31">
    <w:abstractNumId w:val="57"/>
  </w:num>
  <w:num w:numId="32">
    <w:abstractNumId w:val="66"/>
  </w:num>
  <w:num w:numId="33">
    <w:abstractNumId w:val="43"/>
  </w:num>
  <w:num w:numId="34">
    <w:abstractNumId w:val="2"/>
  </w:num>
  <w:num w:numId="35">
    <w:abstractNumId w:val="60"/>
  </w:num>
  <w:num w:numId="36">
    <w:abstractNumId w:val="1"/>
  </w:num>
  <w:num w:numId="37">
    <w:abstractNumId w:val="50"/>
  </w:num>
  <w:num w:numId="38">
    <w:abstractNumId w:val="58"/>
  </w:num>
  <w:num w:numId="39">
    <w:abstractNumId w:val="62"/>
  </w:num>
  <w:num w:numId="40">
    <w:abstractNumId w:val="15"/>
  </w:num>
  <w:num w:numId="41">
    <w:abstractNumId w:val="48"/>
  </w:num>
  <w:num w:numId="42">
    <w:abstractNumId w:val="26"/>
  </w:num>
  <w:num w:numId="43">
    <w:abstractNumId w:val="67"/>
  </w:num>
  <w:num w:numId="44">
    <w:abstractNumId w:val="19"/>
  </w:num>
  <w:num w:numId="45">
    <w:abstractNumId w:val="8"/>
  </w:num>
  <w:num w:numId="46">
    <w:abstractNumId w:val="10"/>
  </w:num>
  <w:num w:numId="47">
    <w:abstractNumId w:val="3"/>
  </w:num>
  <w:num w:numId="48">
    <w:abstractNumId w:val="55"/>
  </w:num>
  <w:num w:numId="49">
    <w:abstractNumId w:val="21"/>
  </w:num>
  <w:num w:numId="50">
    <w:abstractNumId w:val="49"/>
  </w:num>
  <w:num w:numId="51">
    <w:abstractNumId w:val="72"/>
  </w:num>
  <w:num w:numId="52">
    <w:abstractNumId w:val="33"/>
  </w:num>
  <w:num w:numId="53">
    <w:abstractNumId w:val="54"/>
  </w:num>
  <w:num w:numId="54">
    <w:abstractNumId w:val="18"/>
  </w:num>
  <w:num w:numId="55">
    <w:abstractNumId w:val="13"/>
  </w:num>
  <w:num w:numId="56">
    <w:abstractNumId w:val="24"/>
  </w:num>
  <w:num w:numId="57">
    <w:abstractNumId w:val="46"/>
  </w:num>
  <w:num w:numId="58">
    <w:abstractNumId w:val="75"/>
  </w:num>
  <w:num w:numId="59">
    <w:abstractNumId w:val="65"/>
  </w:num>
  <w:num w:numId="60">
    <w:abstractNumId w:val="38"/>
  </w:num>
  <w:num w:numId="61">
    <w:abstractNumId w:val="77"/>
  </w:num>
  <w:num w:numId="62">
    <w:abstractNumId w:val="14"/>
  </w:num>
  <w:num w:numId="63">
    <w:abstractNumId w:val="41"/>
  </w:num>
  <w:num w:numId="64">
    <w:abstractNumId w:val="23"/>
    <w:lvlOverride w:ilvl="0">
      <w:startOverride w:val="1"/>
    </w:lvlOverride>
    <w:lvlOverride w:ilvl="1"/>
    <w:lvlOverride w:ilvl="2"/>
    <w:lvlOverride w:ilvl="3"/>
    <w:lvlOverride w:ilvl="4"/>
    <w:lvlOverride w:ilvl="5"/>
    <w:lvlOverride w:ilvl="6"/>
    <w:lvlOverride w:ilvl="7"/>
    <w:lvlOverride w:ilvl="8"/>
  </w:num>
  <w:num w:numId="65">
    <w:abstractNumId w:val="51"/>
  </w:num>
  <w:num w:numId="66">
    <w:abstractNumId w:val="42"/>
  </w:num>
  <w:num w:numId="67">
    <w:abstractNumId w:val="71"/>
  </w:num>
  <w:num w:numId="68">
    <w:abstractNumId w:val="4"/>
  </w:num>
  <w:num w:numId="69">
    <w:abstractNumId w:val="39"/>
  </w:num>
  <w:num w:numId="70">
    <w:abstractNumId w:val="45"/>
  </w:num>
  <w:num w:numId="71">
    <w:abstractNumId w:val="25"/>
  </w:num>
  <w:num w:numId="72">
    <w:abstractNumId w:val="74"/>
  </w:num>
  <w:num w:numId="73">
    <w:abstractNumId w:val="76"/>
  </w:num>
  <w:num w:numId="74">
    <w:abstractNumId w:val="23"/>
  </w:num>
  <w:num w:numId="75">
    <w:abstractNumId w:val="17"/>
  </w:num>
  <w:num w:numId="76">
    <w:abstractNumId w:val="6"/>
  </w:num>
  <w:num w:numId="77">
    <w:abstractNumId w:val="52"/>
  </w:num>
  <w:num w:numId="78">
    <w:abstractNumId w:val="69"/>
  </w:num>
  <w:num w:numId="79">
    <w:abstractNumId w:val="16"/>
  </w:num>
  <w:num w:numId="80">
    <w:abstractNumId w:val="40"/>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
    <w:docVar w:name="LW_CORRIGENDUM" w:val="&lt;UNUSED&gt;"/>
    <w:docVar w:name="LW_COVERPAGE_EXISTS" w:val="True"/>
    <w:docVar w:name="LW_COVERPAGE_GUID" w:val="7F293793-33BF-4922-A849-C720FDF8A3E9"/>
    <w:docVar w:name="LW_COVERPAGE_TYPE" w:val="1"/>
    <w:docVar w:name="LW_CROSSREFERENCE" w:val="{COM(2026) 615 final}"/>
    <w:docVar w:name="LW_DocType" w:val="NORMAL"/>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Competitiveness of the Banking Sector and the Single Market in Banking"/>
    <w:docVar w:name="LW_PART_NBR" w:val="1"/>
    <w:docVar w:name="LW_PART_NBR_TOTAL" w:val="1"/>
    <w:docVar w:name="LW_REF.INST.NEW" w:val="SWD"/>
    <w:docVar w:name="LW_REF.INST.NEW_ADOPTED" w:val="final"/>
    <w:docVar w:name="LW_REF.INST.NEW_TEXT" w:val="(2026) 61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
    <w:docVar w:name="LW_TYPEACTEPRINCIPAL.CP" w:val="COMMUNICATION FROM THE COMMISSION TO THE EUROPEAN PARLIAMENT, THE COUNCIL, THE EUROPEAN CENTRAL BANK, THE EUROPEAN ECONOMIC AND SOCIAL COMMITEE AND THE COMMITTEE OF THE REGIONS "/>
    <w:docVar w:name="LwApiVersions" w:val="LW4CoDe 1.24.5.0; LW 9.2, Build 20251112"/>
  </w:docVars>
  <w:rsids>
    <w:rsidRoot w:val="00077B3A"/>
    <w:rsid w:val="000000F9"/>
    <w:rsid w:val="00000183"/>
    <w:rsid w:val="000002F6"/>
    <w:rsid w:val="0000039F"/>
    <w:rsid w:val="0000043D"/>
    <w:rsid w:val="000004EF"/>
    <w:rsid w:val="00000768"/>
    <w:rsid w:val="00000785"/>
    <w:rsid w:val="000007A0"/>
    <w:rsid w:val="000008C6"/>
    <w:rsid w:val="00000A34"/>
    <w:rsid w:val="00000A89"/>
    <w:rsid w:val="00000BC7"/>
    <w:rsid w:val="00000CED"/>
    <w:rsid w:val="00000D07"/>
    <w:rsid w:val="00000D1B"/>
    <w:rsid w:val="00000E5D"/>
    <w:rsid w:val="000010D6"/>
    <w:rsid w:val="000010F0"/>
    <w:rsid w:val="00001401"/>
    <w:rsid w:val="00001532"/>
    <w:rsid w:val="000015EE"/>
    <w:rsid w:val="0000160F"/>
    <w:rsid w:val="00001695"/>
    <w:rsid w:val="00001889"/>
    <w:rsid w:val="00001A4E"/>
    <w:rsid w:val="00001ABA"/>
    <w:rsid w:val="00001B2A"/>
    <w:rsid w:val="00001BCF"/>
    <w:rsid w:val="00001BD3"/>
    <w:rsid w:val="00001E3A"/>
    <w:rsid w:val="00001EF3"/>
    <w:rsid w:val="00001F09"/>
    <w:rsid w:val="00001F8E"/>
    <w:rsid w:val="00002023"/>
    <w:rsid w:val="00002078"/>
    <w:rsid w:val="00002524"/>
    <w:rsid w:val="000025D7"/>
    <w:rsid w:val="0000266D"/>
    <w:rsid w:val="0000269B"/>
    <w:rsid w:val="000026F5"/>
    <w:rsid w:val="00002855"/>
    <w:rsid w:val="00002BF3"/>
    <w:rsid w:val="00002BFB"/>
    <w:rsid w:val="00002C7E"/>
    <w:rsid w:val="00002C9C"/>
    <w:rsid w:val="00002D9F"/>
    <w:rsid w:val="00002FD0"/>
    <w:rsid w:val="00003353"/>
    <w:rsid w:val="000033A6"/>
    <w:rsid w:val="00003490"/>
    <w:rsid w:val="000034E0"/>
    <w:rsid w:val="0000350C"/>
    <w:rsid w:val="0000353F"/>
    <w:rsid w:val="000036BE"/>
    <w:rsid w:val="000036D0"/>
    <w:rsid w:val="0000382A"/>
    <w:rsid w:val="000038C9"/>
    <w:rsid w:val="000039E3"/>
    <w:rsid w:val="00003BB8"/>
    <w:rsid w:val="00003C3F"/>
    <w:rsid w:val="00003F1F"/>
    <w:rsid w:val="00003F4E"/>
    <w:rsid w:val="00003F98"/>
    <w:rsid w:val="00003FA3"/>
    <w:rsid w:val="00003FFB"/>
    <w:rsid w:val="0000412E"/>
    <w:rsid w:val="00004135"/>
    <w:rsid w:val="00004365"/>
    <w:rsid w:val="0000455E"/>
    <w:rsid w:val="000047B9"/>
    <w:rsid w:val="000048DD"/>
    <w:rsid w:val="00004A3D"/>
    <w:rsid w:val="00004DD7"/>
    <w:rsid w:val="00005146"/>
    <w:rsid w:val="000052D3"/>
    <w:rsid w:val="000054F1"/>
    <w:rsid w:val="00005538"/>
    <w:rsid w:val="000055DE"/>
    <w:rsid w:val="0000575C"/>
    <w:rsid w:val="000057F2"/>
    <w:rsid w:val="0000584C"/>
    <w:rsid w:val="00005B05"/>
    <w:rsid w:val="00005F1E"/>
    <w:rsid w:val="00006192"/>
    <w:rsid w:val="000061A5"/>
    <w:rsid w:val="000061EC"/>
    <w:rsid w:val="000061FA"/>
    <w:rsid w:val="000062B6"/>
    <w:rsid w:val="000065AF"/>
    <w:rsid w:val="0000671B"/>
    <w:rsid w:val="000067E7"/>
    <w:rsid w:val="0000683A"/>
    <w:rsid w:val="0000686A"/>
    <w:rsid w:val="000068AA"/>
    <w:rsid w:val="00006A45"/>
    <w:rsid w:val="00006A4F"/>
    <w:rsid w:val="00006B64"/>
    <w:rsid w:val="00006BCC"/>
    <w:rsid w:val="00006CA1"/>
    <w:rsid w:val="00006D13"/>
    <w:rsid w:val="00006D84"/>
    <w:rsid w:val="000070B1"/>
    <w:rsid w:val="00007182"/>
    <w:rsid w:val="0000741D"/>
    <w:rsid w:val="00007503"/>
    <w:rsid w:val="0000753A"/>
    <w:rsid w:val="00007838"/>
    <w:rsid w:val="00007BC5"/>
    <w:rsid w:val="00007D75"/>
    <w:rsid w:val="00007E3B"/>
    <w:rsid w:val="00007E92"/>
    <w:rsid w:val="00007FE6"/>
    <w:rsid w:val="0001016A"/>
    <w:rsid w:val="00010438"/>
    <w:rsid w:val="00010569"/>
    <w:rsid w:val="000107DB"/>
    <w:rsid w:val="0001090B"/>
    <w:rsid w:val="00010BE1"/>
    <w:rsid w:val="00010C29"/>
    <w:rsid w:val="00010D23"/>
    <w:rsid w:val="00010E62"/>
    <w:rsid w:val="00010FAB"/>
    <w:rsid w:val="00010FD4"/>
    <w:rsid w:val="00011093"/>
    <w:rsid w:val="0001145C"/>
    <w:rsid w:val="00011469"/>
    <w:rsid w:val="00011474"/>
    <w:rsid w:val="000118E3"/>
    <w:rsid w:val="00011A4C"/>
    <w:rsid w:val="00011AD8"/>
    <w:rsid w:val="00011BA4"/>
    <w:rsid w:val="00011C01"/>
    <w:rsid w:val="00011C8F"/>
    <w:rsid w:val="00011D1A"/>
    <w:rsid w:val="00011E10"/>
    <w:rsid w:val="00011E66"/>
    <w:rsid w:val="00012043"/>
    <w:rsid w:val="00012327"/>
    <w:rsid w:val="000123C6"/>
    <w:rsid w:val="00012586"/>
    <w:rsid w:val="0001259A"/>
    <w:rsid w:val="000125B0"/>
    <w:rsid w:val="00012ABF"/>
    <w:rsid w:val="00012B8C"/>
    <w:rsid w:val="00012BBB"/>
    <w:rsid w:val="00012C02"/>
    <w:rsid w:val="00012CBB"/>
    <w:rsid w:val="00012DBA"/>
    <w:rsid w:val="0001326D"/>
    <w:rsid w:val="000133F9"/>
    <w:rsid w:val="000136DE"/>
    <w:rsid w:val="000137BD"/>
    <w:rsid w:val="000137F4"/>
    <w:rsid w:val="00013D1B"/>
    <w:rsid w:val="00013D73"/>
    <w:rsid w:val="00013FB0"/>
    <w:rsid w:val="000141F1"/>
    <w:rsid w:val="000142A3"/>
    <w:rsid w:val="000142E8"/>
    <w:rsid w:val="000144D6"/>
    <w:rsid w:val="00014513"/>
    <w:rsid w:val="000145C2"/>
    <w:rsid w:val="000146A8"/>
    <w:rsid w:val="00014881"/>
    <w:rsid w:val="00014948"/>
    <w:rsid w:val="00014996"/>
    <w:rsid w:val="000149E2"/>
    <w:rsid w:val="00014C96"/>
    <w:rsid w:val="00014E22"/>
    <w:rsid w:val="00014E81"/>
    <w:rsid w:val="00014EFC"/>
    <w:rsid w:val="00014F4C"/>
    <w:rsid w:val="00014FD5"/>
    <w:rsid w:val="00014FFB"/>
    <w:rsid w:val="00015016"/>
    <w:rsid w:val="000151D1"/>
    <w:rsid w:val="000153ED"/>
    <w:rsid w:val="000154A0"/>
    <w:rsid w:val="000155CA"/>
    <w:rsid w:val="00015652"/>
    <w:rsid w:val="0001567F"/>
    <w:rsid w:val="00015683"/>
    <w:rsid w:val="00015970"/>
    <w:rsid w:val="000159CF"/>
    <w:rsid w:val="000159DC"/>
    <w:rsid w:val="00015D04"/>
    <w:rsid w:val="00015DA7"/>
    <w:rsid w:val="00015EEC"/>
    <w:rsid w:val="00015F34"/>
    <w:rsid w:val="00015FAB"/>
    <w:rsid w:val="000160F3"/>
    <w:rsid w:val="000161DE"/>
    <w:rsid w:val="000162A2"/>
    <w:rsid w:val="00016355"/>
    <w:rsid w:val="000163E1"/>
    <w:rsid w:val="000164A9"/>
    <w:rsid w:val="0001664E"/>
    <w:rsid w:val="00016686"/>
    <w:rsid w:val="000166AE"/>
    <w:rsid w:val="00016747"/>
    <w:rsid w:val="0001688E"/>
    <w:rsid w:val="00016AF4"/>
    <w:rsid w:val="00016C46"/>
    <w:rsid w:val="00016DFF"/>
    <w:rsid w:val="00016FA9"/>
    <w:rsid w:val="0001708D"/>
    <w:rsid w:val="00017190"/>
    <w:rsid w:val="00017345"/>
    <w:rsid w:val="000173BA"/>
    <w:rsid w:val="00017418"/>
    <w:rsid w:val="0001746E"/>
    <w:rsid w:val="000175B9"/>
    <w:rsid w:val="00017713"/>
    <w:rsid w:val="000177B2"/>
    <w:rsid w:val="00017838"/>
    <w:rsid w:val="00017927"/>
    <w:rsid w:val="00017A9D"/>
    <w:rsid w:val="00017BB6"/>
    <w:rsid w:val="00017BC1"/>
    <w:rsid w:val="00017C7F"/>
    <w:rsid w:val="00017C8A"/>
    <w:rsid w:val="00017CA5"/>
    <w:rsid w:val="00017DAA"/>
    <w:rsid w:val="0002004F"/>
    <w:rsid w:val="00020311"/>
    <w:rsid w:val="00020445"/>
    <w:rsid w:val="00020546"/>
    <w:rsid w:val="000205B2"/>
    <w:rsid w:val="000205D6"/>
    <w:rsid w:val="0002085D"/>
    <w:rsid w:val="00020887"/>
    <w:rsid w:val="000208A0"/>
    <w:rsid w:val="00020B77"/>
    <w:rsid w:val="00020BDC"/>
    <w:rsid w:val="00020C55"/>
    <w:rsid w:val="00020E05"/>
    <w:rsid w:val="00020E06"/>
    <w:rsid w:val="00020FED"/>
    <w:rsid w:val="00021060"/>
    <w:rsid w:val="000210B4"/>
    <w:rsid w:val="000210EE"/>
    <w:rsid w:val="000212A1"/>
    <w:rsid w:val="000212E4"/>
    <w:rsid w:val="0002144D"/>
    <w:rsid w:val="00021650"/>
    <w:rsid w:val="000219AA"/>
    <w:rsid w:val="00021AEA"/>
    <w:rsid w:val="00021B22"/>
    <w:rsid w:val="00021BD2"/>
    <w:rsid w:val="00021F19"/>
    <w:rsid w:val="000221BF"/>
    <w:rsid w:val="0002229F"/>
    <w:rsid w:val="0002236D"/>
    <w:rsid w:val="000223AC"/>
    <w:rsid w:val="000223EC"/>
    <w:rsid w:val="0002252F"/>
    <w:rsid w:val="00022588"/>
    <w:rsid w:val="00022822"/>
    <w:rsid w:val="00022B78"/>
    <w:rsid w:val="00022C34"/>
    <w:rsid w:val="00022CBC"/>
    <w:rsid w:val="00022CEA"/>
    <w:rsid w:val="00022DBE"/>
    <w:rsid w:val="00022E4D"/>
    <w:rsid w:val="00022E94"/>
    <w:rsid w:val="00022F39"/>
    <w:rsid w:val="00023038"/>
    <w:rsid w:val="00023126"/>
    <w:rsid w:val="00023172"/>
    <w:rsid w:val="000232E0"/>
    <w:rsid w:val="00023468"/>
    <w:rsid w:val="00023483"/>
    <w:rsid w:val="000234EB"/>
    <w:rsid w:val="0002355B"/>
    <w:rsid w:val="000235FA"/>
    <w:rsid w:val="0002360C"/>
    <w:rsid w:val="000236CA"/>
    <w:rsid w:val="000237F9"/>
    <w:rsid w:val="00023872"/>
    <w:rsid w:val="00023BDF"/>
    <w:rsid w:val="00023D07"/>
    <w:rsid w:val="00023DE8"/>
    <w:rsid w:val="00023DF2"/>
    <w:rsid w:val="00023FDB"/>
    <w:rsid w:val="000240DA"/>
    <w:rsid w:val="0002421E"/>
    <w:rsid w:val="000242C6"/>
    <w:rsid w:val="000243C0"/>
    <w:rsid w:val="0002445A"/>
    <w:rsid w:val="000245CD"/>
    <w:rsid w:val="00024669"/>
    <w:rsid w:val="00024805"/>
    <w:rsid w:val="00024889"/>
    <w:rsid w:val="0002491C"/>
    <w:rsid w:val="00024AEA"/>
    <w:rsid w:val="00024D1E"/>
    <w:rsid w:val="00024D70"/>
    <w:rsid w:val="00024DB7"/>
    <w:rsid w:val="00024DC3"/>
    <w:rsid w:val="00024EE1"/>
    <w:rsid w:val="00025126"/>
    <w:rsid w:val="00025208"/>
    <w:rsid w:val="0002548D"/>
    <w:rsid w:val="000257D6"/>
    <w:rsid w:val="0002592D"/>
    <w:rsid w:val="0002599A"/>
    <w:rsid w:val="00025A34"/>
    <w:rsid w:val="00025D0A"/>
    <w:rsid w:val="00025F6B"/>
    <w:rsid w:val="00026041"/>
    <w:rsid w:val="00026042"/>
    <w:rsid w:val="0002610D"/>
    <w:rsid w:val="000262A2"/>
    <w:rsid w:val="00026395"/>
    <w:rsid w:val="000263EC"/>
    <w:rsid w:val="00026584"/>
    <w:rsid w:val="000265A6"/>
    <w:rsid w:val="00026995"/>
    <w:rsid w:val="00026A49"/>
    <w:rsid w:val="00026A59"/>
    <w:rsid w:val="00026BBC"/>
    <w:rsid w:val="00026BF3"/>
    <w:rsid w:val="00026D90"/>
    <w:rsid w:val="00026F21"/>
    <w:rsid w:val="00026FDF"/>
    <w:rsid w:val="0002716C"/>
    <w:rsid w:val="0002719F"/>
    <w:rsid w:val="00027284"/>
    <w:rsid w:val="00027293"/>
    <w:rsid w:val="000272AE"/>
    <w:rsid w:val="000273C8"/>
    <w:rsid w:val="000274E9"/>
    <w:rsid w:val="00027661"/>
    <w:rsid w:val="000276AF"/>
    <w:rsid w:val="0002771A"/>
    <w:rsid w:val="00027721"/>
    <w:rsid w:val="00027743"/>
    <w:rsid w:val="00027912"/>
    <w:rsid w:val="000279EF"/>
    <w:rsid w:val="00027A20"/>
    <w:rsid w:val="00027A4A"/>
    <w:rsid w:val="00027CE6"/>
    <w:rsid w:val="00027D38"/>
    <w:rsid w:val="00027E31"/>
    <w:rsid w:val="000301E7"/>
    <w:rsid w:val="000303FA"/>
    <w:rsid w:val="00030418"/>
    <w:rsid w:val="000305E7"/>
    <w:rsid w:val="0003079D"/>
    <w:rsid w:val="00030864"/>
    <w:rsid w:val="00030921"/>
    <w:rsid w:val="00030D09"/>
    <w:rsid w:val="00030D5C"/>
    <w:rsid w:val="00030D68"/>
    <w:rsid w:val="00030E26"/>
    <w:rsid w:val="00030E4D"/>
    <w:rsid w:val="00030F9F"/>
    <w:rsid w:val="0003104C"/>
    <w:rsid w:val="00031329"/>
    <w:rsid w:val="000313B0"/>
    <w:rsid w:val="0003144B"/>
    <w:rsid w:val="00031711"/>
    <w:rsid w:val="00031760"/>
    <w:rsid w:val="00031850"/>
    <w:rsid w:val="00031B63"/>
    <w:rsid w:val="00031DA9"/>
    <w:rsid w:val="00031E2B"/>
    <w:rsid w:val="00031F4A"/>
    <w:rsid w:val="0003201B"/>
    <w:rsid w:val="0003203C"/>
    <w:rsid w:val="000320C8"/>
    <w:rsid w:val="0003212E"/>
    <w:rsid w:val="00032251"/>
    <w:rsid w:val="00032623"/>
    <w:rsid w:val="00032631"/>
    <w:rsid w:val="00032669"/>
    <w:rsid w:val="000326A3"/>
    <w:rsid w:val="000326E3"/>
    <w:rsid w:val="0003272C"/>
    <w:rsid w:val="000328D2"/>
    <w:rsid w:val="000329CB"/>
    <w:rsid w:val="00032AEB"/>
    <w:rsid w:val="00032C0E"/>
    <w:rsid w:val="00032D95"/>
    <w:rsid w:val="00032E6D"/>
    <w:rsid w:val="00032E97"/>
    <w:rsid w:val="00032F4B"/>
    <w:rsid w:val="00032FF1"/>
    <w:rsid w:val="00033377"/>
    <w:rsid w:val="000333C0"/>
    <w:rsid w:val="000333C9"/>
    <w:rsid w:val="0003367D"/>
    <w:rsid w:val="000336A3"/>
    <w:rsid w:val="0003387A"/>
    <w:rsid w:val="00033890"/>
    <w:rsid w:val="0003395A"/>
    <w:rsid w:val="00033A4C"/>
    <w:rsid w:val="00033BBA"/>
    <w:rsid w:val="00033D37"/>
    <w:rsid w:val="00033D8A"/>
    <w:rsid w:val="00033DAF"/>
    <w:rsid w:val="00033F71"/>
    <w:rsid w:val="00033FA0"/>
    <w:rsid w:val="0003416F"/>
    <w:rsid w:val="000341BF"/>
    <w:rsid w:val="000342EC"/>
    <w:rsid w:val="0003438E"/>
    <w:rsid w:val="000343B4"/>
    <w:rsid w:val="00034410"/>
    <w:rsid w:val="0003451D"/>
    <w:rsid w:val="00034765"/>
    <w:rsid w:val="00034818"/>
    <w:rsid w:val="0003482F"/>
    <w:rsid w:val="000348B3"/>
    <w:rsid w:val="0003490E"/>
    <w:rsid w:val="00034A04"/>
    <w:rsid w:val="00034A5D"/>
    <w:rsid w:val="00034C9F"/>
    <w:rsid w:val="00034E40"/>
    <w:rsid w:val="00034E4F"/>
    <w:rsid w:val="00034EC1"/>
    <w:rsid w:val="00034EC6"/>
    <w:rsid w:val="00035243"/>
    <w:rsid w:val="00035316"/>
    <w:rsid w:val="000355B6"/>
    <w:rsid w:val="00035701"/>
    <w:rsid w:val="00035832"/>
    <w:rsid w:val="00035AE2"/>
    <w:rsid w:val="00035AED"/>
    <w:rsid w:val="00035BB0"/>
    <w:rsid w:val="00035C15"/>
    <w:rsid w:val="00035D5A"/>
    <w:rsid w:val="00035E45"/>
    <w:rsid w:val="00036128"/>
    <w:rsid w:val="00036178"/>
    <w:rsid w:val="00036224"/>
    <w:rsid w:val="00036240"/>
    <w:rsid w:val="00036287"/>
    <w:rsid w:val="0003628D"/>
    <w:rsid w:val="00036310"/>
    <w:rsid w:val="000368BE"/>
    <w:rsid w:val="000369A3"/>
    <w:rsid w:val="00036A93"/>
    <w:rsid w:val="00036E6B"/>
    <w:rsid w:val="00036EC4"/>
    <w:rsid w:val="000376EC"/>
    <w:rsid w:val="00037866"/>
    <w:rsid w:val="0003790C"/>
    <w:rsid w:val="00037AEA"/>
    <w:rsid w:val="00037B78"/>
    <w:rsid w:val="00037B8D"/>
    <w:rsid w:val="00037C52"/>
    <w:rsid w:val="00037CAB"/>
    <w:rsid w:val="00037EF0"/>
    <w:rsid w:val="00040078"/>
    <w:rsid w:val="00040096"/>
    <w:rsid w:val="000401BE"/>
    <w:rsid w:val="000402C2"/>
    <w:rsid w:val="00040488"/>
    <w:rsid w:val="0004048A"/>
    <w:rsid w:val="000404A8"/>
    <w:rsid w:val="000405F6"/>
    <w:rsid w:val="0004074B"/>
    <w:rsid w:val="00040811"/>
    <w:rsid w:val="000408C0"/>
    <w:rsid w:val="00040C4C"/>
    <w:rsid w:val="00040CFF"/>
    <w:rsid w:val="00040E1B"/>
    <w:rsid w:val="00040E6E"/>
    <w:rsid w:val="00040F3D"/>
    <w:rsid w:val="00040F3E"/>
    <w:rsid w:val="00041086"/>
    <w:rsid w:val="000410A5"/>
    <w:rsid w:val="000411C2"/>
    <w:rsid w:val="0004120F"/>
    <w:rsid w:val="0004129F"/>
    <w:rsid w:val="000412A6"/>
    <w:rsid w:val="00041322"/>
    <w:rsid w:val="00041374"/>
    <w:rsid w:val="00041427"/>
    <w:rsid w:val="0004155A"/>
    <w:rsid w:val="00041637"/>
    <w:rsid w:val="000417D4"/>
    <w:rsid w:val="000418E0"/>
    <w:rsid w:val="00041B6E"/>
    <w:rsid w:val="00041B7C"/>
    <w:rsid w:val="00041EDE"/>
    <w:rsid w:val="00042182"/>
    <w:rsid w:val="0004224F"/>
    <w:rsid w:val="0004257A"/>
    <w:rsid w:val="0004257F"/>
    <w:rsid w:val="0004268B"/>
    <w:rsid w:val="000426CD"/>
    <w:rsid w:val="000426E1"/>
    <w:rsid w:val="00042843"/>
    <w:rsid w:val="00042BA7"/>
    <w:rsid w:val="00042C04"/>
    <w:rsid w:val="00042C25"/>
    <w:rsid w:val="00042C93"/>
    <w:rsid w:val="00042CFF"/>
    <w:rsid w:val="00042E61"/>
    <w:rsid w:val="00042EFC"/>
    <w:rsid w:val="00043037"/>
    <w:rsid w:val="00043039"/>
    <w:rsid w:val="0004304D"/>
    <w:rsid w:val="0004315F"/>
    <w:rsid w:val="00043217"/>
    <w:rsid w:val="0004321F"/>
    <w:rsid w:val="0004328E"/>
    <w:rsid w:val="00043387"/>
    <w:rsid w:val="000436BA"/>
    <w:rsid w:val="0004388E"/>
    <w:rsid w:val="00043ABE"/>
    <w:rsid w:val="00043AD2"/>
    <w:rsid w:val="00043B05"/>
    <w:rsid w:val="00043B51"/>
    <w:rsid w:val="00043DC8"/>
    <w:rsid w:val="00043DF9"/>
    <w:rsid w:val="00043FE5"/>
    <w:rsid w:val="00044097"/>
    <w:rsid w:val="000441FC"/>
    <w:rsid w:val="000442B8"/>
    <w:rsid w:val="00044572"/>
    <w:rsid w:val="00044882"/>
    <w:rsid w:val="000449A5"/>
    <w:rsid w:val="000449CF"/>
    <w:rsid w:val="00044A5D"/>
    <w:rsid w:val="00044C6B"/>
    <w:rsid w:val="00044DAC"/>
    <w:rsid w:val="00044EB6"/>
    <w:rsid w:val="00044F1C"/>
    <w:rsid w:val="000451E7"/>
    <w:rsid w:val="0004537B"/>
    <w:rsid w:val="0004540F"/>
    <w:rsid w:val="000454EF"/>
    <w:rsid w:val="000455F6"/>
    <w:rsid w:val="000457EA"/>
    <w:rsid w:val="00045932"/>
    <w:rsid w:val="0004596C"/>
    <w:rsid w:val="00045AF5"/>
    <w:rsid w:val="00045B9B"/>
    <w:rsid w:val="00045C01"/>
    <w:rsid w:val="00045F06"/>
    <w:rsid w:val="00045F50"/>
    <w:rsid w:val="0004606C"/>
    <w:rsid w:val="00046526"/>
    <w:rsid w:val="00046680"/>
    <w:rsid w:val="000466C1"/>
    <w:rsid w:val="00046E2E"/>
    <w:rsid w:val="000471A1"/>
    <w:rsid w:val="00047207"/>
    <w:rsid w:val="00047279"/>
    <w:rsid w:val="00047643"/>
    <w:rsid w:val="00047811"/>
    <w:rsid w:val="00047815"/>
    <w:rsid w:val="000479B4"/>
    <w:rsid w:val="000479E4"/>
    <w:rsid w:val="00047BD8"/>
    <w:rsid w:val="00047C8D"/>
    <w:rsid w:val="00047CEC"/>
    <w:rsid w:val="00047D16"/>
    <w:rsid w:val="00047D25"/>
    <w:rsid w:val="00047DA4"/>
    <w:rsid w:val="00047E6B"/>
    <w:rsid w:val="00047EB8"/>
    <w:rsid w:val="00050113"/>
    <w:rsid w:val="0005022B"/>
    <w:rsid w:val="00050936"/>
    <w:rsid w:val="00050983"/>
    <w:rsid w:val="00050D03"/>
    <w:rsid w:val="00050DDE"/>
    <w:rsid w:val="00050F5E"/>
    <w:rsid w:val="00051123"/>
    <w:rsid w:val="00051518"/>
    <w:rsid w:val="00051554"/>
    <w:rsid w:val="00051559"/>
    <w:rsid w:val="00051716"/>
    <w:rsid w:val="00051769"/>
    <w:rsid w:val="00051946"/>
    <w:rsid w:val="00051A9F"/>
    <w:rsid w:val="00051B03"/>
    <w:rsid w:val="00051C65"/>
    <w:rsid w:val="00051CD1"/>
    <w:rsid w:val="00052032"/>
    <w:rsid w:val="0005225B"/>
    <w:rsid w:val="00052385"/>
    <w:rsid w:val="0005239B"/>
    <w:rsid w:val="0005251D"/>
    <w:rsid w:val="0005251F"/>
    <w:rsid w:val="0005290C"/>
    <w:rsid w:val="0005321C"/>
    <w:rsid w:val="00053314"/>
    <w:rsid w:val="0005337B"/>
    <w:rsid w:val="00053890"/>
    <w:rsid w:val="000539B6"/>
    <w:rsid w:val="000539B8"/>
    <w:rsid w:val="00053A45"/>
    <w:rsid w:val="00053A55"/>
    <w:rsid w:val="00053E67"/>
    <w:rsid w:val="00053F3C"/>
    <w:rsid w:val="000540BA"/>
    <w:rsid w:val="0005412F"/>
    <w:rsid w:val="000541B7"/>
    <w:rsid w:val="000541D7"/>
    <w:rsid w:val="00054454"/>
    <w:rsid w:val="0005450D"/>
    <w:rsid w:val="00054516"/>
    <w:rsid w:val="0005457E"/>
    <w:rsid w:val="000545B6"/>
    <w:rsid w:val="000546DC"/>
    <w:rsid w:val="0005485E"/>
    <w:rsid w:val="000548C4"/>
    <w:rsid w:val="000549FD"/>
    <w:rsid w:val="00054AFF"/>
    <w:rsid w:val="00054C35"/>
    <w:rsid w:val="00054DDC"/>
    <w:rsid w:val="00055018"/>
    <w:rsid w:val="00055074"/>
    <w:rsid w:val="0005508D"/>
    <w:rsid w:val="0005510F"/>
    <w:rsid w:val="0005514B"/>
    <w:rsid w:val="00055249"/>
    <w:rsid w:val="0005528A"/>
    <w:rsid w:val="000552AA"/>
    <w:rsid w:val="00055448"/>
    <w:rsid w:val="000555A5"/>
    <w:rsid w:val="00055639"/>
    <w:rsid w:val="000556C1"/>
    <w:rsid w:val="000556C5"/>
    <w:rsid w:val="00055A15"/>
    <w:rsid w:val="00055A52"/>
    <w:rsid w:val="00055AFE"/>
    <w:rsid w:val="00055FA3"/>
    <w:rsid w:val="0005616D"/>
    <w:rsid w:val="000561CA"/>
    <w:rsid w:val="00056639"/>
    <w:rsid w:val="00056687"/>
    <w:rsid w:val="000567B1"/>
    <w:rsid w:val="00056AC6"/>
    <w:rsid w:val="00056C2A"/>
    <w:rsid w:val="00056C37"/>
    <w:rsid w:val="00056E6F"/>
    <w:rsid w:val="00056E99"/>
    <w:rsid w:val="00056EE2"/>
    <w:rsid w:val="00057464"/>
    <w:rsid w:val="00057586"/>
    <w:rsid w:val="000575CA"/>
    <w:rsid w:val="000576E7"/>
    <w:rsid w:val="00057761"/>
    <w:rsid w:val="000578CB"/>
    <w:rsid w:val="0005792E"/>
    <w:rsid w:val="00057975"/>
    <w:rsid w:val="00057976"/>
    <w:rsid w:val="00057A4E"/>
    <w:rsid w:val="00057B0C"/>
    <w:rsid w:val="00057B1E"/>
    <w:rsid w:val="00057C0E"/>
    <w:rsid w:val="00057CF8"/>
    <w:rsid w:val="00060084"/>
    <w:rsid w:val="000601D7"/>
    <w:rsid w:val="0006042E"/>
    <w:rsid w:val="00060566"/>
    <w:rsid w:val="000605E6"/>
    <w:rsid w:val="0006068D"/>
    <w:rsid w:val="00060711"/>
    <w:rsid w:val="00060941"/>
    <w:rsid w:val="00060D9A"/>
    <w:rsid w:val="00060DC4"/>
    <w:rsid w:val="00060F16"/>
    <w:rsid w:val="000611DC"/>
    <w:rsid w:val="000613DD"/>
    <w:rsid w:val="0006145C"/>
    <w:rsid w:val="0006162D"/>
    <w:rsid w:val="000619E8"/>
    <w:rsid w:val="00061AAF"/>
    <w:rsid w:val="00061C2D"/>
    <w:rsid w:val="00061D61"/>
    <w:rsid w:val="00061D85"/>
    <w:rsid w:val="00061E36"/>
    <w:rsid w:val="00061F7A"/>
    <w:rsid w:val="0006210B"/>
    <w:rsid w:val="00062437"/>
    <w:rsid w:val="00062510"/>
    <w:rsid w:val="000626BF"/>
    <w:rsid w:val="00062760"/>
    <w:rsid w:val="00062859"/>
    <w:rsid w:val="0006289C"/>
    <w:rsid w:val="00062A6C"/>
    <w:rsid w:val="00062ADF"/>
    <w:rsid w:val="00062C73"/>
    <w:rsid w:val="00062D7B"/>
    <w:rsid w:val="00062E21"/>
    <w:rsid w:val="00062EA1"/>
    <w:rsid w:val="00063014"/>
    <w:rsid w:val="000632A6"/>
    <w:rsid w:val="00063400"/>
    <w:rsid w:val="000635AA"/>
    <w:rsid w:val="00063648"/>
    <w:rsid w:val="00063694"/>
    <w:rsid w:val="00063834"/>
    <w:rsid w:val="00063849"/>
    <w:rsid w:val="00063905"/>
    <w:rsid w:val="00063A72"/>
    <w:rsid w:val="00063BBD"/>
    <w:rsid w:val="00063D10"/>
    <w:rsid w:val="00063E5F"/>
    <w:rsid w:val="00063E79"/>
    <w:rsid w:val="0006409F"/>
    <w:rsid w:val="00064220"/>
    <w:rsid w:val="00064271"/>
    <w:rsid w:val="000642F9"/>
    <w:rsid w:val="00064334"/>
    <w:rsid w:val="000643C1"/>
    <w:rsid w:val="000643E6"/>
    <w:rsid w:val="000644BC"/>
    <w:rsid w:val="000644EE"/>
    <w:rsid w:val="000644F0"/>
    <w:rsid w:val="00064555"/>
    <w:rsid w:val="000648EE"/>
    <w:rsid w:val="00064A39"/>
    <w:rsid w:val="00064B54"/>
    <w:rsid w:val="00064B73"/>
    <w:rsid w:val="00064B80"/>
    <w:rsid w:val="00064C5B"/>
    <w:rsid w:val="00064CC0"/>
    <w:rsid w:val="00064D5C"/>
    <w:rsid w:val="00064DF7"/>
    <w:rsid w:val="000650A3"/>
    <w:rsid w:val="0006511B"/>
    <w:rsid w:val="00065180"/>
    <w:rsid w:val="00065246"/>
    <w:rsid w:val="000652A2"/>
    <w:rsid w:val="0006538E"/>
    <w:rsid w:val="000653DD"/>
    <w:rsid w:val="000655C5"/>
    <w:rsid w:val="00065786"/>
    <w:rsid w:val="000657D7"/>
    <w:rsid w:val="00065804"/>
    <w:rsid w:val="00065855"/>
    <w:rsid w:val="000658E0"/>
    <w:rsid w:val="00065A54"/>
    <w:rsid w:val="00065F08"/>
    <w:rsid w:val="0006600F"/>
    <w:rsid w:val="0006630B"/>
    <w:rsid w:val="0006631C"/>
    <w:rsid w:val="0006632F"/>
    <w:rsid w:val="0006649A"/>
    <w:rsid w:val="00066561"/>
    <w:rsid w:val="000665E6"/>
    <w:rsid w:val="000667E3"/>
    <w:rsid w:val="0006680D"/>
    <w:rsid w:val="00066A92"/>
    <w:rsid w:val="00066B00"/>
    <w:rsid w:val="00066C5A"/>
    <w:rsid w:val="00066D3C"/>
    <w:rsid w:val="00066D89"/>
    <w:rsid w:val="00066E23"/>
    <w:rsid w:val="00066EAF"/>
    <w:rsid w:val="00066F69"/>
    <w:rsid w:val="00067068"/>
    <w:rsid w:val="00067123"/>
    <w:rsid w:val="000672F6"/>
    <w:rsid w:val="0006735C"/>
    <w:rsid w:val="000673C6"/>
    <w:rsid w:val="0006748B"/>
    <w:rsid w:val="00067A69"/>
    <w:rsid w:val="00067BBA"/>
    <w:rsid w:val="00067D35"/>
    <w:rsid w:val="00067D52"/>
    <w:rsid w:val="00067F68"/>
    <w:rsid w:val="00067FC5"/>
    <w:rsid w:val="00070247"/>
    <w:rsid w:val="00070448"/>
    <w:rsid w:val="0007086F"/>
    <w:rsid w:val="0007090E"/>
    <w:rsid w:val="00070B53"/>
    <w:rsid w:val="00070E63"/>
    <w:rsid w:val="00070F50"/>
    <w:rsid w:val="000710FB"/>
    <w:rsid w:val="0007142E"/>
    <w:rsid w:val="000715C0"/>
    <w:rsid w:val="00071800"/>
    <w:rsid w:val="00071956"/>
    <w:rsid w:val="00071A32"/>
    <w:rsid w:val="00071A84"/>
    <w:rsid w:val="00071A99"/>
    <w:rsid w:val="00071AFB"/>
    <w:rsid w:val="00071C05"/>
    <w:rsid w:val="00071CF0"/>
    <w:rsid w:val="00071CFE"/>
    <w:rsid w:val="00071DFF"/>
    <w:rsid w:val="00071E02"/>
    <w:rsid w:val="00071E57"/>
    <w:rsid w:val="00071EE4"/>
    <w:rsid w:val="00071EF0"/>
    <w:rsid w:val="00071F47"/>
    <w:rsid w:val="00071FD8"/>
    <w:rsid w:val="00072237"/>
    <w:rsid w:val="00072690"/>
    <w:rsid w:val="000727B2"/>
    <w:rsid w:val="000727CD"/>
    <w:rsid w:val="00072843"/>
    <w:rsid w:val="0007294A"/>
    <w:rsid w:val="0007298C"/>
    <w:rsid w:val="00072A21"/>
    <w:rsid w:val="00072B2F"/>
    <w:rsid w:val="00072B9F"/>
    <w:rsid w:val="00072C34"/>
    <w:rsid w:val="00072C47"/>
    <w:rsid w:val="00072C58"/>
    <w:rsid w:val="00072CDE"/>
    <w:rsid w:val="00072D6E"/>
    <w:rsid w:val="00072DCC"/>
    <w:rsid w:val="0007303C"/>
    <w:rsid w:val="00073065"/>
    <w:rsid w:val="000730BC"/>
    <w:rsid w:val="0007312D"/>
    <w:rsid w:val="00073137"/>
    <w:rsid w:val="0007323F"/>
    <w:rsid w:val="000732E4"/>
    <w:rsid w:val="00073329"/>
    <w:rsid w:val="00073345"/>
    <w:rsid w:val="000733A6"/>
    <w:rsid w:val="000735D0"/>
    <w:rsid w:val="000735D5"/>
    <w:rsid w:val="000735E4"/>
    <w:rsid w:val="00073663"/>
    <w:rsid w:val="00073810"/>
    <w:rsid w:val="0007398B"/>
    <w:rsid w:val="00073A55"/>
    <w:rsid w:val="00073AC7"/>
    <w:rsid w:val="00073ACC"/>
    <w:rsid w:val="00073B17"/>
    <w:rsid w:val="00073B6F"/>
    <w:rsid w:val="00073DBE"/>
    <w:rsid w:val="00073FA0"/>
    <w:rsid w:val="00073FD4"/>
    <w:rsid w:val="00074069"/>
    <w:rsid w:val="000740D1"/>
    <w:rsid w:val="00074417"/>
    <w:rsid w:val="00074504"/>
    <w:rsid w:val="00074539"/>
    <w:rsid w:val="00074574"/>
    <w:rsid w:val="00074809"/>
    <w:rsid w:val="00074867"/>
    <w:rsid w:val="00074969"/>
    <w:rsid w:val="00074A08"/>
    <w:rsid w:val="00074C92"/>
    <w:rsid w:val="00074CA1"/>
    <w:rsid w:val="00074FEF"/>
    <w:rsid w:val="00074FFE"/>
    <w:rsid w:val="000750E3"/>
    <w:rsid w:val="00075150"/>
    <w:rsid w:val="00075695"/>
    <w:rsid w:val="0007579C"/>
    <w:rsid w:val="000759E8"/>
    <w:rsid w:val="00075B3B"/>
    <w:rsid w:val="00075E53"/>
    <w:rsid w:val="00075EFD"/>
    <w:rsid w:val="00075F11"/>
    <w:rsid w:val="00076008"/>
    <w:rsid w:val="000760AC"/>
    <w:rsid w:val="00076397"/>
    <w:rsid w:val="0007645E"/>
    <w:rsid w:val="0007670F"/>
    <w:rsid w:val="000767E0"/>
    <w:rsid w:val="000767E3"/>
    <w:rsid w:val="0007691C"/>
    <w:rsid w:val="00076980"/>
    <w:rsid w:val="000769A5"/>
    <w:rsid w:val="000769F2"/>
    <w:rsid w:val="00076BF3"/>
    <w:rsid w:val="00076CCF"/>
    <w:rsid w:val="000770C2"/>
    <w:rsid w:val="00077203"/>
    <w:rsid w:val="00077773"/>
    <w:rsid w:val="000777CF"/>
    <w:rsid w:val="000779B2"/>
    <w:rsid w:val="000779F0"/>
    <w:rsid w:val="00077A2D"/>
    <w:rsid w:val="00077A9A"/>
    <w:rsid w:val="00077B09"/>
    <w:rsid w:val="00077B3A"/>
    <w:rsid w:val="00077D2C"/>
    <w:rsid w:val="00077D34"/>
    <w:rsid w:val="00077E77"/>
    <w:rsid w:val="0008023B"/>
    <w:rsid w:val="000803EF"/>
    <w:rsid w:val="00080486"/>
    <w:rsid w:val="000804AC"/>
    <w:rsid w:val="0008059B"/>
    <w:rsid w:val="0008068D"/>
    <w:rsid w:val="00080737"/>
    <w:rsid w:val="0008082F"/>
    <w:rsid w:val="00080942"/>
    <w:rsid w:val="00080A71"/>
    <w:rsid w:val="00080C15"/>
    <w:rsid w:val="00080CDF"/>
    <w:rsid w:val="00080D01"/>
    <w:rsid w:val="00080E4A"/>
    <w:rsid w:val="00080F91"/>
    <w:rsid w:val="00080FBB"/>
    <w:rsid w:val="000810D3"/>
    <w:rsid w:val="000811A9"/>
    <w:rsid w:val="0008134F"/>
    <w:rsid w:val="000814C0"/>
    <w:rsid w:val="00081806"/>
    <w:rsid w:val="00081986"/>
    <w:rsid w:val="00081A27"/>
    <w:rsid w:val="00081A36"/>
    <w:rsid w:val="00081B0B"/>
    <w:rsid w:val="00081C84"/>
    <w:rsid w:val="00081D45"/>
    <w:rsid w:val="00081E11"/>
    <w:rsid w:val="00081E3D"/>
    <w:rsid w:val="00081EDF"/>
    <w:rsid w:val="00081F8A"/>
    <w:rsid w:val="0008209B"/>
    <w:rsid w:val="000821CE"/>
    <w:rsid w:val="00082229"/>
    <w:rsid w:val="0008252D"/>
    <w:rsid w:val="00082597"/>
    <w:rsid w:val="00082666"/>
    <w:rsid w:val="00082990"/>
    <w:rsid w:val="000829AA"/>
    <w:rsid w:val="00082C55"/>
    <w:rsid w:val="00082DC7"/>
    <w:rsid w:val="00082DD0"/>
    <w:rsid w:val="00082E58"/>
    <w:rsid w:val="00082E88"/>
    <w:rsid w:val="00083020"/>
    <w:rsid w:val="00083283"/>
    <w:rsid w:val="00083341"/>
    <w:rsid w:val="000833C4"/>
    <w:rsid w:val="000834ED"/>
    <w:rsid w:val="00083627"/>
    <w:rsid w:val="0008362F"/>
    <w:rsid w:val="000837C9"/>
    <w:rsid w:val="000837DB"/>
    <w:rsid w:val="0008390B"/>
    <w:rsid w:val="00083B36"/>
    <w:rsid w:val="00083BC1"/>
    <w:rsid w:val="00083BEC"/>
    <w:rsid w:val="00083E2C"/>
    <w:rsid w:val="00083F46"/>
    <w:rsid w:val="00083F9D"/>
    <w:rsid w:val="00083FF7"/>
    <w:rsid w:val="000840AF"/>
    <w:rsid w:val="000842ED"/>
    <w:rsid w:val="000843AA"/>
    <w:rsid w:val="00084430"/>
    <w:rsid w:val="000845E6"/>
    <w:rsid w:val="00084A58"/>
    <w:rsid w:val="00084D5B"/>
    <w:rsid w:val="00084D63"/>
    <w:rsid w:val="00084E8B"/>
    <w:rsid w:val="00084F2E"/>
    <w:rsid w:val="00084F89"/>
    <w:rsid w:val="00084F98"/>
    <w:rsid w:val="00085172"/>
    <w:rsid w:val="0008527C"/>
    <w:rsid w:val="0008534D"/>
    <w:rsid w:val="000854D5"/>
    <w:rsid w:val="0008577D"/>
    <w:rsid w:val="00085A66"/>
    <w:rsid w:val="00085BD0"/>
    <w:rsid w:val="00085F01"/>
    <w:rsid w:val="00086047"/>
    <w:rsid w:val="00086116"/>
    <w:rsid w:val="000861D3"/>
    <w:rsid w:val="0008626B"/>
    <w:rsid w:val="000863D6"/>
    <w:rsid w:val="000864D3"/>
    <w:rsid w:val="00086776"/>
    <w:rsid w:val="00086848"/>
    <w:rsid w:val="000868C6"/>
    <w:rsid w:val="00086958"/>
    <w:rsid w:val="00086B91"/>
    <w:rsid w:val="00086B9A"/>
    <w:rsid w:val="00086C2E"/>
    <w:rsid w:val="00086C55"/>
    <w:rsid w:val="00086CE5"/>
    <w:rsid w:val="00086D49"/>
    <w:rsid w:val="00086D98"/>
    <w:rsid w:val="00086DC3"/>
    <w:rsid w:val="00086F2F"/>
    <w:rsid w:val="00087115"/>
    <w:rsid w:val="00087197"/>
    <w:rsid w:val="00087220"/>
    <w:rsid w:val="0008722C"/>
    <w:rsid w:val="0008722E"/>
    <w:rsid w:val="0008726F"/>
    <w:rsid w:val="00087330"/>
    <w:rsid w:val="000873DA"/>
    <w:rsid w:val="0008759A"/>
    <w:rsid w:val="000877AC"/>
    <w:rsid w:val="00087963"/>
    <w:rsid w:val="00087AA5"/>
    <w:rsid w:val="00087D1E"/>
    <w:rsid w:val="00087DFF"/>
    <w:rsid w:val="00087E03"/>
    <w:rsid w:val="0009010D"/>
    <w:rsid w:val="000901D6"/>
    <w:rsid w:val="000901F6"/>
    <w:rsid w:val="00090280"/>
    <w:rsid w:val="000902A7"/>
    <w:rsid w:val="000903F1"/>
    <w:rsid w:val="0009046B"/>
    <w:rsid w:val="000904CB"/>
    <w:rsid w:val="000905F3"/>
    <w:rsid w:val="00090970"/>
    <w:rsid w:val="000909C0"/>
    <w:rsid w:val="00090A1E"/>
    <w:rsid w:val="00090BC3"/>
    <w:rsid w:val="00090CC0"/>
    <w:rsid w:val="00090D6E"/>
    <w:rsid w:val="00090E3D"/>
    <w:rsid w:val="00090F6A"/>
    <w:rsid w:val="00091001"/>
    <w:rsid w:val="0009113D"/>
    <w:rsid w:val="000912B4"/>
    <w:rsid w:val="0009132A"/>
    <w:rsid w:val="000918A9"/>
    <w:rsid w:val="0009194C"/>
    <w:rsid w:val="000919BB"/>
    <w:rsid w:val="00091D13"/>
    <w:rsid w:val="00091EB8"/>
    <w:rsid w:val="00092001"/>
    <w:rsid w:val="00092284"/>
    <w:rsid w:val="0009245F"/>
    <w:rsid w:val="00092C92"/>
    <w:rsid w:val="00092F6A"/>
    <w:rsid w:val="00093059"/>
    <w:rsid w:val="000930EE"/>
    <w:rsid w:val="000930FA"/>
    <w:rsid w:val="000931A3"/>
    <w:rsid w:val="000931EE"/>
    <w:rsid w:val="00093227"/>
    <w:rsid w:val="0009322D"/>
    <w:rsid w:val="0009340F"/>
    <w:rsid w:val="0009369B"/>
    <w:rsid w:val="00093A20"/>
    <w:rsid w:val="00093A4A"/>
    <w:rsid w:val="00093BC1"/>
    <w:rsid w:val="00093C00"/>
    <w:rsid w:val="00093C57"/>
    <w:rsid w:val="00093E32"/>
    <w:rsid w:val="00094020"/>
    <w:rsid w:val="000941AF"/>
    <w:rsid w:val="0009428E"/>
    <w:rsid w:val="0009442E"/>
    <w:rsid w:val="000944C8"/>
    <w:rsid w:val="00094662"/>
    <w:rsid w:val="0009468D"/>
    <w:rsid w:val="00094709"/>
    <w:rsid w:val="00094808"/>
    <w:rsid w:val="00094942"/>
    <w:rsid w:val="00094961"/>
    <w:rsid w:val="00094B52"/>
    <w:rsid w:val="00094C55"/>
    <w:rsid w:val="00094CEF"/>
    <w:rsid w:val="000951D1"/>
    <w:rsid w:val="00095387"/>
    <w:rsid w:val="000953A2"/>
    <w:rsid w:val="00095517"/>
    <w:rsid w:val="00095579"/>
    <w:rsid w:val="00095618"/>
    <w:rsid w:val="00095949"/>
    <w:rsid w:val="00095A4C"/>
    <w:rsid w:val="00095ABD"/>
    <w:rsid w:val="00095ACB"/>
    <w:rsid w:val="00095C24"/>
    <w:rsid w:val="00095DDB"/>
    <w:rsid w:val="00095E4B"/>
    <w:rsid w:val="00095F7E"/>
    <w:rsid w:val="00096025"/>
    <w:rsid w:val="000963DC"/>
    <w:rsid w:val="0009646D"/>
    <w:rsid w:val="00096506"/>
    <w:rsid w:val="000965D5"/>
    <w:rsid w:val="000965FA"/>
    <w:rsid w:val="0009686E"/>
    <w:rsid w:val="00096A39"/>
    <w:rsid w:val="00096CCB"/>
    <w:rsid w:val="00096D04"/>
    <w:rsid w:val="00096EDF"/>
    <w:rsid w:val="00096EE0"/>
    <w:rsid w:val="00096F8E"/>
    <w:rsid w:val="00096FE6"/>
    <w:rsid w:val="0009714F"/>
    <w:rsid w:val="00097296"/>
    <w:rsid w:val="00097482"/>
    <w:rsid w:val="000978D6"/>
    <w:rsid w:val="00097953"/>
    <w:rsid w:val="0009799C"/>
    <w:rsid w:val="00097C14"/>
    <w:rsid w:val="00097C21"/>
    <w:rsid w:val="00097CB0"/>
    <w:rsid w:val="00097D83"/>
    <w:rsid w:val="00097F16"/>
    <w:rsid w:val="00097F1A"/>
    <w:rsid w:val="000A0025"/>
    <w:rsid w:val="000A0090"/>
    <w:rsid w:val="000A02B1"/>
    <w:rsid w:val="000A02C4"/>
    <w:rsid w:val="000A0338"/>
    <w:rsid w:val="000A04AD"/>
    <w:rsid w:val="000A04E5"/>
    <w:rsid w:val="000A05B9"/>
    <w:rsid w:val="000A086C"/>
    <w:rsid w:val="000A0B18"/>
    <w:rsid w:val="000A0BF3"/>
    <w:rsid w:val="000A0D99"/>
    <w:rsid w:val="000A0F54"/>
    <w:rsid w:val="000A0FE3"/>
    <w:rsid w:val="000A1067"/>
    <w:rsid w:val="000A10B0"/>
    <w:rsid w:val="000A1221"/>
    <w:rsid w:val="000A13F8"/>
    <w:rsid w:val="000A1586"/>
    <w:rsid w:val="000A17DD"/>
    <w:rsid w:val="000A188B"/>
    <w:rsid w:val="000A1895"/>
    <w:rsid w:val="000A19CC"/>
    <w:rsid w:val="000A1BF2"/>
    <w:rsid w:val="000A1C43"/>
    <w:rsid w:val="000A1E6A"/>
    <w:rsid w:val="000A21A8"/>
    <w:rsid w:val="000A22FC"/>
    <w:rsid w:val="000A23BA"/>
    <w:rsid w:val="000A240F"/>
    <w:rsid w:val="000A24BD"/>
    <w:rsid w:val="000A24CD"/>
    <w:rsid w:val="000A2776"/>
    <w:rsid w:val="000A27F4"/>
    <w:rsid w:val="000A2917"/>
    <w:rsid w:val="000A29BE"/>
    <w:rsid w:val="000A29DD"/>
    <w:rsid w:val="000A2C65"/>
    <w:rsid w:val="000A2CC4"/>
    <w:rsid w:val="000A2E4A"/>
    <w:rsid w:val="000A2F15"/>
    <w:rsid w:val="000A2F65"/>
    <w:rsid w:val="000A3010"/>
    <w:rsid w:val="000A3053"/>
    <w:rsid w:val="000A3063"/>
    <w:rsid w:val="000A3102"/>
    <w:rsid w:val="000A3160"/>
    <w:rsid w:val="000A334C"/>
    <w:rsid w:val="000A34C0"/>
    <w:rsid w:val="000A353F"/>
    <w:rsid w:val="000A3647"/>
    <w:rsid w:val="000A3946"/>
    <w:rsid w:val="000A3975"/>
    <w:rsid w:val="000A39A8"/>
    <w:rsid w:val="000A3DD0"/>
    <w:rsid w:val="000A3F51"/>
    <w:rsid w:val="000A3FCC"/>
    <w:rsid w:val="000A437D"/>
    <w:rsid w:val="000A4414"/>
    <w:rsid w:val="000A451C"/>
    <w:rsid w:val="000A4553"/>
    <w:rsid w:val="000A4678"/>
    <w:rsid w:val="000A46AA"/>
    <w:rsid w:val="000A493A"/>
    <w:rsid w:val="000A496D"/>
    <w:rsid w:val="000A4AEF"/>
    <w:rsid w:val="000A4CC3"/>
    <w:rsid w:val="000A4E2F"/>
    <w:rsid w:val="000A4ED1"/>
    <w:rsid w:val="000A4EDB"/>
    <w:rsid w:val="000A5062"/>
    <w:rsid w:val="000A50E4"/>
    <w:rsid w:val="000A50EF"/>
    <w:rsid w:val="000A51CC"/>
    <w:rsid w:val="000A52D0"/>
    <w:rsid w:val="000A52E2"/>
    <w:rsid w:val="000A52F0"/>
    <w:rsid w:val="000A54B4"/>
    <w:rsid w:val="000A5698"/>
    <w:rsid w:val="000A5766"/>
    <w:rsid w:val="000A57B4"/>
    <w:rsid w:val="000A57D6"/>
    <w:rsid w:val="000A5911"/>
    <w:rsid w:val="000A5B8E"/>
    <w:rsid w:val="000A5E3C"/>
    <w:rsid w:val="000A5EC2"/>
    <w:rsid w:val="000A5FFD"/>
    <w:rsid w:val="000A6215"/>
    <w:rsid w:val="000A6292"/>
    <w:rsid w:val="000A6353"/>
    <w:rsid w:val="000A63AA"/>
    <w:rsid w:val="000A64BA"/>
    <w:rsid w:val="000A67C8"/>
    <w:rsid w:val="000A6935"/>
    <w:rsid w:val="000A69A1"/>
    <w:rsid w:val="000A6BB4"/>
    <w:rsid w:val="000A6BB9"/>
    <w:rsid w:val="000A6C39"/>
    <w:rsid w:val="000A6C8C"/>
    <w:rsid w:val="000A6E62"/>
    <w:rsid w:val="000A6E67"/>
    <w:rsid w:val="000A6FED"/>
    <w:rsid w:val="000A7213"/>
    <w:rsid w:val="000A7689"/>
    <w:rsid w:val="000A76A9"/>
    <w:rsid w:val="000A785D"/>
    <w:rsid w:val="000A78CE"/>
    <w:rsid w:val="000A78EE"/>
    <w:rsid w:val="000A7ACB"/>
    <w:rsid w:val="000A7C87"/>
    <w:rsid w:val="000A7CF1"/>
    <w:rsid w:val="000A7DFB"/>
    <w:rsid w:val="000A7E21"/>
    <w:rsid w:val="000A7EEF"/>
    <w:rsid w:val="000B009D"/>
    <w:rsid w:val="000B00BC"/>
    <w:rsid w:val="000B0164"/>
    <w:rsid w:val="000B0193"/>
    <w:rsid w:val="000B0469"/>
    <w:rsid w:val="000B04AE"/>
    <w:rsid w:val="000B077D"/>
    <w:rsid w:val="000B083A"/>
    <w:rsid w:val="000B09DA"/>
    <w:rsid w:val="000B0BEE"/>
    <w:rsid w:val="000B0C8C"/>
    <w:rsid w:val="000B0DDF"/>
    <w:rsid w:val="000B0E5F"/>
    <w:rsid w:val="000B1097"/>
    <w:rsid w:val="000B109C"/>
    <w:rsid w:val="000B10CF"/>
    <w:rsid w:val="000B10DB"/>
    <w:rsid w:val="000B1270"/>
    <w:rsid w:val="000B12E8"/>
    <w:rsid w:val="000B1372"/>
    <w:rsid w:val="000B152F"/>
    <w:rsid w:val="000B1567"/>
    <w:rsid w:val="000B1685"/>
    <w:rsid w:val="000B173E"/>
    <w:rsid w:val="000B1944"/>
    <w:rsid w:val="000B1B4C"/>
    <w:rsid w:val="000B1BA0"/>
    <w:rsid w:val="000B1D17"/>
    <w:rsid w:val="000B1DDF"/>
    <w:rsid w:val="000B1F34"/>
    <w:rsid w:val="000B1FDE"/>
    <w:rsid w:val="000B200C"/>
    <w:rsid w:val="000B213F"/>
    <w:rsid w:val="000B23C4"/>
    <w:rsid w:val="000B277A"/>
    <w:rsid w:val="000B28B1"/>
    <w:rsid w:val="000B2984"/>
    <w:rsid w:val="000B2A12"/>
    <w:rsid w:val="000B2A4F"/>
    <w:rsid w:val="000B2BC6"/>
    <w:rsid w:val="000B2E28"/>
    <w:rsid w:val="000B2E48"/>
    <w:rsid w:val="000B2E9B"/>
    <w:rsid w:val="000B3095"/>
    <w:rsid w:val="000B31DF"/>
    <w:rsid w:val="000B31E2"/>
    <w:rsid w:val="000B31FA"/>
    <w:rsid w:val="000B3229"/>
    <w:rsid w:val="000B3398"/>
    <w:rsid w:val="000B3495"/>
    <w:rsid w:val="000B349B"/>
    <w:rsid w:val="000B351A"/>
    <w:rsid w:val="000B3630"/>
    <w:rsid w:val="000B3633"/>
    <w:rsid w:val="000B365E"/>
    <w:rsid w:val="000B367E"/>
    <w:rsid w:val="000B3728"/>
    <w:rsid w:val="000B3969"/>
    <w:rsid w:val="000B3DC8"/>
    <w:rsid w:val="000B3F36"/>
    <w:rsid w:val="000B3F60"/>
    <w:rsid w:val="000B405B"/>
    <w:rsid w:val="000B41EB"/>
    <w:rsid w:val="000B4357"/>
    <w:rsid w:val="000B445B"/>
    <w:rsid w:val="000B4614"/>
    <w:rsid w:val="000B462B"/>
    <w:rsid w:val="000B46CB"/>
    <w:rsid w:val="000B48D0"/>
    <w:rsid w:val="000B4ACF"/>
    <w:rsid w:val="000B4CB4"/>
    <w:rsid w:val="000B4D21"/>
    <w:rsid w:val="000B4D6A"/>
    <w:rsid w:val="000B4FDE"/>
    <w:rsid w:val="000B5046"/>
    <w:rsid w:val="000B5047"/>
    <w:rsid w:val="000B550C"/>
    <w:rsid w:val="000B55E2"/>
    <w:rsid w:val="000B5845"/>
    <w:rsid w:val="000B5864"/>
    <w:rsid w:val="000B5876"/>
    <w:rsid w:val="000B589D"/>
    <w:rsid w:val="000B593E"/>
    <w:rsid w:val="000B5986"/>
    <w:rsid w:val="000B5A14"/>
    <w:rsid w:val="000B5A2B"/>
    <w:rsid w:val="000B5AF2"/>
    <w:rsid w:val="000B5C19"/>
    <w:rsid w:val="000B5D77"/>
    <w:rsid w:val="000B5DA0"/>
    <w:rsid w:val="000B5FC9"/>
    <w:rsid w:val="000B6197"/>
    <w:rsid w:val="000B638A"/>
    <w:rsid w:val="000B653B"/>
    <w:rsid w:val="000B6583"/>
    <w:rsid w:val="000B65A9"/>
    <w:rsid w:val="000B6777"/>
    <w:rsid w:val="000B6B22"/>
    <w:rsid w:val="000B6B35"/>
    <w:rsid w:val="000B6BC1"/>
    <w:rsid w:val="000B710A"/>
    <w:rsid w:val="000B71FD"/>
    <w:rsid w:val="000B7255"/>
    <w:rsid w:val="000B7420"/>
    <w:rsid w:val="000B7439"/>
    <w:rsid w:val="000B77CC"/>
    <w:rsid w:val="000C0174"/>
    <w:rsid w:val="000C01AB"/>
    <w:rsid w:val="000C0304"/>
    <w:rsid w:val="000C055E"/>
    <w:rsid w:val="000C0643"/>
    <w:rsid w:val="000C0901"/>
    <w:rsid w:val="000C0936"/>
    <w:rsid w:val="000C09AE"/>
    <w:rsid w:val="000C09CF"/>
    <w:rsid w:val="000C0A29"/>
    <w:rsid w:val="000C0ADB"/>
    <w:rsid w:val="000C0D31"/>
    <w:rsid w:val="000C0DDF"/>
    <w:rsid w:val="000C0DE3"/>
    <w:rsid w:val="000C0DEC"/>
    <w:rsid w:val="000C0E00"/>
    <w:rsid w:val="000C108F"/>
    <w:rsid w:val="000C118B"/>
    <w:rsid w:val="000C143E"/>
    <w:rsid w:val="000C1478"/>
    <w:rsid w:val="000C14D7"/>
    <w:rsid w:val="000C158B"/>
    <w:rsid w:val="000C16AB"/>
    <w:rsid w:val="000C179E"/>
    <w:rsid w:val="000C182E"/>
    <w:rsid w:val="000C1B69"/>
    <w:rsid w:val="000C1BD7"/>
    <w:rsid w:val="000C1D09"/>
    <w:rsid w:val="000C1E5A"/>
    <w:rsid w:val="000C2090"/>
    <w:rsid w:val="000C21FE"/>
    <w:rsid w:val="000C2384"/>
    <w:rsid w:val="000C238A"/>
    <w:rsid w:val="000C24BA"/>
    <w:rsid w:val="000C2582"/>
    <w:rsid w:val="000C25F9"/>
    <w:rsid w:val="000C263B"/>
    <w:rsid w:val="000C26BF"/>
    <w:rsid w:val="000C29C8"/>
    <w:rsid w:val="000C2AE0"/>
    <w:rsid w:val="000C2B53"/>
    <w:rsid w:val="000C2BBF"/>
    <w:rsid w:val="000C2DDF"/>
    <w:rsid w:val="000C2ECA"/>
    <w:rsid w:val="000C2F4D"/>
    <w:rsid w:val="000C2FD9"/>
    <w:rsid w:val="000C309E"/>
    <w:rsid w:val="000C30A9"/>
    <w:rsid w:val="000C30FE"/>
    <w:rsid w:val="000C35B7"/>
    <w:rsid w:val="000C3606"/>
    <w:rsid w:val="000C36EB"/>
    <w:rsid w:val="000C39B0"/>
    <w:rsid w:val="000C3C4A"/>
    <w:rsid w:val="000C3D33"/>
    <w:rsid w:val="000C3DD8"/>
    <w:rsid w:val="000C3DEE"/>
    <w:rsid w:val="000C3E1D"/>
    <w:rsid w:val="000C404C"/>
    <w:rsid w:val="000C44AB"/>
    <w:rsid w:val="000C460C"/>
    <w:rsid w:val="000C4739"/>
    <w:rsid w:val="000C4769"/>
    <w:rsid w:val="000C488F"/>
    <w:rsid w:val="000C48C0"/>
    <w:rsid w:val="000C49D4"/>
    <w:rsid w:val="000C4C7F"/>
    <w:rsid w:val="000C4C94"/>
    <w:rsid w:val="000C4D8F"/>
    <w:rsid w:val="000C50A6"/>
    <w:rsid w:val="000C53B8"/>
    <w:rsid w:val="000C5463"/>
    <w:rsid w:val="000C5545"/>
    <w:rsid w:val="000C56C8"/>
    <w:rsid w:val="000C586A"/>
    <w:rsid w:val="000C591C"/>
    <w:rsid w:val="000C5A22"/>
    <w:rsid w:val="000C5BB6"/>
    <w:rsid w:val="000C5DC1"/>
    <w:rsid w:val="000C5F76"/>
    <w:rsid w:val="000C5FA8"/>
    <w:rsid w:val="000C5FE7"/>
    <w:rsid w:val="000C6058"/>
    <w:rsid w:val="000C6199"/>
    <w:rsid w:val="000C62A7"/>
    <w:rsid w:val="000C646F"/>
    <w:rsid w:val="000C6660"/>
    <w:rsid w:val="000C68C6"/>
    <w:rsid w:val="000C6A3C"/>
    <w:rsid w:val="000C6A6E"/>
    <w:rsid w:val="000C6A75"/>
    <w:rsid w:val="000C6A8A"/>
    <w:rsid w:val="000C6B4A"/>
    <w:rsid w:val="000C6C5D"/>
    <w:rsid w:val="000C6D04"/>
    <w:rsid w:val="000C6D93"/>
    <w:rsid w:val="000C6D94"/>
    <w:rsid w:val="000C6DA1"/>
    <w:rsid w:val="000C6ED7"/>
    <w:rsid w:val="000C6F64"/>
    <w:rsid w:val="000C717F"/>
    <w:rsid w:val="000C73B4"/>
    <w:rsid w:val="000C7719"/>
    <w:rsid w:val="000C7745"/>
    <w:rsid w:val="000C7757"/>
    <w:rsid w:val="000C794B"/>
    <w:rsid w:val="000C7AB7"/>
    <w:rsid w:val="000C7ADD"/>
    <w:rsid w:val="000C7B03"/>
    <w:rsid w:val="000C7BBF"/>
    <w:rsid w:val="000C7D99"/>
    <w:rsid w:val="000C7EBD"/>
    <w:rsid w:val="000C7F62"/>
    <w:rsid w:val="000D0408"/>
    <w:rsid w:val="000D0508"/>
    <w:rsid w:val="000D06E1"/>
    <w:rsid w:val="000D079D"/>
    <w:rsid w:val="000D07E8"/>
    <w:rsid w:val="000D0980"/>
    <w:rsid w:val="000D09CD"/>
    <w:rsid w:val="000D0A35"/>
    <w:rsid w:val="000D0A45"/>
    <w:rsid w:val="000D0E58"/>
    <w:rsid w:val="000D0ED5"/>
    <w:rsid w:val="000D0F87"/>
    <w:rsid w:val="000D1332"/>
    <w:rsid w:val="000D14A4"/>
    <w:rsid w:val="000D1519"/>
    <w:rsid w:val="000D17F4"/>
    <w:rsid w:val="000D1838"/>
    <w:rsid w:val="000D186E"/>
    <w:rsid w:val="000D1900"/>
    <w:rsid w:val="000D1BF8"/>
    <w:rsid w:val="000D1E2B"/>
    <w:rsid w:val="000D1E85"/>
    <w:rsid w:val="000D1F45"/>
    <w:rsid w:val="000D1F53"/>
    <w:rsid w:val="000D1FA2"/>
    <w:rsid w:val="000D2045"/>
    <w:rsid w:val="000D207F"/>
    <w:rsid w:val="000D23F8"/>
    <w:rsid w:val="000D2452"/>
    <w:rsid w:val="000D272B"/>
    <w:rsid w:val="000D275E"/>
    <w:rsid w:val="000D2875"/>
    <w:rsid w:val="000D2A82"/>
    <w:rsid w:val="000D2AE1"/>
    <w:rsid w:val="000D2BB8"/>
    <w:rsid w:val="000D2BF7"/>
    <w:rsid w:val="000D2C09"/>
    <w:rsid w:val="000D2C63"/>
    <w:rsid w:val="000D2CAA"/>
    <w:rsid w:val="000D2CCC"/>
    <w:rsid w:val="000D2D65"/>
    <w:rsid w:val="000D2FCF"/>
    <w:rsid w:val="000D300E"/>
    <w:rsid w:val="000D3058"/>
    <w:rsid w:val="000D30C0"/>
    <w:rsid w:val="000D321A"/>
    <w:rsid w:val="000D332C"/>
    <w:rsid w:val="000D336D"/>
    <w:rsid w:val="000D33CF"/>
    <w:rsid w:val="000D341B"/>
    <w:rsid w:val="000D356D"/>
    <w:rsid w:val="000D38CC"/>
    <w:rsid w:val="000D38F9"/>
    <w:rsid w:val="000D3CBB"/>
    <w:rsid w:val="000D3D1C"/>
    <w:rsid w:val="000D3DB4"/>
    <w:rsid w:val="000D3E2B"/>
    <w:rsid w:val="000D3F29"/>
    <w:rsid w:val="000D3FA4"/>
    <w:rsid w:val="000D4128"/>
    <w:rsid w:val="000D4185"/>
    <w:rsid w:val="000D4228"/>
    <w:rsid w:val="000D42BC"/>
    <w:rsid w:val="000D42C6"/>
    <w:rsid w:val="000D462B"/>
    <w:rsid w:val="000D476D"/>
    <w:rsid w:val="000D4788"/>
    <w:rsid w:val="000D4847"/>
    <w:rsid w:val="000D48CE"/>
    <w:rsid w:val="000D48F3"/>
    <w:rsid w:val="000D498E"/>
    <w:rsid w:val="000D4B4E"/>
    <w:rsid w:val="000D4DD5"/>
    <w:rsid w:val="000D4F9D"/>
    <w:rsid w:val="000D502D"/>
    <w:rsid w:val="000D5037"/>
    <w:rsid w:val="000D5039"/>
    <w:rsid w:val="000D53AF"/>
    <w:rsid w:val="000D570C"/>
    <w:rsid w:val="000D592C"/>
    <w:rsid w:val="000D5ABF"/>
    <w:rsid w:val="000D5B8C"/>
    <w:rsid w:val="000D5CC7"/>
    <w:rsid w:val="000D5CDD"/>
    <w:rsid w:val="000D5DF2"/>
    <w:rsid w:val="000D5E1E"/>
    <w:rsid w:val="000D5E5C"/>
    <w:rsid w:val="000D5EC0"/>
    <w:rsid w:val="000D5EF5"/>
    <w:rsid w:val="000D6006"/>
    <w:rsid w:val="000D630B"/>
    <w:rsid w:val="000D671E"/>
    <w:rsid w:val="000D6724"/>
    <w:rsid w:val="000D6967"/>
    <w:rsid w:val="000D6B30"/>
    <w:rsid w:val="000D6BDD"/>
    <w:rsid w:val="000D6F19"/>
    <w:rsid w:val="000D6F69"/>
    <w:rsid w:val="000D6FBD"/>
    <w:rsid w:val="000D7137"/>
    <w:rsid w:val="000D731B"/>
    <w:rsid w:val="000D7386"/>
    <w:rsid w:val="000D73AF"/>
    <w:rsid w:val="000D73E2"/>
    <w:rsid w:val="000D7511"/>
    <w:rsid w:val="000D75AB"/>
    <w:rsid w:val="000D7905"/>
    <w:rsid w:val="000D793C"/>
    <w:rsid w:val="000D79B4"/>
    <w:rsid w:val="000D7A24"/>
    <w:rsid w:val="000D7AD3"/>
    <w:rsid w:val="000D7B05"/>
    <w:rsid w:val="000D7B5D"/>
    <w:rsid w:val="000D7CC6"/>
    <w:rsid w:val="000D7F04"/>
    <w:rsid w:val="000D7F80"/>
    <w:rsid w:val="000E005E"/>
    <w:rsid w:val="000E014C"/>
    <w:rsid w:val="000E01FA"/>
    <w:rsid w:val="000E0355"/>
    <w:rsid w:val="000E0439"/>
    <w:rsid w:val="000E0592"/>
    <w:rsid w:val="000E06D7"/>
    <w:rsid w:val="000E0732"/>
    <w:rsid w:val="000E073F"/>
    <w:rsid w:val="000E076A"/>
    <w:rsid w:val="000E085B"/>
    <w:rsid w:val="000E0A17"/>
    <w:rsid w:val="000E0F09"/>
    <w:rsid w:val="000E1052"/>
    <w:rsid w:val="000E1070"/>
    <w:rsid w:val="000E128F"/>
    <w:rsid w:val="000E12C5"/>
    <w:rsid w:val="000E12C8"/>
    <w:rsid w:val="000E14AC"/>
    <w:rsid w:val="000E156C"/>
    <w:rsid w:val="000E15A3"/>
    <w:rsid w:val="000E179E"/>
    <w:rsid w:val="000E17C7"/>
    <w:rsid w:val="000E1891"/>
    <w:rsid w:val="000E19B1"/>
    <w:rsid w:val="000E1A03"/>
    <w:rsid w:val="000E1C2B"/>
    <w:rsid w:val="000E1D8D"/>
    <w:rsid w:val="000E1ECC"/>
    <w:rsid w:val="000E2027"/>
    <w:rsid w:val="000E2183"/>
    <w:rsid w:val="000E247A"/>
    <w:rsid w:val="000E24B5"/>
    <w:rsid w:val="000E2685"/>
    <w:rsid w:val="000E2904"/>
    <w:rsid w:val="000E2941"/>
    <w:rsid w:val="000E294E"/>
    <w:rsid w:val="000E2AFA"/>
    <w:rsid w:val="000E2CDD"/>
    <w:rsid w:val="000E2CEF"/>
    <w:rsid w:val="000E2DA9"/>
    <w:rsid w:val="000E2DBF"/>
    <w:rsid w:val="000E2DC5"/>
    <w:rsid w:val="000E2E9B"/>
    <w:rsid w:val="000E30A2"/>
    <w:rsid w:val="000E3219"/>
    <w:rsid w:val="000E3386"/>
    <w:rsid w:val="000E3440"/>
    <w:rsid w:val="000E34BC"/>
    <w:rsid w:val="000E3501"/>
    <w:rsid w:val="000E352D"/>
    <w:rsid w:val="000E3694"/>
    <w:rsid w:val="000E37DA"/>
    <w:rsid w:val="000E37F6"/>
    <w:rsid w:val="000E3861"/>
    <w:rsid w:val="000E3B88"/>
    <w:rsid w:val="000E3C49"/>
    <w:rsid w:val="000E3EA0"/>
    <w:rsid w:val="000E3F2C"/>
    <w:rsid w:val="000E3FEB"/>
    <w:rsid w:val="000E406E"/>
    <w:rsid w:val="000E4072"/>
    <w:rsid w:val="000E4129"/>
    <w:rsid w:val="000E4132"/>
    <w:rsid w:val="000E4272"/>
    <w:rsid w:val="000E428C"/>
    <w:rsid w:val="000E4301"/>
    <w:rsid w:val="000E4465"/>
    <w:rsid w:val="000E4504"/>
    <w:rsid w:val="000E4585"/>
    <w:rsid w:val="000E467B"/>
    <w:rsid w:val="000E4719"/>
    <w:rsid w:val="000E476C"/>
    <w:rsid w:val="000E48D3"/>
    <w:rsid w:val="000E4900"/>
    <w:rsid w:val="000E4926"/>
    <w:rsid w:val="000E4B49"/>
    <w:rsid w:val="000E4D99"/>
    <w:rsid w:val="000E5012"/>
    <w:rsid w:val="000E5376"/>
    <w:rsid w:val="000E5400"/>
    <w:rsid w:val="000E593E"/>
    <w:rsid w:val="000E5A12"/>
    <w:rsid w:val="000E5AA1"/>
    <w:rsid w:val="000E5CE1"/>
    <w:rsid w:val="000E5CEE"/>
    <w:rsid w:val="000E5E2E"/>
    <w:rsid w:val="000E5E3E"/>
    <w:rsid w:val="000E5E9E"/>
    <w:rsid w:val="000E5F88"/>
    <w:rsid w:val="000E62B2"/>
    <w:rsid w:val="000E64F4"/>
    <w:rsid w:val="000E658D"/>
    <w:rsid w:val="000E67BB"/>
    <w:rsid w:val="000E6838"/>
    <w:rsid w:val="000E6905"/>
    <w:rsid w:val="000E6D70"/>
    <w:rsid w:val="000E6DF3"/>
    <w:rsid w:val="000E6E2F"/>
    <w:rsid w:val="000E6EDB"/>
    <w:rsid w:val="000E6F0D"/>
    <w:rsid w:val="000E6F24"/>
    <w:rsid w:val="000E6F2E"/>
    <w:rsid w:val="000E6F95"/>
    <w:rsid w:val="000E7083"/>
    <w:rsid w:val="000E72F5"/>
    <w:rsid w:val="000E745D"/>
    <w:rsid w:val="000E74BC"/>
    <w:rsid w:val="000E769E"/>
    <w:rsid w:val="000E7775"/>
    <w:rsid w:val="000E7799"/>
    <w:rsid w:val="000E7AB7"/>
    <w:rsid w:val="000E7B52"/>
    <w:rsid w:val="000E7C94"/>
    <w:rsid w:val="000F01FF"/>
    <w:rsid w:val="000F02CF"/>
    <w:rsid w:val="000F02D4"/>
    <w:rsid w:val="000F0476"/>
    <w:rsid w:val="000F050B"/>
    <w:rsid w:val="000F0526"/>
    <w:rsid w:val="000F0838"/>
    <w:rsid w:val="000F08E1"/>
    <w:rsid w:val="000F099E"/>
    <w:rsid w:val="000F0CA8"/>
    <w:rsid w:val="000F11CB"/>
    <w:rsid w:val="000F12A1"/>
    <w:rsid w:val="000F1363"/>
    <w:rsid w:val="000F15F1"/>
    <w:rsid w:val="000F198D"/>
    <w:rsid w:val="000F19CE"/>
    <w:rsid w:val="000F19FB"/>
    <w:rsid w:val="000F1B1C"/>
    <w:rsid w:val="000F1D29"/>
    <w:rsid w:val="000F2020"/>
    <w:rsid w:val="000F2143"/>
    <w:rsid w:val="000F2442"/>
    <w:rsid w:val="000F244B"/>
    <w:rsid w:val="000F255D"/>
    <w:rsid w:val="000F25B8"/>
    <w:rsid w:val="000F260F"/>
    <w:rsid w:val="000F2878"/>
    <w:rsid w:val="000F28D3"/>
    <w:rsid w:val="000F28E4"/>
    <w:rsid w:val="000F28FA"/>
    <w:rsid w:val="000F2A0F"/>
    <w:rsid w:val="000F2BA5"/>
    <w:rsid w:val="000F2CA0"/>
    <w:rsid w:val="000F2E2B"/>
    <w:rsid w:val="000F2E34"/>
    <w:rsid w:val="000F3180"/>
    <w:rsid w:val="000F32D0"/>
    <w:rsid w:val="000F370F"/>
    <w:rsid w:val="000F3748"/>
    <w:rsid w:val="000F3897"/>
    <w:rsid w:val="000F399D"/>
    <w:rsid w:val="000F39A2"/>
    <w:rsid w:val="000F3B3A"/>
    <w:rsid w:val="000F3C2C"/>
    <w:rsid w:val="000F3E0E"/>
    <w:rsid w:val="000F3EE4"/>
    <w:rsid w:val="000F417D"/>
    <w:rsid w:val="000F4302"/>
    <w:rsid w:val="000F4382"/>
    <w:rsid w:val="000F4493"/>
    <w:rsid w:val="000F44BF"/>
    <w:rsid w:val="000F46E8"/>
    <w:rsid w:val="000F47DF"/>
    <w:rsid w:val="000F49A2"/>
    <w:rsid w:val="000F49A5"/>
    <w:rsid w:val="000F4DC2"/>
    <w:rsid w:val="000F5054"/>
    <w:rsid w:val="000F5290"/>
    <w:rsid w:val="000F5338"/>
    <w:rsid w:val="000F537B"/>
    <w:rsid w:val="000F537C"/>
    <w:rsid w:val="000F54FC"/>
    <w:rsid w:val="000F5567"/>
    <w:rsid w:val="000F569E"/>
    <w:rsid w:val="000F57D7"/>
    <w:rsid w:val="000F5808"/>
    <w:rsid w:val="000F58C6"/>
    <w:rsid w:val="000F5A4C"/>
    <w:rsid w:val="000F5A6E"/>
    <w:rsid w:val="000F5C1D"/>
    <w:rsid w:val="000F5C5E"/>
    <w:rsid w:val="000F5E72"/>
    <w:rsid w:val="000F5F31"/>
    <w:rsid w:val="000F5F3E"/>
    <w:rsid w:val="000F5F4C"/>
    <w:rsid w:val="000F5F6C"/>
    <w:rsid w:val="000F5F6E"/>
    <w:rsid w:val="000F60B0"/>
    <w:rsid w:val="000F60C0"/>
    <w:rsid w:val="000F61C1"/>
    <w:rsid w:val="000F62A7"/>
    <w:rsid w:val="000F634A"/>
    <w:rsid w:val="000F63EA"/>
    <w:rsid w:val="000F6434"/>
    <w:rsid w:val="000F6480"/>
    <w:rsid w:val="000F64CC"/>
    <w:rsid w:val="000F64DD"/>
    <w:rsid w:val="000F6556"/>
    <w:rsid w:val="000F664B"/>
    <w:rsid w:val="000F67CA"/>
    <w:rsid w:val="000F6BA6"/>
    <w:rsid w:val="000F6C45"/>
    <w:rsid w:val="000F6FD7"/>
    <w:rsid w:val="000F7286"/>
    <w:rsid w:val="000F72DD"/>
    <w:rsid w:val="000F79FB"/>
    <w:rsid w:val="000F7A7B"/>
    <w:rsid w:val="000F7AF7"/>
    <w:rsid w:val="000F7B17"/>
    <w:rsid w:val="000F7B45"/>
    <w:rsid w:val="000F7B50"/>
    <w:rsid w:val="000F7DF2"/>
    <w:rsid w:val="000F7E3B"/>
    <w:rsid w:val="000F7EC1"/>
    <w:rsid w:val="000F7F3F"/>
    <w:rsid w:val="00100064"/>
    <w:rsid w:val="00100141"/>
    <w:rsid w:val="001001D6"/>
    <w:rsid w:val="001001E0"/>
    <w:rsid w:val="001002D4"/>
    <w:rsid w:val="0010033F"/>
    <w:rsid w:val="001003AC"/>
    <w:rsid w:val="001004E1"/>
    <w:rsid w:val="0010063A"/>
    <w:rsid w:val="00100657"/>
    <w:rsid w:val="0010079F"/>
    <w:rsid w:val="001008F5"/>
    <w:rsid w:val="00100926"/>
    <w:rsid w:val="001009F0"/>
    <w:rsid w:val="00100B04"/>
    <w:rsid w:val="00100CF7"/>
    <w:rsid w:val="00100D85"/>
    <w:rsid w:val="00100F66"/>
    <w:rsid w:val="00101158"/>
    <w:rsid w:val="00101240"/>
    <w:rsid w:val="001013E3"/>
    <w:rsid w:val="001014FE"/>
    <w:rsid w:val="001015E9"/>
    <w:rsid w:val="00101651"/>
    <w:rsid w:val="00101938"/>
    <w:rsid w:val="00101CF4"/>
    <w:rsid w:val="00101CF6"/>
    <w:rsid w:val="00102039"/>
    <w:rsid w:val="00102217"/>
    <w:rsid w:val="00102608"/>
    <w:rsid w:val="001027C1"/>
    <w:rsid w:val="001028F6"/>
    <w:rsid w:val="00102925"/>
    <w:rsid w:val="001029D8"/>
    <w:rsid w:val="00102A6A"/>
    <w:rsid w:val="00102B0C"/>
    <w:rsid w:val="00102DAC"/>
    <w:rsid w:val="00102E57"/>
    <w:rsid w:val="00102F5B"/>
    <w:rsid w:val="00102F9B"/>
    <w:rsid w:val="0010307A"/>
    <w:rsid w:val="001030D0"/>
    <w:rsid w:val="001031EE"/>
    <w:rsid w:val="001032DF"/>
    <w:rsid w:val="00103306"/>
    <w:rsid w:val="0010345A"/>
    <w:rsid w:val="001034BF"/>
    <w:rsid w:val="001035D1"/>
    <w:rsid w:val="0010362F"/>
    <w:rsid w:val="0010363A"/>
    <w:rsid w:val="00103880"/>
    <w:rsid w:val="001038BF"/>
    <w:rsid w:val="001038C3"/>
    <w:rsid w:val="001038C6"/>
    <w:rsid w:val="00103C33"/>
    <w:rsid w:val="001042C8"/>
    <w:rsid w:val="00104523"/>
    <w:rsid w:val="00104570"/>
    <w:rsid w:val="00104787"/>
    <w:rsid w:val="001047A6"/>
    <w:rsid w:val="001049FF"/>
    <w:rsid w:val="00104A31"/>
    <w:rsid w:val="00104A43"/>
    <w:rsid w:val="00104BC8"/>
    <w:rsid w:val="00104CD4"/>
    <w:rsid w:val="00104D0B"/>
    <w:rsid w:val="00104D1D"/>
    <w:rsid w:val="00104D2C"/>
    <w:rsid w:val="00104E51"/>
    <w:rsid w:val="00104F35"/>
    <w:rsid w:val="00104F38"/>
    <w:rsid w:val="00105390"/>
    <w:rsid w:val="001053F8"/>
    <w:rsid w:val="00105569"/>
    <w:rsid w:val="001055CF"/>
    <w:rsid w:val="00105795"/>
    <w:rsid w:val="00105821"/>
    <w:rsid w:val="0010582F"/>
    <w:rsid w:val="00105AD6"/>
    <w:rsid w:val="00105F62"/>
    <w:rsid w:val="00106006"/>
    <w:rsid w:val="001061D5"/>
    <w:rsid w:val="0010622E"/>
    <w:rsid w:val="001063AD"/>
    <w:rsid w:val="00106459"/>
    <w:rsid w:val="0010647A"/>
    <w:rsid w:val="00106499"/>
    <w:rsid w:val="001064E3"/>
    <w:rsid w:val="0010660F"/>
    <w:rsid w:val="00106694"/>
    <w:rsid w:val="00106771"/>
    <w:rsid w:val="001068B1"/>
    <w:rsid w:val="00106EDD"/>
    <w:rsid w:val="00106F49"/>
    <w:rsid w:val="00106FDF"/>
    <w:rsid w:val="001070AC"/>
    <w:rsid w:val="00107212"/>
    <w:rsid w:val="0010721E"/>
    <w:rsid w:val="001072BD"/>
    <w:rsid w:val="0010740C"/>
    <w:rsid w:val="001074CF"/>
    <w:rsid w:val="001074E7"/>
    <w:rsid w:val="00107619"/>
    <w:rsid w:val="001077A7"/>
    <w:rsid w:val="0010793D"/>
    <w:rsid w:val="00107BBB"/>
    <w:rsid w:val="00107BE2"/>
    <w:rsid w:val="00107C89"/>
    <w:rsid w:val="00107D02"/>
    <w:rsid w:val="00107ED7"/>
    <w:rsid w:val="0011004D"/>
    <w:rsid w:val="001100B1"/>
    <w:rsid w:val="00110197"/>
    <w:rsid w:val="0011023E"/>
    <w:rsid w:val="001103F0"/>
    <w:rsid w:val="0011040E"/>
    <w:rsid w:val="00110572"/>
    <w:rsid w:val="00110622"/>
    <w:rsid w:val="001106AA"/>
    <w:rsid w:val="001107F0"/>
    <w:rsid w:val="0011081F"/>
    <w:rsid w:val="0011090A"/>
    <w:rsid w:val="00110ABF"/>
    <w:rsid w:val="00110B36"/>
    <w:rsid w:val="00110CB4"/>
    <w:rsid w:val="00110CD0"/>
    <w:rsid w:val="00110F5B"/>
    <w:rsid w:val="00111056"/>
    <w:rsid w:val="0011106F"/>
    <w:rsid w:val="001110B8"/>
    <w:rsid w:val="001110EC"/>
    <w:rsid w:val="001111E0"/>
    <w:rsid w:val="001112BE"/>
    <w:rsid w:val="00111356"/>
    <w:rsid w:val="001113BB"/>
    <w:rsid w:val="001113BD"/>
    <w:rsid w:val="00111405"/>
    <w:rsid w:val="00111411"/>
    <w:rsid w:val="00111423"/>
    <w:rsid w:val="00111507"/>
    <w:rsid w:val="001115FB"/>
    <w:rsid w:val="001116E4"/>
    <w:rsid w:val="00111704"/>
    <w:rsid w:val="0011178C"/>
    <w:rsid w:val="001118DF"/>
    <w:rsid w:val="0011198D"/>
    <w:rsid w:val="00111B17"/>
    <w:rsid w:val="00111B45"/>
    <w:rsid w:val="00111CF8"/>
    <w:rsid w:val="00111F4C"/>
    <w:rsid w:val="0011225F"/>
    <w:rsid w:val="00112458"/>
    <w:rsid w:val="00112484"/>
    <w:rsid w:val="001124E2"/>
    <w:rsid w:val="001124EC"/>
    <w:rsid w:val="00112510"/>
    <w:rsid w:val="00112622"/>
    <w:rsid w:val="001126AB"/>
    <w:rsid w:val="001126C9"/>
    <w:rsid w:val="001126D2"/>
    <w:rsid w:val="00112881"/>
    <w:rsid w:val="001128A4"/>
    <w:rsid w:val="0011295E"/>
    <w:rsid w:val="00112A49"/>
    <w:rsid w:val="00112AC6"/>
    <w:rsid w:val="00112C00"/>
    <w:rsid w:val="00112CDC"/>
    <w:rsid w:val="00112CE6"/>
    <w:rsid w:val="00112D81"/>
    <w:rsid w:val="00112EFB"/>
    <w:rsid w:val="00112F17"/>
    <w:rsid w:val="00112FAB"/>
    <w:rsid w:val="001132A3"/>
    <w:rsid w:val="001134F2"/>
    <w:rsid w:val="001134F8"/>
    <w:rsid w:val="001137F8"/>
    <w:rsid w:val="00113864"/>
    <w:rsid w:val="00113882"/>
    <w:rsid w:val="0011389F"/>
    <w:rsid w:val="00113A19"/>
    <w:rsid w:val="00113AD9"/>
    <w:rsid w:val="00113B88"/>
    <w:rsid w:val="00113BC1"/>
    <w:rsid w:val="00113CE4"/>
    <w:rsid w:val="001140D4"/>
    <w:rsid w:val="001141E4"/>
    <w:rsid w:val="00114226"/>
    <w:rsid w:val="00114239"/>
    <w:rsid w:val="00114475"/>
    <w:rsid w:val="001146C2"/>
    <w:rsid w:val="0011485F"/>
    <w:rsid w:val="00114860"/>
    <w:rsid w:val="00114864"/>
    <w:rsid w:val="001149D4"/>
    <w:rsid w:val="00114A20"/>
    <w:rsid w:val="00114A56"/>
    <w:rsid w:val="00114A6B"/>
    <w:rsid w:val="00114E30"/>
    <w:rsid w:val="00114E78"/>
    <w:rsid w:val="0011503F"/>
    <w:rsid w:val="001151D5"/>
    <w:rsid w:val="00115275"/>
    <w:rsid w:val="0011527D"/>
    <w:rsid w:val="00115447"/>
    <w:rsid w:val="0011563F"/>
    <w:rsid w:val="0011584E"/>
    <w:rsid w:val="001158AF"/>
    <w:rsid w:val="001158D6"/>
    <w:rsid w:val="0011592F"/>
    <w:rsid w:val="00115AF3"/>
    <w:rsid w:val="00115B75"/>
    <w:rsid w:val="00115E65"/>
    <w:rsid w:val="001161C8"/>
    <w:rsid w:val="0011637A"/>
    <w:rsid w:val="0011638C"/>
    <w:rsid w:val="0011640C"/>
    <w:rsid w:val="001164A2"/>
    <w:rsid w:val="00116604"/>
    <w:rsid w:val="00116855"/>
    <w:rsid w:val="00116941"/>
    <w:rsid w:val="00116978"/>
    <w:rsid w:val="00116CBC"/>
    <w:rsid w:val="00116FCB"/>
    <w:rsid w:val="00117094"/>
    <w:rsid w:val="00117229"/>
    <w:rsid w:val="0011748E"/>
    <w:rsid w:val="0011782B"/>
    <w:rsid w:val="00117979"/>
    <w:rsid w:val="00117A30"/>
    <w:rsid w:val="00117B7F"/>
    <w:rsid w:val="00117C7D"/>
    <w:rsid w:val="00117DDF"/>
    <w:rsid w:val="00117E86"/>
    <w:rsid w:val="00120009"/>
    <w:rsid w:val="001200C2"/>
    <w:rsid w:val="0012012E"/>
    <w:rsid w:val="0012014B"/>
    <w:rsid w:val="0012018A"/>
    <w:rsid w:val="00120233"/>
    <w:rsid w:val="0012023F"/>
    <w:rsid w:val="001202CF"/>
    <w:rsid w:val="00120317"/>
    <w:rsid w:val="00120397"/>
    <w:rsid w:val="001204DC"/>
    <w:rsid w:val="0012055E"/>
    <w:rsid w:val="00120633"/>
    <w:rsid w:val="00120648"/>
    <w:rsid w:val="001209F2"/>
    <w:rsid w:val="00120A46"/>
    <w:rsid w:val="00120AC6"/>
    <w:rsid w:val="00120B2C"/>
    <w:rsid w:val="00120BC6"/>
    <w:rsid w:val="00120DA0"/>
    <w:rsid w:val="00120DBA"/>
    <w:rsid w:val="00120F0A"/>
    <w:rsid w:val="001210E2"/>
    <w:rsid w:val="00121227"/>
    <w:rsid w:val="001212F9"/>
    <w:rsid w:val="00121373"/>
    <w:rsid w:val="001213CC"/>
    <w:rsid w:val="00121474"/>
    <w:rsid w:val="00121536"/>
    <w:rsid w:val="0012165A"/>
    <w:rsid w:val="001216DE"/>
    <w:rsid w:val="0012173B"/>
    <w:rsid w:val="0012183A"/>
    <w:rsid w:val="00121843"/>
    <w:rsid w:val="0012196E"/>
    <w:rsid w:val="0012199F"/>
    <w:rsid w:val="001219FE"/>
    <w:rsid w:val="00121B51"/>
    <w:rsid w:val="00121E1B"/>
    <w:rsid w:val="00121F18"/>
    <w:rsid w:val="00122119"/>
    <w:rsid w:val="00122177"/>
    <w:rsid w:val="001222E0"/>
    <w:rsid w:val="00122333"/>
    <w:rsid w:val="001223AD"/>
    <w:rsid w:val="001224B7"/>
    <w:rsid w:val="00122506"/>
    <w:rsid w:val="00122514"/>
    <w:rsid w:val="001227EF"/>
    <w:rsid w:val="00122B22"/>
    <w:rsid w:val="00122B46"/>
    <w:rsid w:val="00122D95"/>
    <w:rsid w:val="00122E23"/>
    <w:rsid w:val="00122FF3"/>
    <w:rsid w:val="0012307D"/>
    <w:rsid w:val="00123246"/>
    <w:rsid w:val="00123407"/>
    <w:rsid w:val="001234A9"/>
    <w:rsid w:val="00123525"/>
    <w:rsid w:val="00123716"/>
    <w:rsid w:val="00123743"/>
    <w:rsid w:val="001237F7"/>
    <w:rsid w:val="00123992"/>
    <w:rsid w:val="00123AAC"/>
    <w:rsid w:val="00123C96"/>
    <w:rsid w:val="00123E00"/>
    <w:rsid w:val="00123E16"/>
    <w:rsid w:val="00124291"/>
    <w:rsid w:val="001242A5"/>
    <w:rsid w:val="001242C0"/>
    <w:rsid w:val="00124575"/>
    <w:rsid w:val="00124699"/>
    <w:rsid w:val="0012477D"/>
    <w:rsid w:val="00124C8B"/>
    <w:rsid w:val="00124F1F"/>
    <w:rsid w:val="001250C9"/>
    <w:rsid w:val="00125173"/>
    <w:rsid w:val="0012519F"/>
    <w:rsid w:val="001251B7"/>
    <w:rsid w:val="001253F4"/>
    <w:rsid w:val="00125490"/>
    <w:rsid w:val="001256FB"/>
    <w:rsid w:val="0012576B"/>
    <w:rsid w:val="001258FE"/>
    <w:rsid w:val="00125C5B"/>
    <w:rsid w:val="00125D66"/>
    <w:rsid w:val="00125E54"/>
    <w:rsid w:val="00125E58"/>
    <w:rsid w:val="00126330"/>
    <w:rsid w:val="0012648E"/>
    <w:rsid w:val="00126500"/>
    <w:rsid w:val="00126532"/>
    <w:rsid w:val="001265F5"/>
    <w:rsid w:val="00126647"/>
    <w:rsid w:val="00126723"/>
    <w:rsid w:val="001267D7"/>
    <w:rsid w:val="001268A7"/>
    <w:rsid w:val="001268C8"/>
    <w:rsid w:val="00126936"/>
    <w:rsid w:val="0012696C"/>
    <w:rsid w:val="00126CE8"/>
    <w:rsid w:val="00126DB2"/>
    <w:rsid w:val="00126DD5"/>
    <w:rsid w:val="00126E3D"/>
    <w:rsid w:val="00126F41"/>
    <w:rsid w:val="00126F60"/>
    <w:rsid w:val="00126F88"/>
    <w:rsid w:val="001272A7"/>
    <w:rsid w:val="0012744B"/>
    <w:rsid w:val="00127476"/>
    <w:rsid w:val="001274A9"/>
    <w:rsid w:val="00127722"/>
    <w:rsid w:val="0012779D"/>
    <w:rsid w:val="001277D1"/>
    <w:rsid w:val="001278EC"/>
    <w:rsid w:val="00127A16"/>
    <w:rsid w:val="00127A60"/>
    <w:rsid w:val="00127B5F"/>
    <w:rsid w:val="00127BC0"/>
    <w:rsid w:val="00127C4C"/>
    <w:rsid w:val="00127C71"/>
    <w:rsid w:val="00127C93"/>
    <w:rsid w:val="00127D1F"/>
    <w:rsid w:val="001304A9"/>
    <w:rsid w:val="00130572"/>
    <w:rsid w:val="0013057B"/>
    <w:rsid w:val="001305C8"/>
    <w:rsid w:val="001305F5"/>
    <w:rsid w:val="001306DD"/>
    <w:rsid w:val="0013078C"/>
    <w:rsid w:val="00130A3B"/>
    <w:rsid w:val="00130A4E"/>
    <w:rsid w:val="00130A70"/>
    <w:rsid w:val="00130B3A"/>
    <w:rsid w:val="00130BA7"/>
    <w:rsid w:val="00130D60"/>
    <w:rsid w:val="00130E7E"/>
    <w:rsid w:val="0013104C"/>
    <w:rsid w:val="0013115F"/>
    <w:rsid w:val="0013119D"/>
    <w:rsid w:val="0013126E"/>
    <w:rsid w:val="00131316"/>
    <w:rsid w:val="00131523"/>
    <w:rsid w:val="001316B4"/>
    <w:rsid w:val="001316F3"/>
    <w:rsid w:val="0013176A"/>
    <w:rsid w:val="0013184D"/>
    <w:rsid w:val="00131916"/>
    <w:rsid w:val="001319E2"/>
    <w:rsid w:val="00131AC9"/>
    <w:rsid w:val="00131B0A"/>
    <w:rsid w:val="00131BA8"/>
    <w:rsid w:val="00131CFE"/>
    <w:rsid w:val="00131D41"/>
    <w:rsid w:val="00131EE6"/>
    <w:rsid w:val="00131F1D"/>
    <w:rsid w:val="00131F3D"/>
    <w:rsid w:val="00131FF3"/>
    <w:rsid w:val="00132063"/>
    <w:rsid w:val="00132130"/>
    <w:rsid w:val="00132381"/>
    <w:rsid w:val="001323A3"/>
    <w:rsid w:val="001323AF"/>
    <w:rsid w:val="00132567"/>
    <w:rsid w:val="0013261B"/>
    <w:rsid w:val="001327E2"/>
    <w:rsid w:val="00132832"/>
    <w:rsid w:val="0013294D"/>
    <w:rsid w:val="001329EC"/>
    <w:rsid w:val="00132B51"/>
    <w:rsid w:val="00132B9E"/>
    <w:rsid w:val="00132C64"/>
    <w:rsid w:val="00132D86"/>
    <w:rsid w:val="00132EE1"/>
    <w:rsid w:val="0013314F"/>
    <w:rsid w:val="00133218"/>
    <w:rsid w:val="00133224"/>
    <w:rsid w:val="00133235"/>
    <w:rsid w:val="001333CD"/>
    <w:rsid w:val="00133406"/>
    <w:rsid w:val="001337DD"/>
    <w:rsid w:val="0013398E"/>
    <w:rsid w:val="001339CF"/>
    <w:rsid w:val="00133A51"/>
    <w:rsid w:val="00133A5D"/>
    <w:rsid w:val="00133BA6"/>
    <w:rsid w:val="00133D13"/>
    <w:rsid w:val="00133DBE"/>
    <w:rsid w:val="00133E77"/>
    <w:rsid w:val="00133F45"/>
    <w:rsid w:val="0013403A"/>
    <w:rsid w:val="0013408F"/>
    <w:rsid w:val="00134218"/>
    <w:rsid w:val="00134419"/>
    <w:rsid w:val="001344C7"/>
    <w:rsid w:val="00134910"/>
    <w:rsid w:val="00134A61"/>
    <w:rsid w:val="00134BE0"/>
    <w:rsid w:val="00134C70"/>
    <w:rsid w:val="00134C89"/>
    <w:rsid w:val="00134CEF"/>
    <w:rsid w:val="0013514D"/>
    <w:rsid w:val="00135330"/>
    <w:rsid w:val="0013556C"/>
    <w:rsid w:val="001357C2"/>
    <w:rsid w:val="0013598C"/>
    <w:rsid w:val="0013599A"/>
    <w:rsid w:val="001359AD"/>
    <w:rsid w:val="00135C16"/>
    <w:rsid w:val="0013603F"/>
    <w:rsid w:val="00136321"/>
    <w:rsid w:val="001363BB"/>
    <w:rsid w:val="001363C3"/>
    <w:rsid w:val="001363D0"/>
    <w:rsid w:val="00136519"/>
    <w:rsid w:val="001365A2"/>
    <w:rsid w:val="00136617"/>
    <w:rsid w:val="00136893"/>
    <w:rsid w:val="001368A0"/>
    <w:rsid w:val="0013693B"/>
    <w:rsid w:val="00136983"/>
    <w:rsid w:val="00136B0B"/>
    <w:rsid w:val="00136C38"/>
    <w:rsid w:val="0013700D"/>
    <w:rsid w:val="00137036"/>
    <w:rsid w:val="00137180"/>
    <w:rsid w:val="001372BB"/>
    <w:rsid w:val="001373F5"/>
    <w:rsid w:val="00137528"/>
    <w:rsid w:val="0013753C"/>
    <w:rsid w:val="001376E6"/>
    <w:rsid w:val="00137817"/>
    <w:rsid w:val="0013789C"/>
    <w:rsid w:val="001378DF"/>
    <w:rsid w:val="00137BA1"/>
    <w:rsid w:val="00137BCF"/>
    <w:rsid w:val="00137C9F"/>
    <w:rsid w:val="00137CC9"/>
    <w:rsid w:val="00137E0D"/>
    <w:rsid w:val="00137ED7"/>
    <w:rsid w:val="00137F19"/>
    <w:rsid w:val="00137FB7"/>
    <w:rsid w:val="00140054"/>
    <w:rsid w:val="00140311"/>
    <w:rsid w:val="00140315"/>
    <w:rsid w:val="001405FE"/>
    <w:rsid w:val="00140838"/>
    <w:rsid w:val="00140A80"/>
    <w:rsid w:val="00140B95"/>
    <w:rsid w:val="00140C0F"/>
    <w:rsid w:val="00140C8E"/>
    <w:rsid w:val="00140E8C"/>
    <w:rsid w:val="00140F6C"/>
    <w:rsid w:val="00140FDE"/>
    <w:rsid w:val="00141128"/>
    <w:rsid w:val="001411B4"/>
    <w:rsid w:val="0014168A"/>
    <w:rsid w:val="00141757"/>
    <w:rsid w:val="001417C6"/>
    <w:rsid w:val="00141853"/>
    <w:rsid w:val="0014193A"/>
    <w:rsid w:val="00141A19"/>
    <w:rsid w:val="00141ADE"/>
    <w:rsid w:val="00141C97"/>
    <w:rsid w:val="00141CE0"/>
    <w:rsid w:val="00141DB8"/>
    <w:rsid w:val="00141F3A"/>
    <w:rsid w:val="00141FAB"/>
    <w:rsid w:val="0014220F"/>
    <w:rsid w:val="00142505"/>
    <w:rsid w:val="0014262D"/>
    <w:rsid w:val="0014282A"/>
    <w:rsid w:val="00142914"/>
    <w:rsid w:val="00142967"/>
    <w:rsid w:val="00142A15"/>
    <w:rsid w:val="00142B70"/>
    <w:rsid w:val="00142C1F"/>
    <w:rsid w:val="00142C98"/>
    <w:rsid w:val="00142DFC"/>
    <w:rsid w:val="00142F50"/>
    <w:rsid w:val="00143012"/>
    <w:rsid w:val="00143066"/>
    <w:rsid w:val="00143447"/>
    <w:rsid w:val="0014345E"/>
    <w:rsid w:val="00143499"/>
    <w:rsid w:val="0014356D"/>
    <w:rsid w:val="00143699"/>
    <w:rsid w:val="0014375A"/>
    <w:rsid w:val="0014379D"/>
    <w:rsid w:val="001437AE"/>
    <w:rsid w:val="001439AD"/>
    <w:rsid w:val="00143AC1"/>
    <w:rsid w:val="00143B6F"/>
    <w:rsid w:val="00143B7A"/>
    <w:rsid w:val="00143DBD"/>
    <w:rsid w:val="00143EC2"/>
    <w:rsid w:val="00143F6A"/>
    <w:rsid w:val="001441C6"/>
    <w:rsid w:val="00144305"/>
    <w:rsid w:val="00144327"/>
    <w:rsid w:val="001443A5"/>
    <w:rsid w:val="00144402"/>
    <w:rsid w:val="0014451F"/>
    <w:rsid w:val="001448E0"/>
    <w:rsid w:val="00144934"/>
    <w:rsid w:val="0014496B"/>
    <w:rsid w:val="001449EF"/>
    <w:rsid w:val="00144A2A"/>
    <w:rsid w:val="00144A98"/>
    <w:rsid w:val="00144B42"/>
    <w:rsid w:val="00144B87"/>
    <w:rsid w:val="00144B93"/>
    <w:rsid w:val="00144D73"/>
    <w:rsid w:val="00144E29"/>
    <w:rsid w:val="00144ED2"/>
    <w:rsid w:val="00145032"/>
    <w:rsid w:val="00145121"/>
    <w:rsid w:val="00145155"/>
    <w:rsid w:val="0014517E"/>
    <w:rsid w:val="001454F6"/>
    <w:rsid w:val="0014558E"/>
    <w:rsid w:val="001455DD"/>
    <w:rsid w:val="0014572D"/>
    <w:rsid w:val="0014583B"/>
    <w:rsid w:val="0014587E"/>
    <w:rsid w:val="0014590A"/>
    <w:rsid w:val="00145971"/>
    <w:rsid w:val="00145A0D"/>
    <w:rsid w:val="00145BB9"/>
    <w:rsid w:val="00145BD9"/>
    <w:rsid w:val="00145C6B"/>
    <w:rsid w:val="00145EC7"/>
    <w:rsid w:val="00145FFB"/>
    <w:rsid w:val="001461EE"/>
    <w:rsid w:val="0014620D"/>
    <w:rsid w:val="001462E1"/>
    <w:rsid w:val="0014648F"/>
    <w:rsid w:val="00146543"/>
    <w:rsid w:val="001465D0"/>
    <w:rsid w:val="00146B64"/>
    <w:rsid w:val="00146EF6"/>
    <w:rsid w:val="00147332"/>
    <w:rsid w:val="001473DF"/>
    <w:rsid w:val="00147420"/>
    <w:rsid w:val="00147475"/>
    <w:rsid w:val="001474C3"/>
    <w:rsid w:val="00147570"/>
    <w:rsid w:val="00147703"/>
    <w:rsid w:val="00147881"/>
    <w:rsid w:val="00147B9B"/>
    <w:rsid w:val="00147DA4"/>
    <w:rsid w:val="00147EB1"/>
    <w:rsid w:val="00147F9E"/>
    <w:rsid w:val="0015025D"/>
    <w:rsid w:val="0015029D"/>
    <w:rsid w:val="001502AD"/>
    <w:rsid w:val="001502E4"/>
    <w:rsid w:val="001507CB"/>
    <w:rsid w:val="001508EA"/>
    <w:rsid w:val="00150A8F"/>
    <w:rsid w:val="00150AC2"/>
    <w:rsid w:val="00150AFA"/>
    <w:rsid w:val="00150B07"/>
    <w:rsid w:val="00150B19"/>
    <w:rsid w:val="00150B2A"/>
    <w:rsid w:val="00150CFA"/>
    <w:rsid w:val="00150E5E"/>
    <w:rsid w:val="00150F9E"/>
    <w:rsid w:val="00151153"/>
    <w:rsid w:val="001512E3"/>
    <w:rsid w:val="0015187A"/>
    <w:rsid w:val="00151ABB"/>
    <w:rsid w:val="00151B95"/>
    <w:rsid w:val="00151C07"/>
    <w:rsid w:val="00151DA2"/>
    <w:rsid w:val="00152023"/>
    <w:rsid w:val="0015220A"/>
    <w:rsid w:val="001522DC"/>
    <w:rsid w:val="0015237E"/>
    <w:rsid w:val="001523EC"/>
    <w:rsid w:val="001523F2"/>
    <w:rsid w:val="0015251A"/>
    <w:rsid w:val="00152667"/>
    <w:rsid w:val="00152707"/>
    <w:rsid w:val="00152873"/>
    <w:rsid w:val="00152888"/>
    <w:rsid w:val="001528BB"/>
    <w:rsid w:val="00152A8C"/>
    <w:rsid w:val="00152A8E"/>
    <w:rsid w:val="00152EBE"/>
    <w:rsid w:val="00152FED"/>
    <w:rsid w:val="00153020"/>
    <w:rsid w:val="001530A0"/>
    <w:rsid w:val="00153141"/>
    <w:rsid w:val="0015315E"/>
    <w:rsid w:val="0015315F"/>
    <w:rsid w:val="001531F3"/>
    <w:rsid w:val="0015340A"/>
    <w:rsid w:val="00153519"/>
    <w:rsid w:val="00153521"/>
    <w:rsid w:val="00153688"/>
    <w:rsid w:val="001536C8"/>
    <w:rsid w:val="00153723"/>
    <w:rsid w:val="0015375C"/>
    <w:rsid w:val="0015389D"/>
    <w:rsid w:val="001538C4"/>
    <w:rsid w:val="001539A1"/>
    <w:rsid w:val="00153AAC"/>
    <w:rsid w:val="00153AC3"/>
    <w:rsid w:val="00153B6E"/>
    <w:rsid w:val="00153CAD"/>
    <w:rsid w:val="00153DCA"/>
    <w:rsid w:val="00153F9A"/>
    <w:rsid w:val="00153F9E"/>
    <w:rsid w:val="001540CB"/>
    <w:rsid w:val="00154111"/>
    <w:rsid w:val="0015416F"/>
    <w:rsid w:val="001541CD"/>
    <w:rsid w:val="001543ED"/>
    <w:rsid w:val="00154489"/>
    <w:rsid w:val="0015452C"/>
    <w:rsid w:val="0015489A"/>
    <w:rsid w:val="001548D6"/>
    <w:rsid w:val="00154A63"/>
    <w:rsid w:val="00154ACB"/>
    <w:rsid w:val="00154B35"/>
    <w:rsid w:val="00154C82"/>
    <w:rsid w:val="00154D8D"/>
    <w:rsid w:val="00154DA9"/>
    <w:rsid w:val="00154DAA"/>
    <w:rsid w:val="00154E49"/>
    <w:rsid w:val="00154F1B"/>
    <w:rsid w:val="00155006"/>
    <w:rsid w:val="00155010"/>
    <w:rsid w:val="001550B1"/>
    <w:rsid w:val="001551C8"/>
    <w:rsid w:val="001552D0"/>
    <w:rsid w:val="001553DF"/>
    <w:rsid w:val="001555B2"/>
    <w:rsid w:val="001556DE"/>
    <w:rsid w:val="0015579F"/>
    <w:rsid w:val="00155809"/>
    <w:rsid w:val="001558B4"/>
    <w:rsid w:val="001558FD"/>
    <w:rsid w:val="00155B90"/>
    <w:rsid w:val="00155CCF"/>
    <w:rsid w:val="00155E81"/>
    <w:rsid w:val="00155EBC"/>
    <w:rsid w:val="0015617C"/>
    <w:rsid w:val="001561C2"/>
    <w:rsid w:val="001562A3"/>
    <w:rsid w:val="001565DA"/>
    <w:rsid w:val="00156877"/>
    <w:rsid w:val="00156999"/>
    <w:rsid w:val="00156AC4"/>
    <w:rsid w:val="00156B9A"/>
    <w:rsid w:val="00156D57"/>
    <w:rsid w:val="00156F13"/>
    <w:rsid w:val="00156F1B"/>
    <w:rsid w:val="0015716B"/>
    <w:rsid w:val="001572FF"/>
    <w:rsid w:val="00157344"/>
    <w:rsid w:val="0015737C"/>
    <w:rsid w:val="00157457"/>
    <w:rsid w:val="001575AB"/>
    <w:rsid w:val="0015763F"/>
    <w:rsid w:val="00157953"/>
    <w:rsid w:val="00157D09"/>
    <w:rsid w:val="00157D6E"/>
    <w:rsid w:val="00157ECF"/>
    <w:rsid w:val="00157F45"/>
    <w:rsid w:val="001600FB"/>
    <w:rsid w:val="001602C0"/>
    <w:rsid w:val="001602C9"/>
    <w:rsid w:val="001602F3"/>
    <w:rsid w:val="00160374"/>
    <w:rsid w:val="001603A1"/>
    <w:rsid w:val="001603C9"/>
    <w:rsid w:val="0016058C"/>
    <w:rsid w:val="001605C2"/>
    <w:rsid w:val="001606F7"/>
    <w:rsid w:val="00160768"/>
    <w:rsid w:val="001607A7"/>
    <w:rsid w:val="001609F7"/>
    <w:rsid w:val="00160A32"/>
    <w:rsid w:val="00160D99"/>
    <w:rsid w:val="00160E34"/>
    <w:rsid w:val="00160EC2"/>
    <w:rsid w:val="00160F88"/>
    <w:rsid w:val="001611A1"/>
    <w:rsid w:val="0016131F"/>
    <w:rsid w:val="00161370"/>
    <w:rsid w:val="001613D0"/>
    <w:rsid w:val="0016165C"/>
    <w:rsid w:val="00161826"/>
    <w:rsid w:val="00161837"/>
    <w:rsid w:val="001618BA"/>
    <w:rsid w:val="001618CA"/>
    <w:rsid w:val="00161C91"/>
    <w:rsid w:val="00161CFF"/>
    <w:rsid w:val="00161D12"/>
    <w:rsid w:val="00161DD7"/>
    <w:rsid w:val="00161F5F"/>
    <w:rsid w:val="00162126"/>
    <w:rsid w:val="001621E4"/>
    <w:rsid w:val="0016230F"/>
    <w:rsid w:val="0016247F"/>
    <w:rsid w:val="0016248D"/>
    <w:rsid w:val="001627D6"/>
    <w:rsid w:val="00162828"/>
    <w:rsid w:val="0016283C"/>
    <w:rsid w:val="001628B1"/>
    <w:rsid w:val="001628BB"/>
    <w:rsid w:val="00162B3E"/>
    <w:rsid w:val="00162C56"/>
    <w:rsid w:val="00162D1B"/>
    <w:rsid w:val="00162D4D"/>
    <w:rsid w:val="00162D93"/>
    <w:rsid w:val="00162E27"/>
    <w:rsid w:val="00162EE0"/>
    <w:rsid w:val="00162F72"/>
    <w:rsid w:val="0016300E"/>
    <w:rsid w:val="0016308D"/>
    <w:rsid w:val="001631D0"/>
    <w:rsid w:val="00163778"/>
    <w:rsid w:val="00163890"/>
    <w:rsid w:val="00163A33"/>
    <w:rsid w:val="00163AB5"/>
    <w:rsid w:val="00163BA7"/>
    <w:rsid w:val="00163BD3"/>
    <w:rsid w:val="00163F30"/>
    <w:rsid w:val="0016403D"/>
    <w:rsid w:val="00164350"/>
    <w:rsid w:val="00164456"/>
    <w:rsid w:val="001646E6"/>
    <w:rsid w:val="00164723"/>
    <w:rsid w:val="001648CE"/>
    <w:rsid w:val="0016495B"/>
    <w:rsid w:val="0016496C"/>
    <w:rsid w:val="001649DC"/>
    <w:rsid w:val="00164A35"/>
    <w:rsid w:val="00164A5E"/>
    <w:rsid w:val="00164C1B"/>
    <w:rsid w:val="00164C2D"/>
    <w:rsid w:val="00164DB8"/>
    <w:rsid w:val="00164ECF"/>
    <w:rsid w:val="00165349"/>
    <w:rsid w:val="001654B6"/>
    <w:rsid w:val="001656AA"/>
    <w:rsid w:val="00165782"/>
    <w:rsid w:val="001658E7"/>
    <w:rsid w:val="001659A3"/>
    <w:rsid w:val="001659DC"/>
    <w:rsid w:val="00165C01"/>
    <w:rsid w:val="00165C02"/>
    <w:rsid w:val="00165F4A"/>
    <w:rsid w:val="00165F50"/>
    <w:rsid w:val="00165FBA"/>
    <w:rsid w:val="0016603B"/>
    <w:rsid w:val="0016616A"/>
    <w:rsid w:val="0016623E"/>
    <w:rsid w:val="00166240"/>
    <w:rsid w:val="001663DC"/>
    <w:rsid w:val="00166600"/>
    <w:rsid w:val="00166620"/>
    <w:rsid w:val="00166731"/>
    <w:rsid w:val="00166834"/>
    <w:rsid w:val="0016695A"/>
    <w:rsid w:val="00166A90"/>
    <w:rsid w:val="00166ADA"/>
    <w:rsid w:val="0016701D"/>
    <w:rsid w:val="001670B9"/>
    <w:rsid w:val="001671BA"/>
    <w:rsid w:val="0016737C"/>
    <w:rsid w:val="0016760C"/>
    <w:rsid w:val="0016780A"/>
    <w:rsid w:val="00167835"/>
    <w:rsid w:val="00167841"/>
    <w:rsid w:val="001678D2"/>
    <w:rsid w:val="00167B45"/>
    <w:rsid w:val="00167B63"/>
    <w:rsid w:val="00167DC0"/>
    <w:rsid w:val="00167E32"/>
    <w:rsid w:val="00167E63"/>
    <w:rsid w:val="00167E71"/>
    <w:rsid w:val="00167F14"/>
    <w:rsid w:val="0017004D"/>
    <w:rsid w:val="0017034C"/>
    <w:rsid w:val="00170370"/>
    <w:rsid w:val="001703F2"/>
    <w:rsid w:val="0017048E"/>
    <w:rsid w:val="001706E0"/>
    <w:rsid w:val="00170902"/>
    <w:rsid w:val="00170B69"/>
    <w:rsid w:val="00170BA2"/>
    <w:rsid w:val="00170D7A"/>
    <w:rsid w:val="00170E28"/>
    <w:rsid w:val="001710F8"/>
    <w:rsid w:val="0017119F"/>
    <w:rsid w:val="001711B5"/>
    <w:rsid w:val="001713A2"/>
    <w:rsid w:val="00171633"/>
    <w:rsid w:val="00171650"/>
    <w:rsid w:val="00171663"/>
    <w:rsid w:val="0017172F"/>
    <w:rsid w:val="00171741"/>
    <w:rsid w:val="001717A7"/>
    <w:rsid w:val="0017198B"/>
    <w:rsid w:val="001719EF"/>
    <w:rsid w:val="00171A22"/>
    <w:rsid w:val="00171A32"/>
    <w:rsid w:val="00171BC3"/>
    <w:rsid w:val="00171C8D"/>
    <w:rsid w:val="00171D13"/>
    <w:rsid w:val="00171D50"/>
    <w:rsid w:val="00171FA3"/>
    <w:rsid w:val="00172006"/>
    <w:rsid w:val="0017201E"/>
    <w:rsid w:val="001721DF"/>
    <w:rsid w:val="00172430"/>
    <w:rsid w:val="001724C0"/>
    <w:rsid w:val="0017250B"/>
    <w:rsid w:val="00172564"/>
    <w:rsid w:val="001726CE"/>
    <w:rsid w:val="0017292E"/>
    <w:rsid w:val="00172AFA"/>
    <w:rsid w:val="00172B23"/>
    <w:rsid w:val="00172D80"/>
    <w:rsid w:val="00172E04"/>
    <w:rsid w:val="00172EE0"/>
    <w:rsid w:val="00172EF1"/>
    <w:rsid w:val="00172F9E"/>
    <w:rsid w:val="00172FBD"/>
    <w:rsid w:val="001730B2"/>
    <w:rsid w:val="00173131"/>
    <w:rsid w:val="00173156"/>
    <w:rsid w:val="0017346E"/>
    <w:rsid w:val="0017351C"/>
    <w:rsid w:val="001736FC"/>
    <w:rsid w:val="001736FE"/>
    <w:rsid w:val="001738C3"/>
    <w:rsid w:val="0017392F"/>
    <w:rsid w:val="001739A9"/>
    <w:rsid w:val="00173AFB"/>
    <w:rsid w:val="00173B2A"/>
    <w:rsid w:val="00173F2D"/>
    <w:rsid w:val="00173F37"/>
    <w:rsid w:val="0017413F"/>
    <w:rsid w:val="00174157"/>
    <w:rsid w:val="0017429A"/>
    <w:rsid w:val="00174326"/>
    <w:rsid w:val="00174405"/>
    <w:rsid w:val="0017460E"/>
    <w:rsid w:val="001746E5"/>
    <w:rsid w:val="001746F9"/>
    <w:rsid w:val="001747BF"/>
    <w:rsid w:val="001749A7"/>
    <w:rsid w:val="00174A14"/>
    <w:rsid w:val="00174C58"/>
    <w:rsid w:val="00174CB8"/>
    <w:rsid w:val="00174D62"/>
    <w:rsid w:val="00174D6F"/>
    <w:rsid w:val="00174E13"/>
    <w:rsid w:val="00174E54"/>
    <w:rsid w:val="00175172"/>
    <w:rsid w:val="0017522A"/>
    <w:rsid w:val="001752A8"/>
    <w:rsid w:val="001752EA"/>
    <w:rsid w:val="00175338"/>
    <w:rsid w:val="00175419"/>
    <w:rsid w:val="00175571"/>
    <w:rsid w:val="001758ED"/>
    <w:rsid w:val="001758FD"/>
    <w:rsid w:val="00175906"/>
    <w:rsid w:val="0017597B"/>
    <w:rsid w:val="001759C8"/>
    <w:rsid w:val="00175BCB"/>
    <w:rsid w:val="00175CFE"/>
    <w:rsid w:val="00175DDD"/>
    <w:rsid w:val="00175EBE"/>
    <w:rsid w:val="001760C2"/>
    <w:rsid w:val="0017612E"/>
    <w:rsid w:val="00176172"/>
    <w:rsid w:val="001765A4"/>
    <w:rsid w:val="001766AC"/>
    <w:rsid w:val="00176753"/>
    <w:rsid w:val="0017686C"/>
    <w:rsid w:val="00176874"/>
    <w:rsid w:val="00176880"/>
    <w:rsid w:val="00176882"/>
    <w:rsid w:val="0017693F"/>
    <w:rsid w:val="00176B0F"/>
    <w:rsid w:val="00176C9B"/>
    <w:rsid w:val="00176CF5"/>
    <w:rsid w:val="00176D05"/>
    <w:rsid w:val="00176D6F"/>
    <w:rsid w:val="00176E40"/>
    <w:rsid w:val="00176E55"/>
    <w:rsid w:val="00176E58"/>
    <w:rsid w:val="00176EB5"/>
    <w:rsid w:val="00176F30"/>
    <w:rsid w:val="00176FC6"/>
    <w:rsid w:val="00177083"/>
    <w:rsid w:val="001771D3"/>
    <w:rsid w:val="0017723A"/>
    <w:rsid w:val="001772BC"/>
    <w:rsid w:val="0017734D"/>
    <w:rsid w:val="001774F8"/>
    <w:rsid w:val="00177554"/>
    <w:rsid w:val="001775B4"/>
    <w:rsid w:val="00177639"/>
    <w:rsid w:val="0017775A"/>
    <w:rsid w:val="00177B21"/>
    <w:rsid w:val="00177B4F"/>
    <w:rsid w:val="00177C2B"/>
    <w:rsid w:val="00177C9F"/>
    <w:rsid w:val="00177CE0"/>
    <w:rsid w:val="00177D54"/>
    <w:rsid w:val="00177D66"/>
    <w:rsid w:val="00177EAC"/>
    <w:rsid w:val="00177FBF"/>
    <w:rsid w:val="001800F4"/>
    <w:rsid w:val="0018010C"/>
    <w:rsid w:val="001803CB"/>
    <w:rsid w:val="001803F0"/>
    <w:rsid w:val="00180466"/>
    <w:rsid w:val="00180ABB"/>
    <w:rsid w:val="00180AE6"/>
    <w:rsid w:val="00180BBE"/>
    <w:rsid w:val="00180CA7"/>
    <w:rsid w:val="00180D39"/>
    <w:rsid w:val="001810BE"/>
    <w:rsid w:val="001811AC"/>
    <w:rsid w:val="001811D8"/>
    <w:rsid w:val="0018130C"/>
    <w:rsid w:val="0018132C"/>
    <w:rsid w:val="001817B5"/>
    <w:rsid w:val="00181AC8"/>
    <w:rsid w:val="00181B86"/>
    <w:rsid w:val="00181B8B"/>
    <w:rsid w:val="00181BE4"/>
    <w:rsid w:val="00181D5D"/>
    <w:rsid w:val="00181E0C"/>
    <w:rsid w:val="00181F76"/>
    <w:rsid w:val="001820CE"/>
    <w:rsid w:val="0018210D"/>
    <w:rsid w:val="0018219E"/>
    <w:rsid w:val="001821B8"/>
    <w:rsid w:val="001821BA"/>
    <w:rsid w:val="001822E0"/>
    <w:rsid w:val="00182674"/>
    <w:rsid w:val="001826E1"/>
    <w:rsid w:val="001827DF"/>
    <w:rsid w:val="0018281C"/>
    <w:rsid w:val="0018297B"/>
    <w:rsid w:val="00182A1E"/>
    <w:rsid w:val="00182B33"/>
    <w:rsid w:val="00182CF6"/>
    <w:rsid w:val="00182D67"/>
    <w:rsid w:val="00182DE3"/>
    <w:rsid w:val="00182DF4"/>
    <w:rsid w:val="00183129"/>
    <w:rsid w:val="00183356"/>
    <w:rsid w:val="00183369"/>
    <w:rsid w:val="001834A0"/>
    <w:rsid w:val="001834A3"/>
    <w:rsid w:val="001836AA"/>
    <w:rsid w:val="00183725"/>
    <w:rsid w:val="0018376A"/>
    <w:rsid w:val="00183775"/>
    <w:rsid w:val="00183851"/>
    <w:rsid w:val="001838FD"/>
    <w:rsid w:val="00183C0E"/>
    <w:rsid w:val="00183F58"/>
    <w:rsid w:val="00184009"/>
    <w:rsid w:val="001840C7"/>
    <w:rsid w:val="001844AF"/>
    <w:rsid w:val="001844DA"/>
    <w:rsid w:val="00184701"/>
    <w:rsid w:val="00184890"/>
    <w:rsid w:val="0018490F"/>
    <w:rsid w:val="00184AD8"/>
    <w:rsid w:val="00184C31"/>
    <w:rsid w:val="00184C4F"/>
    <w:rsid w:val="00184E04"/>
    <w:rsid w:val="00184E64"/>
    <w:rsid w:val="00184F25"/>
    <w:rsid w:val="00184FF8"/>
    <w:rsid w:val="00185047"/>
    <w:rsid w:val="00185213"/>
    <w:rsid w:val="0018526C"/>
    <w:rsid w:val="00185272"/>
    <w:rsid w:val="00185382"/>
    <w:rsid w:val="00185499"/>
    <w:rsid w:val="0018562E"/>
    <w:rsid w:val="001858D0"/>
    <w:rsid w:val="001858F6"/>
    <w:rsid w:val="001858FC"/>
    <w:rsid w:val="001859B3"/>
    <w:rsid w:val="001859D6"/>
    <w:rsid w:val="00185BE8"/>
    <w:rsid w:val="00185D70"/>
    <w:rsid w:val="00185FCA"/>
    <w:rsid w:val="001861C0"/>
    <w:rsid w:val="00186506"/>
    <w:rsid w:val="0018654C"/>
    <w:rsid w:val="00186615"/>
    <w:rsid w:val="00186638"/>
    <w:rsid w:val="001867CA"/>
    <w:rsid w:val="00186AFC"/>
    <w:rsid w:val="00186B15"/>
    <w:rsid w:val="00186BD9"/>
    <w:rsid w:val="00186D53"/>
    <w:rsid w:val="00186E1C"/>
    <w:rsid w:val="00186E94"/>
    <w:rsid w:val="00186FA4"/>
    <w:rsid w:val="00187182"/>
    <w:rsid w:val="00187275"/>
    <w:rsid w:val="00187287"/>
    <w:rsid w:val="0018741E"/>
    <w:rsid w:val="00187424"/>
    <w:rsid w:val="00187516"/>
    <w:rsid w:val="001875D2"/>
    <w:rsid w:val="001876D7"/>
    <w:rsid w:val="00187758"/>
    <w:rsid w:val="001878BC"/>
    <w:rsid w:val="00187CBB"/>
    <w:rsid w:val="00187D76"/>
    <w:rsid w:val="00187DAC"/>
    <w:rsid w:val="00187DED"/>
    <w:rsid w:val="00187EF1"/>
    <w:rsid w:val="0019021E"/>
    <w:rsid w:val="001903CB"/>
    <w:rsid w:val="001907B4"/>
    <w:rsid w:val="00190AF4"/>
    <w:rsid w:val="00190C87"/>
    <w:rsid w:val="0019129C"/>
    <w:rsid w:val="00191327"/>
    <w:rsid w:val="001913B0"/>
    <w:rsid w:val="001915CC"/>
    <w:rsid w:val="00191724"/>
    <w:rsid w:val="0019185B"/>
    <w:rsid w:val="00191864"/>
    <w:rsid w:val="00191914"/>
    <w:rsid w:val="00191AF6"/>
    <w:rsid w:val="00191B22"/>
    <w:rsid w:val="00191D3C"/>
    <w:rsid w:val="00191DE8"/>
    <w:rsid w:val="00191F1C"/>
    <w:rsid w:val="00191FFD"/>
    <w:rsid w:val="00192102"/>
    <w:rsid w:val="00192208"/>
    <w:rsid w:val="00192224"/>
    <w:rsid w:val="00192259"/>
    <w:rsid w:val="00192324"/>
    <w:rsid w:val="0019243F"/>
    <w:rsid w:val="00192508"/>
    <w:rsid w:val="001925F8"/>
    <w:rsid w:val="001926F9"/>
    <w:rsid w:val="0019271C"/>
    <w:rsid w:val="00192793"/>
    <w:rsid w:val="0019289E"/>
    <w:rsid w:val="0019295F"/>
    <w:rsid w:val="00192BD0"/>
    <w:rsid w:val="00192CBF"/>
    <w:rsid w:val="00192CDA"/>
    <w:rsid w:val="00192DC7"/>
    <w:rsid w:val="00192F72"/>
    <w:rsid w:val="0019302F"/>
    <w:rsid w:val="001930A8"/>
    <w:rsid w:val="0019316E"/>
    <w:rsid w:val="00193480"/>
    <w:rsid w:val="00193559"/>
    <w:rsid w:val="001936DD"/>
    <w:rsid w:val="00193830"/>
    <w:rsid w:val="00193A02"/>
    <w:rsid w:val="00193CE6"/>
    <w:rsid w:val="00193D75"/>
    <w:rsid w:val="00193F24"/>
    <w:rsid w:val="0019405D"/>
    <w:rsid w:val="00194069"/>
    <w:rsid w:val="00194077"/>
    <w:rsid w:val="0019416D"/>
    <w:rsid w:val="001941E0"/>
    <w:rsid w:val="0019420C"/>
    <w:rsid w:val="001942AC"/>
    <w:rsid w:val="00194303"/>
    <w:rsid w:val="00194335"/>
    <w:rsid w:val="001943FD"/>
    <w:rsid w:val="00194431"/>
    <w:rsid w:val="0019455C"/>
    <w:rsid w:val="00194844"/>
    <w:rsid w:val="00194863"/>
    <w:rsid w:val="00194934"/>
    <w:rsid w:val="0019493D"/>
    <w:rsid w:val="00194CF1"/>
    <w:rsid w:val="00194EE6"/>
    <w:rsid w:val="00194F11"/>
    <w:rsid w:val="00194F1A"/>
    <w:rsid w:val="00194FCF"/>
    <w:rsid w:val="00195222"/>
    <w:rsid w:val="001953E8"/>
    <w:rsid w:val="0019552A"/>
    <w:rsid w:val="001956BC"/>
    <w:rsid w:val="001956F1"/>
    <w:rsid w:val="0019590F"/>
    <w:rsid w:val="00195A7D"/>
    <w:rsid w:val="00195BF8"/>
    <w:rsid w:val="00195C7C"/>
    <w:rsid w:val="00195CDB"/>
    <w:rsid w:val="00195D31"/>
    <w:rsid w:val="00195DD1"/>
    <w:rsid w:val="00195F50"/>
    <w:rsid w:val="00196082"/>
    <w:rsid w:val="0019622F"/>
    <w:rsid w:val="001965E4"/>
    <w:rsid w:val="001967B4"/>
    <w:rsid w:val="0019681D"/>
    <w:rsid w:val="00196832"/>
    <w:rsid w:val="001968DB"/>
    <w:rsid w:val="001969BB"/>
    <w:rsid w:val="00196A58"/>
    <w:rsid w:val="00196ABD"/>
    <w:rsid w:val="00196B81"/>
    <w:rsid w:val="00196CE0"/>
    <w:rsid w:val="00196D62"/>
    <w:rsid w:val="00196F1B"/>
    <w:rsid w:val="00196F42"/>
    <w:rsid w:val="0019704A"/>
    <w:rsid w:val="001972D2"/>
    <w:rsid w:val="00197363"/>
    <w:rsid w:val="0019768F"/>
    <w:rsid w:val="00197766"/>
    <w:rsid w:val="001978A6"/>
    <w:rsid w:val="001978AD"/>
    <w:rsid w:val="0019792E"/>
    <w:rsid w:val="0019798A"/>
    <w:rsid w:val="00197A01"/>
    <w:rsid w:val="00197C4E"/>
    <w:rsid w:val="00197CEF"/>
    <w:rsid w:val="00197E37"/>
    <w:rsid w:val="001A01E2"/>
    <w:rsid w:val="001A06D8"/>
    <w:rsid w:val="001A0957"/>
    <w:rsid w:val="001A09D3"/>
    <w:rsid w:val="001A0AAB"/>
    <w:rsid w:val="001A0C3B"/>
    <w:rsid w:val="001A0C47"/>
    <w:rsid w:val="001A0C50"/>
    <w:rsid w:val="001A0E99"/>
    <w:rsid w:val="001A0F37"/>
    <w:rsid w:val="001A0F73"/>
    <w:rsid w:val="001A1078"/>
    <w:rsid w:val="001A11DC"/>
    <w:rsid w:val="001A11E0"/>
    <w:rsid w:val="001A12BA"/>
    <w:rsid w:val="001A13A9"/>
    <w:rsid w:val="001A1510"/>
    <w:rsid w:val="001A1557"/>
    <w:rsid w:val="001A15AE"/>
    <w:rsid w:val="001A1683"/>
    <w:rsid w:val="001A17EE"/>
    <w:rsid w:val="001A186A"/>
    <w:rsid w:val="001A18BA"/>
    <w:rsid w:val="001A199F"/>
    <w:rsid w:val="001A1B60"/>
    <w:rsid w:val="001A1BE4"/>
    <w:rsid w:val="001A1DDD"/>
    <w:rsid w:val="001A2071"/>
    <w:rsid w:val="001A217F"/>
    <w:rsid w:val="001A21DB"/>
    <w:rsid w:val="001A2225"/>
    <w:rsid w:val="001A244E"/>
    <w:rsid w:val="001A2950"/>
    <w:rsid w:val="001A2CAD"/>
    <w:rsid w:val="001A2D23"/>
    <w:rsid w:val="001A3062"/>
    <w:rsid w:val="001A3098"/>
    <w:rsid w:val="001A31D8"/>
    <w:rsid w:val="001A32F3"/>
    <w:rsid w:val="001A337C"/>
    <w:rsid w:val="001A37FA"/>
    <w:rsid w:val="001A39D2"/>
    <w:rsid w:val="001A3ADB"/>
    <w:rsid w:val="001A3BCE"/>
    <w:rsid w:val="001A3C25"/>
    <w:rsid w:val="001A3DDA"/>
    <w:rsid w:val="001A3E00"/>
    <w:rsid w:val="001A3EF8"/>
    <w:rsid w:val="001A4216"/>
    <w:rsid w:val="001A424F"/>
    <w:rsid w:val="001A426A"/>
    <w:rsid w:val="001A42AC"/>
    <w:rsid w:val="001A42FF"/>
    <w:rsid w:val="001A4307"/>
    <w:rsid w:val="001A445F"/>
    <w:rsid w:val="001A463A"/>
    <w:rsid w:val="001A4715"/>
    <w:rsid w:val="001A483A"/>
    <w:rsid w:val="001A486F"/>
    <w:rsid w:val="001A4922"/>
    <w:rsid w:val="001A4E9D"/>
    <w:rsid w:val="001A5225"/>
    <w:rsid w:val="001A52CF"/>
    <w:rsid w:val="001A53C9"/>
    <w:rsid w:val="001A5430"/>
    <w:rsid w:val="001A55E6"/>
    <w:rsid w:val="001A571C"/>
    <w:rsid w:val="001A5751"/>
    <w:rsid w:val="001A5773"/>
    <w:rsid w:val="001A59BA"/>
    <w:rsid w:val="001A5A32"/>
    <w:rsid w:val="001A5AB4"/>
    <w:rsid w:val="001A5B0D"/>
    <w:rsid w:val="001A5B8B"/>
    <w:rsid w:val="001A5CD2"/>
    <w:rsid w:val="001A5E00"/>
    <w:rsid w:val="001A5EB8"/>
    <w:rsid w:val="001A63CE"/>
    <w:rsid w:val="001A6445"/>
    <w:rsid w:val="001A647F"/>
    <w:rsid w:val="001A6620"/>
    <w:rsid w:val="001A6A29"/>
    <w:rsid w:val="001A6A84"/>
    <w:rsid w:val="001A6AD4"/>
    <w:rsid w:val="001A6B8D"/>
    <w:rsid w:val="001A6DC8"/>
    <w:rsid w:val="001A6E60"/>
    <w:rsid w:val="001A6F25"/>
    <w:rsid w:val="001A70E7"/>
    <w:rsid w:val="001A7299"/>
    <w:rsid w:val="001A72E8"/>
    <w:rsid w:val="001A747D"/>
    <w:rsid w:val="001A7488"/>
    <w:rsid w:val="001A75E4"/>
    <w:rsid w:val="001A798C"/>
    <w:rsid w:val="001A7A90"/>
    <w:rsid w:val="001A7C08"/>
    <w:rsid w:val="001A7DCF"/>
    <w:rsid w:val="001A7ED9"/>
    <w:rsid w:val="001A7F41"/>
    <w:rsid w:val="001B06ED"/>
    <w:rsid w:val="001B0904"/>
    <w:rsid w:val="001B094E"/>
    <w:rsid w:val="001B0972"/>
    <w:rsid w:val="001B098D"/>
    <w:rsid w:val="001B0A88"/>
    <w:rsid w:val="001B0C8B"/>
    <w:rsid w:val="001B0D0E"/>
    <w:rsid w:val="001B104E"/>
    <w:rsid w:val="001B11E4"/>
    <w:rsid w:val="001B13E8"/>
    <w:rsid w:val="001B14E4"/>
    <w:rsid w:val="001B1667"/>
    <w:rsid w:val="001B1695"/>
    <w:rsid w:val="001B1729"/>
    <w:rsid w:val="001B1763"/>
    <w:rsid w:val="001B1B89"/>
    <w:rsid w:val="001B1CA2"/>
    <w:rsid w:val="001B1D18"/>
    <w:rsid w:val="001B1E6F"/>
    <w:rsid w:val="001B2040"/>
    <w:rsid w:val="001B2064"/>
    <w:rsid w:val="001B20F3"/>
    <w:rsid w:val="001B2182"/>
    <w:rsid w:val="001B224B"/>
    <w:rsid w:val="001B2275"/>
    <w:rsid w:val="001B23D6"/>
    <w:rsid w:val="001B244B"/>
    <w:rsid w:val="001B24DF"/>
    <w:rsid w:val="001B287D"/>
    <w:rsid w:val="001B2B9F"/>
    <w:rsid w:val="001B2C23"/>
    <w:rsid w:val="001B2E9B"/>
    <w:rsid w:val="001B2FED"/>
    <w:rsid w:val="001B2FFE"/>
    <w:rsid w:val="001B3547"/>
    <w:rsid w:val="001B36A9"/>
    <w:rsid w:val="001B3791"/>
    <w:rsid w:val="001B37BD"/>
    <w:rsid w:val="001B3903"/>
    <w:rsid w:val="001B39A9"/>
    <w:rsid w:val="001B3B76"/>
    <w:rsid w:val="001B3C78"/>
    <w:rsid w:val="001B3C9E"/>
    <w:rsid w:val="001B407A"/>
    <w:rsid w:val="001B417A"/>
    <w:rsid w:val="001B436F"/>
    <w:rsid w:val="001B4BC5"/>
    <w:rsid w:val="001B4F16"/>
    <w:rsid w:val="001B4F5E"/>
    <w:rsid w:val="001B5070"/>
    <w:rsid w:val="001B509D"/>
    <w:rsid w:val="001B50D6"/>
    <w:rsid w:val="001B5145"/>
    <w:rsid w:val="001B520D"/>
    <w:rsid w:val="001B5232"/>
    <w:rsid w:val="001B5418"/>
    <w:rsid w:val="001B543A"/>
    <w:rsid w:val="001B5458"/>
    <w:rsid w:val="001B558A"/>
    <w:rsid w:val="001B55F7"/>
    <w:rsid w:val="001B5647"/>
    <w:rsid w:val="001B5751"/>
    <w:rsid w:val="001B57D6"/>
    <w:rsid w:val="001B587B"/>
    <w:rsid w:val="001B59D2"/>
    <w:rsid w:val="001B5AAB"/>
    <w:rsid w:val="001B5EF8"/>
    <w:rsid w:val="001B5EFF"/>
    <w:rsid w:val="001B5F6B"/>
    <w:rsid w:val="001B5F73"/>
    <w:rsid w:val="001B5F96"/>
    <w:rsid w:val="001B5FE3"/>
    <w:rsid w:val="001B603A"/>
    <w:rsid w:val="001B610D"/>
    <w:rsid w:val="001B636C"/>
    <w:rsid w:val="001B658C"/>
    <w:rsid w:val="001B65A0"/>
    <w:rsid w:val="001B65DC"/>
    <w:rsid w:val="001B6633"/>
    <w:rsid w:val="001B675C"/>
    <w:rsid w:val="001B6F41"/>
    <w:rsid w:val="001B72A1"/>
    <w:rsid w:val="001B7442"/>
    <w:rsid w:val="001B755D"/>
    <w:rsid w:val="001B7560"/>
    <w:rsid w:val="001B757E"/>
    <w:rsid w:val="001B77F3"/>
    <w:rsid w:val="001B78AF"/>
    <w:rsid w:val="001B7928"/>
    <w:rsid w:val="001B7936"/>
    <w:rsid w:val="001B7A0A"/>
    <w:rsid w:val="001B7A5D"/>
    <w:rsid w:val="001B7B2D"/>
    <w:rsid w:val="001B7E1B"/>
    <w:rsid w:val="001B7E20"/>
    <w:rsid w:val="001B7E4E"/>
    <w:rsid w:val="001B7EFC"/>
    <w:rsid w:val="001B7F7D"/>
    <w:rsid w:val="001B7FEC"/>
    <w:rsid w:val="001C00E6"/>
    <w:rsid w:val="001C02DA"/>
    <w:rsid w:val="001C0357"/>
    <w:rsid w:val="001C063D"/>
    <w:rsid w:val="001C0649"/>
    <w:rsid w:val="001C07AF"/>
    <w:rsid w:val="001C08A5"/>
    <w:rsid w:val="001C095F"/>
    <w:rsid w:val="001C0AEB"/>
    <w:rsid w:val="001C0B9B"/>
    <w:rsid w:val="001C0BA0"/>
    <w:rsid w:val="001C0CCD"/>
    <w:rsid w:val="001C0DCC"/>
    <w:rsid w:val="001C0E25"/>
    <w:rsid w:val="001C1024"/>
    <w:rsid w:val="001C1039"/>
    <w:rsid w:val="001C10C4"/>
    <w:rsid w:val="001C11FB"/>
    <w:rsid w:val="001C139B"/>
    <w:rsid w:val="001C13D1"/>
    <w:rsid w:val="001C157E"/>
    <w:rsid w:val="001C174D"/>
    <w:rsid w:val="001C186D"/>
    <w:rsid w:val="001C18DF"/>
    <w:rsid w:val="001C18F1"/>
    <w:rsid w:val="001C19DC"/>
    <w:rsid w:val="001C1CC3"/>
    <w:rsid w:val="001C1F39"/>
    <w:rsid w:val="001C2201"/>
    <w:rsid w:val="001C22F5"/>
    <w:rsid w:val="001C2341"/>
    <w:rsid w:val="001C26C7"/>
    <w:rsid w:val="001C2924"/>
    <w:rsid w:val="001C299D"/>
    <w:rsid w:val="001C2ADC"/>
    <w:rsid w:val="001C2BEE"/>
    <w:rsid w:val="001C2C01"/>
    <w:rsid w:val="001C2D31"/>
    <w:rsid w:val="001C2F61"/>
    <w:rsid w:val="001C319F"/>
    <w:rsid w:val="001C31BB"/>
    <w:rsid w:val="001C31FE"/>
    <w:rsid w:val="001C32AA"/>
    <w:rsid w:val="001C32ED"/>
    <w:rsid w:val="001C3431"/>
    <w:rsid w:val="001C3529"/>
    <w:rsid w:val="001C3873"/>
    <w:rsid w:val="001C3996"/>
    <w:rsid w:val="001C3A92"/>
    <w:rsid w:val="001C3B5C"/>
    <w:rsid w:val="001C3B9D"/>
    <w:rsid w:val="001C3D41"/>
    <w:rsid w:val="001C3D65"/>
    <w:rsid w:val="001C3E9F"/>
    <w:rsid w:val="001C3F50"/>
    <w:rsid w:val="001C3FB8"/>
    <w:rsid w:val="001C405B"/>
    <w:rsid w:val="001C40AA"/>
    <w:rsid w:val="001C4429"/>
    <w:rsid w:val="001C47DC"/>
    <w:rsid w:val="001C4811"/>
    <w:rsid w:val="001C48F8"/>
    <w:rsid w:val="001C49E1"/>
    <w:rsid w:val="001C49E2"/>
    <w:rsid w:val="001C4B91"/>
    <w:rsid w:val="001C4BAB"/>
    <w:rsid w:val="001C4D2C"/>
    <w:rsid w:val="001C4EBE"/>
    <w:rsid w:val="001C4F14"/>
    <w:rsid w:val="001C4F4F"/>
    <w:rsid w:val="001C5147"/>
    <w:rsid w:val="001C54AB"/>
    <w:rsid w:val="001C5531"/>
    <w:rsid w:val="001C553F"/>
    <w:rsid w:val="001C555B"/>
    <w:rsid w:val="001C5659"/>
    <w:rsid w:val="001C571D"/>
    <w:rsid w:val="001C5803"/>
    <w:rsid w:val="001C5876"/>
    <w:rsid w:val="001C5A61"/>
    <w:rsid w:val="001C5A8B"/>
    <w:rsid w:val="001C5AE0"/>
    <w:rsid w:val="001C5B08"/>
    <w:rsid w:val="001C5B0C"/>
    <w:rsid w:val="001C5B3C"/>
    <w:rsid w:val="001C5BAF"/>
    <w:rsid w:val="001C5BCC"/>
    <w:rsid w:val="001C5C59"/>
    <w:rsid w:val="001C5DF6"/>
    <w:rsid w:val="001C5EB4"/>
    <w:rsid w:val="001C5F76"/>
    <w:rsid w:val="001C5F96"/>
    <w:rsid w:val="001C60BF"/>
    <w:rsid w:val="001C6270"/>
    <w:rsid w:val="001C6492"/>
    <w:rsid w:val="001C64A4"/>
    <w:rsid w:val="001C656A"/>
    <w:rsid w:val="001C6856"/>
    <w:rsid w:val="001C68AB"/>
    <w:rsid w:val="001C6A8B"/>
    <w:rsid w:val="001C6C8C"/>
    <w:rsid w:val="001C6CC6"/>
    <w:rsid w:val="001C6E55"/>
    <w:rsid w:val="001C6E61"/>
    <w:rsid w:val="001C6EF6"/>
    <w:rsid w:val="001C6F92"/>
    <w:rsid w:val="001C7068"/>
    <w:rsid w:val="001C70DA"/>
    <w:rsid w:val="001C73DC"/>
    <w:rsid w:val="001C75F4"/>
    <w:rsid w:val="001C764E"/>
    <w:rsid w:val="001C7750"/>
    <w:rsid w:val="001C7789"/>
    <w:rsid w:val="001C78C9"/>
    <w:rsid w:val="001C797F"/>
    <w:rsid w:val="001C7B6A"/>
    <w:rsid w:val="001C7D14"/>
    <w:rsid w:val="001C7DDA"/>
    <w:rsid w:val="001C7F11"/>
    <w:rsid w:val="001D0047"/>
    <w:rsid w:val="001D0136"/>
    <w:rsid w:val="001D0147"/>
    <w:rsid w:val="001D016B"/>
    <w:rsid w:val="001D032B"/>
    <w:rsid w:val="001D0497"/>
    <w:rsid w:val="001D0500"/>
    <w:rsid w:val="001D05A6"/>
    <w:rsid w:val="001D05C9"/>
    <w:rsid w:val="001D05CE"/>
    <w:rsid w:val="001D0789"/>
    <w:rsid w:val="001D09EC"/>
    <w:rsid w:val="001D0A60"/>
    <w:rsid w:val="001D0B83"/>
    <w:rsid w:val="001D0B87"/>
    <w:rsid w:val="001D0CBD"/>
    <w:rsid w:val="001D0D7C"/>
    <w:rsid w:val="001D0EAC"/>
    <w:rsid w:val="001D0F88"/>
    <w:rsid w:val="001D1289"/>
    <w:rsid w:val="001D13B5"/>
    <w:rsid w:val="001D143C"/>
    <w:rsid w:val="001D15AD"/>
    <w:rsid w:val="001D1613"/>
    <w:rsid w:val="001D1C77"/>
    <w:rsid w:val="001D1E83"/>
    <w:rsid w:val="001D1EA7"/>
    <w:rsid w:val="001D1F70"/>
    <w:rsid w:val="001D1FB1"/>
    <w:rsid w:val="001D2101"/>
    <w:rsid w:val="001D222A"/>
    <w:rsid w:val="001D226F"/>
    <w:rsid w:val="001D253C"/>
    <w:rsid w:val="001D26C4"/>
    <w:rsid w:val="001D2716"/>
    <w:rsid w:val="001D2828"/>
    <w:rsid w:val="001D29C0"/>
    <w:rsid w:val="001D2AE6"/>
    <w:rsid w:val="001D2B2F"/>
    <w:rsid w:val="001D2BC1"/>
    <w:rsid w:val="001D2C3C"/>
    <w:rsid w:val="001D2D9D"/>
    <w:rsid w:val="001D2FDA"/>
    <w:rsid w:val="001D3048"/>
    <w:rsid w:val="001D329B"/>
    <w:rsid w:val="001D32F3"/>
    <w:rsid w:val="001D36C5"/>
    <w:rsid w:val="001D36F4"/>
    <w:rsid w:val="001D3710"/>
    <w:rsid w:val="001D3751"/>
    <w:rsid w:val="001D3875"/>
    <w:rsid w:val="001D3A7D"/>
    <w:rsid w:val="001D3A99"/>
    <w:rsid w:val="001D3C09"/>
    <w:rsid w:val="001D3F2D"/>
    <w:rsid w:val="001D4092"/>
    <w:rsid w:val="001D418B"/>
    <w:rsid w:val="001D4333"/>
    <w:rsid w:val="001D43C1"/>
    <w:rsid w:val="001D44E3"/>
    <w:rsid w:val="001D4594"/>
    <w:rsid w:val="001D46BD"/>
    <w:rsid w:val="001D46D6"/>
    <w:rsid w:val="001D49A0"/>
    <w:rsid w:val="001D4D2E"/>
    <w:rsid w:val="001D4DD4"/>
    <w:rsid w:val="001D4DFF"/>
    <w:rsid w:val="001D4FE7"/>
    <w:rsid w:val="001D5261"/>
    <w:rsid w:val="001D5345"/>
    <w:rsid w:val="001D5355"/>
    <w:rsid w:val="001D54DF"/>
    <w:rsid w:val="001D565E"/>
    <w:rsid w:val="001D57D6"/>
    <w:rsid w:val="001D589F"/>
    <w:rsid w:val="001D58DE"/>
    <w:rsid w:val="001D5A5D"/>
    <w:rsid w:val="001D5AE1"/>
    <w:rsid w:val="001D5B42"/>
    <w:rsid w:val="001D5B66"/>
    <w:rsid w:val="001D5B98"/>
    <w:rsid w:val="001D5CC2"/>
    <w:rsid w:val="001D5D90"/>
    <w:rsid w:val="001D6004"/>
    <w:rsid w:val="001D6131"/>
    <w:rsid w:val="001D61B5"/>
    <w:rsid w:val="001D62D6"/>
    <w:rsid w:val="001D63F7"/>
    <w:rsid w:val="001D6410"/>
    <w:rsid w:val="001D64C7"/>
    <w:rsid w:val="001D65EE"/>
    <w:rsid w:val="001D66A2"/>
    <w:rsid w:val="001D67EC"/>
    <w:rsid w:val="001D686C"/>
    <w:rsid w:val="001D6A10"/>
    <w:rsid w:val="001D6AF0"/>
    <w:rsid w:val="001D6D6B"/>
    <w:rsid w:val="001D7005"/>
    <w:rsid w:val="001D7092"/>
    <w:rsid w:val="001D73A4"/>
    <w:rsid w:val="001D7448"/>
    <w:rsid w:val="001D7479"/>
    <w:rsid w:val="001D7545"/>
    <w:rsid w:val="001D7550"/>
    <w:rsid w:val="001D75E9"/>
    <w:rsid w:val="001D7636"/>
    <w:rsid w:val="001D76A5"/>
    <w:rsid w:val="001D7817"/>
    <w:rsid w:val="001D78C5"/>
    <w:rsid w:val="001D7ACF"/>
    <w:rsid w:val="001D7B2E"/>
    <w:rsid w:val="001D7B3F"/>
    <w:rsid w:val="001D7B5E"/>
    <w:rsid w:val="001D7B68"/>
    <w:rsid w:val="001D7C62"/>
    <w:rsid w:val="001D7CB5"/>
    <w:rsid w:val="001D7CDA"/>
    <w:rsid w:val="001D7D70"/>
    <w:rsid w:val="001D90C8"/>
    <w:rsid w:val="001E0121"/>
    <w:rsid w:val="001E03E0"/>
    <w:rsid w:val="001E0480"/>
    <w:rsid w:val="001E04E7"/>
    <w:rsid w:val="001E06EA"/>
    <w:rsid w:val="001E075D"/>
    <w:rsid w:val="001E0976"/>
    <w:rsid w:val="001E09F0"/>
    <w:rsid w:val="001E0A32"/>
    <w:rsid w:val="001E0A51"/>
    <w:rsid w:val="001E0B3C"/>
    <w:rsid w:val="001E0E34"/>
    <w:rsid w:val="001E0E74"/>
    <w:rsid w:val="001E0F99"/>
    <w:rsid w:val="001E11FD"/>
    <w:rsid w:val="001E121A"/>
    <w:rsid w:val="001E1479"/>
    <w:rsid w:val="001E14E7"/>
    <w:rsid w:val="001E1510"/>
    <w:rsid w:val="001E1651"/>
    <w:rsid w:val="001E17DA"/>
    <w:rsid w:val="001E186B"/>
    <w:rsid w:val="001E1B4E"/>
    <w:rsid w:val="001E1C0F"/>
    <w:rsid w:val="001E1D85"/>
    <w:rsid w:val="001E1DBD"/>
    <w:rsid w:val="001E1DCA"/>
    <w:rsid w:val="001E1ED7"/>
    <w:rsid w:val="001E1F04"/>
    <w:rsid w:val="001E2119"/>
    <w:rsid w:val="001E21B0"/>
    <w:rsid w:val="001E236D"/>
    <w:rsid w:val="001E245E"/>
    <w:rsid w:val="001E24ED"/>
    <w:rsid w:val="001E2523"/>
    <w:rsid w:val="001E2579"/>
    <w:rsid w:val="001E26CE"/>
    <w:rsid w:val="001E2724"/>
    <w:rsid w:val="001E2783"/>
    <w:rsid w:val="001E287B"/>
    <w:rsid w:val="001E2E4C"/>
    <w:rsid w:val="001E2E96"/>
    <w:rsid w:val="001E3095"/>
    <w:rsid w:val="001E33C9"/>
    <w:rsid w:val="001E3577"/>
    <w:rsid w:val="001E35A8"/>
    <w:rsid w:val="001E35DB"/>
    <w:rsid w:val="001E3728"/>
    <w:rsid w:val="001E3748"/>
    <w:rsid w:val="001E3816"/>
    <w:rsid w:val="001E390B"/>
    <w:rsid w:val="001E39DC"/>
    <w:rsid w:val="001E39DD"/>
    <w:rsid w:val="001E3AA8"/>
    <w:rsid w:val="001E3ADD"/>
    <w:rsid w:val="001E3AEE"/>
    <w:rsid w:val="001E3B5B"/>
    <w:rsid w:val="001E3CAD"/>
    <w:rsid w:val="001E3CD2"/>
    <w:rsid w:val="001E3CFD"/>
    <w:rsid w:val="001E4188"/>
    <w:rsid w:val="001E41BB"/>
    <w:rsid w:val="001E41D3"/>
    <w:rsid w:val="001E422B"/>
    <w:rsid w:val="001E4264"/>
    <w:rsid w:val="001E4296"/>
    <w:rsid w:val="001E48C7"/>
    <w:rsid w:val="001E49AD"/>
    <w:rsid w:val="001E4AA2"/>
    <w:rsid w:val="001E4C7B"/>
    <w:rsid w:val="001E4E31"/>
    <w:rsid w:val="001E4E39"/>
    <w:rsid w:val="001E50B6"/>
    <w:rsid w:val="001E51C2"/>
    <w:rsid w:val="001E51E6"/>
    <w:rsid w:val="001E5237"/>
    <w:rsid w:val="001E52A1"/>
    <w:rsid w:val="001E52DB"/>
    <w:rsid w:val="001E532F"/>
    <w:rsid w:val="001E537C"/>
    <w:rsid w:val="001E5394"/>
    <w:rsid w:val="001E54CE"/>
    <w:rsid w:val="001E56E0"/>
    <w:rsid w:val="001E5B3E"/>
    <w:rsid w:val="001E5DF4"/>
    <w:rsid w:val="001E5EF4"/>
    <w:rsid w:val="001E5F63"/>
    <w:rsid w:val="001E610B"/>
    <w:rsid w:val="001E6210"/>
    <w:rsid w:val="001E630E"/>
    <w:rsid w:val="001E64E4"/>
    <w:rsid w:val="001E6505"/>
    <w:rsid w:val="001E655D"/>
    <w:rsid w:val="001E6562"/>
    <w:rsid w:val="001E67C8"/>
    <w:rsid w:val="001E6845"/>
    <w:rsid w:val="001E6899"/>
    <w:rsid w:val="001E68A9"/>
    <w:rsid w:val="001E6AA2"/>
    <w:rsid w:val="001E6CA3"/>
    <w:rsid w:val="001E6F44"/>
    <w:rsid w:val="001E7028"/>
    <w:rsid w:val="001E70BB"/>
    <w:rsid w:val="001E712E"/>
    <w:rsid w:val="001E715D"/>
    <w:rsid w:val="001E7265"/>
    <w:rsid w:val="001E727C"/>
    <w:rsid w:val="001E7313"/>
    <w:rsid w:val="001E75D5"/>
    <w:rsid w:val="001E768E"/>
    <w:rsid w:val="001E7717"/>
    <w:rsid w:val="001E7834"/>
    <w:rsid w:val="001E7903"/>
    <w:rsid w:val="001E7A22"/>
    <w:rsid w:val="001E7B97"/>
    <w:rsid w:val="001E7C3A"/>
    <w:rsid w:val="001E7D3E"/>
    <w:rsid w:val="001E7D60"/>
    <w:rsid w:val="001E7D64"/>
    <w:rsid w:val="001E7D6D"/>
    <w:rsid w:val="001F0161"/>
    <w:rsid w:val="001F01DF"/>
    <w:rsid w:val="001F024A"/>
    <w:rsid w:val="001F02C9"/>
    <w:rsid w:val="001F0348"/>
    <w:rsid w:val="001F03BC"/>
    <w:rsid w:val="001F03F1"/>
    <w:rsid w:val="001F0540"/>
    <w:rsid w:val="001F0764"/>
    <w:rsid w:val="001F0826"/>
    <w:rsid w:val="001F08F2"/>
    <w:rsid w:val="001F0C5F"/>
    <w:rsid w:val="001F0C85"/>
    <w:rsid w:val="001F0D76"/>
    <w:rsid w:val="001F0DDC"/>
    <w:rsid w:val="001F0F60"/>
    <w:rsid w:val="001F0F94"/>
    <w:rsid w:val="001F0FDE"/>
    <w:rsid w:val="001F1048"/>
    <w:rsid w:val="001F104C"/>
    <w:rsid w:val="001F1179"/>
    <w:rsid w:val="001F135B"/>
    <w:rsid w:val="001F1365"/>
    <w:rsid w:val="001F140E"/>
    <w:rsid w:val="001F1533"/>
    <w:rsid w:val="001F1542"/>
    <w:rsid w:val="001F1546"/>
    <w:rsid w:val="001F15F7"/>
    <w:rsid w:val="001F15FD"/>
    <w:rsid w:val="001F16C5"/>
    <w:rsid w:val="001F18D8"/>
    <w:rsid w:val="001F1AB5"/>
    <w:rsid w:val="001F1AF9"/>
    <w:rsid w:val="001F1B21"/>
    <w:rsid w:val="001F1B4E"/>
    <w:rsid w:val="001F1BCF"/>
    <w:rsid w:val="001F1DD9"/>
    <w:rsid w:val="001F1EF8"/>
    <w:rsid w:val="001F21F7"/>
    <w:rsid w:val="001F229A"/>
    <w:rsid w:val="001F22BB"/>
    <w:rsid w:val="001F2564"/>
    <w:rsid w:val="001F25CD"/>
    <w:rsid w:val="001F27DF"/>
    <w:rsid w:val="001F2BC4"/>
    <w:rsid w:val="001F2C27"/>
    <w:rsid w:val="001F2C73"/>
    <w:rsid w:val="001F2CB7"/>
    <w:rsid w:val="001F2FB5"/>
    <w:rsid w:val="001F2FE8"/>
    <w:rsid w:val="001F30C8"/>
    <w:rsid w:val="001F32B6"/>
    <w:rsid w:val="001F377C"/>
    <w:rsid w:val="001F37BF"/>
    <w:rsid w:val="001F37DF"/>
    <w:rsid w:val="001F37E7"/>
    <w:rsid w:val="001F3940"/>
    <w:rsid w:val="001F3A05"/>
    <w:rsid w:val="001F3A0E"/>
    <w:rsid w:val="001F3C30"/>
    <w:rsid w:val="001F3D1F"/>
    <w:rsid w:val="001F3F7C"/>
    <w:rsid w:val="001F40E9"/>
    <w:rsid w:val="001F41AA"/>
    <w:rsid w:val="001F41AE"/>
    <w:rsid w:val="001F42A4"/>
    <w:rsid w:val="001F437B"/>
    <w:rsid w:val="001F43C1"/>
    <w:rsid w:val="001F4896"/>
    <w:rsid w:val="001F4977"/>
    <w:rsid w:val="001F4CCA"/>
    <w:rsid w:val="001F4E50"/>
    <w:rsid w:val="001F562B"/>
    <w:rsid w:val="001F5710"/>
    <w:rsid w:val="001F591C"/>
    <w:rsid w:val="001F59C7"/>
    <w:rsid w:val="001F59FA"/>
    <w:rsid w:val="001F5A06"/>
    <w:rsid w:val="001F5A67"/>
    <w:rsid w:val="001F5D38"/>
    <w:rsid w:val="001F5EAE"/>
    <w:rsid w:val="001F5EC8"/>
    <w:rsid w:val="001F61C3"/>
    <w:rsid w:val="001F6521"/>
    <w:rsid w:val="001F65C1"/>
    <w:rsid w:val="001F65CC"/>
    <w:rsid w:val="001F67D8"/>
    <w:rsid w:val="001F688D"/>
    <w:rsid w:val="001F6931"/>
    <w:rsid w:val="001F6A05"/>
    <w:rsid w:val="001F6AEF"/>
    <w:rsid w:val="001F6B1D"/>
    <w:rsid w:val="001F6BB8"/>
    <w:rsid w:val="001F6C36"/>
    <w:rsid w:val="001F6EFA"/>
    <w:rsid w:val="001F7016"/>
    <w:rsid w:val="001F73A9"/>
    <w:rsid w:val="001F743E"/>
    <w:rsid w:val="001F7509"/>
    <w:rsid w:val="001F7788"/>
    <w:rsid w:val="001F77E2"/>
    <w:rsid w:val="001F7841"/>
    <w:rsid w:val="001F789B"/>
    <w:rsid w:val="001F797B"/>
    <w:rsid w:val="001F7C55"/>
    <w:rsid w:val="001F7CA0"/>
    <w:rsid w:val="001F7D8B"/>
    <w:rsid w:val="001F7DE1"/>
    <w:rsid w:val="001F7E27"/>
    <w:rsid w:val="001F7EF0"/>
    <w:rsid w:val="001F7FE1"/>
    <w:rsid w:val="0020009F"/>
    <w:rsid w:val="002000D9"/>
    <w:rsid w:val="002002A0"/>
    <w:rsid w:val="0020032E"/>
    <w:rsid w:val="002005D2"/>
    <w:rsid w:val="002005E1"/>
    <w:rsid w:val="00200660"/>
    <w:rsid w:val="002007AF"/>
    <w:rsid w:val="00200915"/>
    <w:rsid w:val="00200A4B"/>
    <w:rsid w:val="00200AAB"/>
    <w:rsid w:val="00200AC6"/>
    <w:rsid w:val="00200C31"/>
    <w:rsid w:val="00200D9A"/>
    <w:rsid w:val="00200E86"/>
    <w:rsid w:val="00200FD4"/>
    <w:rsid w:val="00201147"/>
    <w:rsid w:val="002014C1"/>
    <w:rsid w:val="002016EC"/>
    <w:rsid w:val="002018DF"/>
    <w:rsid w:val="002019CC"/>
    <w:rsid w:val="00201B83"/>
    <w:rsid w:val="00201BC2"/>
    <w:rsid w:val="00201F2A"/>
    <w:rsid w:val="00201F3B"/>
    <w:rsid w:val="00201F52"/>
    <w:rsid w:val="002020D2"/>
    <w:rsid w:val="002021B2"/>
    <w:rsid w:val="002022C3"/>
    <w:rsid w:val="00202437"/>
    <w:rsid w:val="0020265E"/>
    <w:rsid w:val="00202682"/>
    <w:rsid w:val="0020272C"/>
    <w:rsid w:val="002027DF"/>
    <w:rsid w:val="00202903"/>
    <w:rsid w:val="00202925"/>
    <w:rsid w:val="00202951"/>
    <w:rsid w:val="00202BCE"/>
    <w:rsid w:val="00202C44"/>
    <w:rsid w:val="00202C79"/>
    <w:rsid w:val="00202D7C"/>
    <w:rsid w:val="00202D94"/>
    <w:rsid w:val="00202DBB"/>
    <w:rsid w:val="00202DF8"/>
    <w:rsid w:val="00202E5C"/>
    <w:rsid w:val="00202F09"/>
    <w:rsid w:val="00202FF5"/>
    <w:rsid w:val="0020301C"/>
    <w:rsid w:val="002030C0"/>
    <w:rsid w:val="0020320F"/>
    <w:rsid w:val="00203217"/>
    <w:rsid w:val="002032CA"/>
    <w:rsid w:val="002032E3"/>
    <w:rsid w:val="0020347C"/>
    <w:rsid w:val="002034D8"/>
    <w:rsid w:val="002035AB"/>
    <w:rsid w:val="00203B04"/>
    <w:rsid w:val="00203C71"/>
    <w:rsid w:val="00203E15"/>
    <w:rsid w:val="00203F72"/>
    <w:rsid w:val="002045C0"/>
    <w:rsid w:val="00204624"/>
    <w:rsid w:val="0020462D"/>
    <w:rsid w:val="00204740"/>
    <w:rsid w:val="002047C6"/>
    <w:rsid w:val="002048C9"/>
    <w:rsid w:val="002049A6"/>
    <w:rsid w:val="002049F5"/>
    <w:rsid w:val="00204BEC"/>
    <w:rsid w:val="00204F66"/>
    <w:rsid w:val="00205009"/>
    <w:rsid w:val="002050C2"/>
    <w:rsid w:val="0020519C"/>
    <w:rsid w:val="002051AF"/>
    <w:rsid w:val="0020528A"/>
    <w:rsid w:val="002053D0"/>
    <w:rsid w:val="00205526"/>
    <w:rsid w:val="00205571"/>
    <w:rsid w:val="00205721"/>
    <w:rsid w:val="0020596A"/>
    <w:rsid w:val="00205A8B"/>
    <w:rsid w:val="00205AD0"/>
    <w:rsid w:val="00205B40"/>
    <w:rsid w:val="00205BFC"/>
    <w:rsid w:val="00205CE2"/>
    <w:rsid w:val="00205D3E"/>
    <w:rsid w:val="00205EA1"/>
    <w:rsid w:val="00205F8A"/>
    <w:rsid w:val="00206052"/>
    <w:rsid w:val="002060BF"/>
    <w:rsid w:val="002060FD"/>
    <w:rsid w:val="0020614D"/>
    <w:rsid w:val="002062F3"/>
    <w:rsid w:val="0020631B"/>
    <w:rsid w:val="002063EE"/>
    <w:rsid w:val="002068DF"/>
    <w:rsid w:val="00206B91"/>
    <w:rsid w:val="00206DC2"/>
    <w:rsid w:val="00206E67"/>
    <w:rsid w:val="00207009"/>
    <w:rsid w:val="002070B8"/>
    <w:rsid w:val="002070BE"/>
    <w:rsid w:val="002070E2"/>
    <w:rsid w:val="00207119"/>
    <w:rsid w:val="0020780D"/>
    <w:rsid w:val="0020793C"/>
    <w:rsid w:val="00207A86"/>
    <w:rsid w:val="00207CF4"/>
    <w:rsid w:val="00207D27"/>
    <w:rsid w:val="00207DFC"/>
    <w:rsid w:val="00207EF7"/>
    <w:rsid w:val="002100D3"/>
    <w:rsid w:val="002101A7"/>
    <w:rsid w:val="002103E0"/>
    <w:rsid w:val="002104F3"/>
    <w:rsid w:val="00210531"/>
    <w:rsid w:val="00210AE4"/>
    <w:rsid w:val="00210B0F"/>
    <w:rsid w:val="00210C13"/>
    <w:rsid w:val="00210C59"/>
    <w:rsid w:val="00210C8A"/>
    <w:rsid w:val="00210CBB"/>
    <w:rsid w:val="00210ECD"/>
    <w:rsid w:val="002110B3"/>
    <w:rsid w:val="00211173"/>
    <w:rsid w:val="00211340"/>
    <w:rsid w:val="00211354"/>
    <w:rsid w:val="0021141A"/>
    <w:rsid w:val="0021142C"/>
    <w:rsid w:val="0021168F"/>
    <w:rsid w:val="00211A8E"/>
    <w:rsid w:val="00211AA7"/>
    <w:rsid w:val="00211B77"/>
    <w:rsid w:val="002121A7"/>
    <w:rsid w:val="002122A5"/>
    <w:rsid w:val="002122C2"/>
    <w:rsid w:val="0021237F"/>
    <w:rsid w:val="002124C4"/>
    <w:rsid w:val="002125C3"/>
    <w:rsid w:val="002128B4"/>
    <w:rsid w:val="002129B3"/>
    <w:rsid w:val="00212ABF"/>
    <w:rsid w:val="00212C1C"/>
    <w:rsid w:val="00212CFB"/>
    <w:rsid w:val="00212D5B"/>
    <w:rsid w:val="00212E17"/>
    <w:rsid w:val="00212EFB"/>
    <w:rsid w:val="00212FE7"/>
    <w:rsid w:val="0021300D"/>
    <w:rsid w:val="0021309E"/>
    <w:rsid w:val="00213149"/>
    <w:rsid w:val="002131CF"/>
    <w:rsid w:val="00213233"/>
    <w:rsid w:val="002133AD"/>
    <w:rsid w:val="0021341C"/>
    <w:rsid w:val="00213485"/>
    <w:rsid w:val="002134FF"/>
    <w:rsid w:val="00213508"/>
    <w:rsid w:val="00213543"/>
    <w:rsid w:val="002135E1"/>
    <w:rsid w:val="00213959"/>
    <w:rsid w:val="00213CC1"/>
    <w:rsid w:val="00213CEA"/>
    <w:rsid w:val="00213D6E"/>
    <w:rsid w:val="00213DFA"/>
    <w:rsid w:val="00213EA7"/>
    <w:rsid w:val="00213F8A"/>
    <w:rsid w:val="00213F91"/>
    <w:rsid w:val="0021401C"/>
    <w:rsid w:val="0021404C"/>
    <w:rsid w:val="002140A9"/>
    <w:rsid w:val="00214271"/>
    <w:rsid w:val="00214518"/>
    <w:rsid w:val="002145E3"/>
    <w:rsid w:val="002146BF"/>
    <w:rsid w:val="00214716"/>
    <w:rsid w:val="002147AB"/>
    <w:rsid w:val="002147C1"/>
    <w:rsid w:val="00214919"/>
    <w:rsid w:val="00214B32"/>
    <w:rsid w:val="00214B95"/>
    <w:rsid w:val="00214BC2"/>
    <w:rsid w:val="00214C0B"/>
    <w:rsid w:val="00214C6A"/>
    <w:rsid w:val="00214CA2"/>
    <w:rsid w:val="00214D36"/>
    <w:rsid w:val="00214E8A"/>
    <w:rsid w:val="00214ED4"/>
    <w:rsid w:val="00214F20"/>
    <w:rsid w:val="0021526F"/>
    <w:rsid w:val="002152A8"/>
    <w:rsid w:val="0021532B"/>
    <w:rsid w:val="0021553A"/>
    <w:rsid w:val="002156B5"/>
    <w:rsid w:val="002156F5"/>
    <w:rsid w:val="00215A6A"/>
    <w:rsid w:val="00215A7A"/>
    <w:rsid w:val="002160B8"/>
    <w:rsid w:val="0021614C"/>
    <w:rsid w:val="00216190"/>
    <w:rsid w:val="002161AA"/>
    <w:rsid w:val="002162F8"/>
    <w:rsid w:val="00216466"/>
    <w:rsid w:val="002164A3"/>
    <w:rsid w:val="00216675"/>
    <w:rsid w:val="00216697"/>
    <w:rsid w:val="00216A3E"/>
    <w:rsid w:val="00216A9F"/>
    <w:rsid w:val="00216ADD"/>
    <w:rsid w:val="00216CF0"/>
    <w:rsid w:val="00216D27"/>
    <w:rsid w:val="00216F52"/>
    <w:rsid w:val="00216F7D"/>
    <w:rsid w:val="00216FA0"/>
    <w:rsid w:val="00216FA4"/>
    <w:rsid w:val="0021720B"/>
    <w:rsid w:val="0021723B"/>
    <w:rsid w:val="00217283"/>
    <w:rsid w:val="00217679"/>
    <w:rsid w:val="00217945"/>
    <w:rsid w:val="0021797D"/>
    <w:rsid w:val="00217C30"/>
    <w:rsid w:val="00217C60"/>
    <w:rsid w:val="00217D4D"/>
    <w:rsid w:val="00217EE8"/>
    <w:rsid w:val="00220000"/>
    <w:rsid w:val="00220096"/>
    <w:rsid w:val="002200F3"/>
    <w:rsid w:val="002202C3"/>
    <w:rsid w:val="0022037A"/>
    <w:rsid w:val="00220502"/>
    <w:rsid w:val="00220521"/>
    <w:rsid w:val="00220618"/>
    <w:rsid w:val="0022069D"/>
    <w:rsid w:val="002206FC"/>
    <w:rsid w:val="0022073E"/>
    <w:rsid w:val="002207DD"/>
    <w:rsid w:val="002208AF"/>
    <w:rsid w:val="00220B3A"/>
    <w:rsid w:val="00220BE7"/>
    <w:rsid w:val="00220C0A"/>
    <w:rsid w:val="00220CBA"/>
    <w:rsid w:val="00220E14"/>
    <w:rsid w:val="00220E17"/>
    <w:rsid w:val="00220E75"/>
    <w:rsid w:val="00220EE9"/>
    <w:rsid w:val="00220F08"/>
    <w:rsid w:val="00221038"/>
    <w:rsid w:val="002213BF"/>
    <w:rsid w:val="0022162F"/>
    <w:rsid w:val="002216B7"/>
    <w:rsid w:val="002217A3"/>
    <w:rsid w:val="002217B5"/>
    <w:rsid w:val="00221E2A"/>
    <w:rsid w:val="00221EB8"/>
    <w:rsid w:val="00221F23"/>
    <w:rsid w:val="00221F87"/>
    <w:rsid w:val="00221FEE"/>
    <w:rsid w:val="00222043"/>
    <w:rsid w:val="0022226A"/>
    <w:rsid w:val="00222374"/>
    <w:rsid w:val="00222522"/>
    <w:rsid w:val="0022264F"/>
    <w:rsid w:val="00222707"/>
    <w:rsid w:val="002227C5"/>
    <w:rsid w:val="00222868"/>
    <w:rsid w:val="00222945"/>
    <w:rsid w:val="002229D6"/>
    <w:rsid w:val="00222B9D"/>
    <w:rsid w:val="00222CC9"/>
    <w:rsid w:val="00222F17"/>
    <w:rsid w:val="0022302B"/>
    <w:rsid w:val="002234A5"/>
    <w:rsid w:val="0022350B"/>
    <w:rsid w:val="00223637"/>
    <w:rsid w:val="002237AC"/>
    <w:rsid w:val="00223858"/>
    <w:rsid w:val="00223A98"/>
    <w:rsid w:val="00223C80"/>
    <w:rsid w:val="00223CEC"/>
    <w:rsid w:val="00223E33"/>
    <w:rsid w:val="00223E4B"/>
    <w:rsid w:val="00223F6D"/>
    <w:rsid w:val="002240E4"/>
    <w:rsid w:val="002240F9"/>
    <w:rsid w:val="00224190"/>
    <w:rsid w:val="002241C7"/>
    <w:rsid w:val="00224249"/>
    <w:rsid w:val="002242F0"/>
    <w:rsid w:val="002243A2"/>
    <w:rsid w:val="002243F7"/>
    <w:rsid w:val="002245AC"/>
    <w:rsid w:val="002245E1"/>
    <w:rsid w:val="002246AA"/>
    <w:rsid w:val="002248A9"/>
    <w:rsid w:val="00224932"/>
    <w:rsid w:val="0022498B"/>
    <w:rsid w:val="00224CAC"/>
    <w:rsid w:val="00224DB8"/>
    <w:rsid w:val="00224DC9"/>
    <w:rsid w:val="00224F15"/>
    <w:rsid w:val="00224FFB"/>
    <w:rsid w:val="00225151"/>
    <w:rsid w:val="002252D0"/>
    <w:rsid w:val="002253DF"/>
    <w:rsid w:val="00225438"/>
    <w:rsid w:val="0022544C"/>
    <w:rsid w:val="0022554C"/>
    <w:rsid w:val="0022558C"/>
    <w:rsid w:val="00225607"/>
    <w:rsid w:val="00225A79"/>
    <w:rsid w:val="00225AFC"/>
    <w:rsid w:val="00225B47"/>
    <w:rsid w:val="00225C34"/>
    <w:rsid w:val="00225C57"/>
    <w:rsid w:val="00225DF7"/>
    <w:rsid w:val="00225FA3"/>
    <w:rsid w:val="002260BD"/>
    <w:rsid w:val="00226155"/>
    <w:rsid w:val="00226189"/>
    <w:rsid w:val="002261A2"/>
    <w:rsid w:val="0022646F"/>
    <w:rsid w:val="00226627"/>
    <w:rsid w:val="002266B0"/>
    <w:rsid w:val="00226845"/>
    <w:rsid w:val="0022687F"/>
    <w:rsid w:val="002268D1"/>
    <w:rsid w:val="00226BE2"/>
    <w:rsid w:val="00226C42"/>
    <w:rsid w:val="00226D63"/>
    <w:rsid w:val="00226D7A"/>
    <w:rsid w:val="00226E3C"/>
    <w:rsid w:val="0022704C"/>
    <w:rsid w:val="00227092"/>
    <w:rsid w:val="002271BF"/>
    <w:rsid w:val="002274A1"/>
    <w:rsid w:val="00227518"/>
    <w:rsid w:val="00227621"/>
    <w:rsid w:val="002276EB"/>
    <w:rsid w:val="00227AFF"/>
    <w:rsid w:val="00227B8B"/>
    <w:rsid w:val="00227C77"/>
    <w:rsid w:val="00227C7F"/>
    <w:rsid w:val="00227E8D"/>
    <w:rsid w:val="00230027"/>
    <w:rsid w:val="002300FC"/>
    <w:rsid w:val="00230123"/>
    <w:rsid w:val="00230311"/>
    <w:rsid w:val="00230352"/>
    <w:rsid w:val="002303A9"/>
    <w:rsid w:val="002303E1"/>
    <w:rsid w:val="0023044A"/>
    <w:rsid w:val="00230494"/>
    <w:rsid w:val="002305DE"/>
    <w:rsid w:val="002305FF"/>
    <w:rsid w:val="00230752"/>
    <w:rsid w:val="002307A3"/>
    <w:rsid w:val="002307A6"/>
    <w:rsid w:val="00230847"/>
    <w:rsid w:val="00230996"/>
    <w:rsid w:val="00230D91"/>
    <w:rsid w:val="00230E23"/>
    <w:rsid w:val="00230FB4"/>
    <w:rsid w:val="00230FC0"/>
    <w:rsid w:val="00231331"/>
    <w:rsid w:val="002313D5"/>
    <w:rsid w:val="00231444"/>
    <w:rsid w:val="0023169A"/>
    <w:rsid w:val="002319CE"/>
    <w:rsid w:val="00231ACB"/>
    <w:rsid w:val="00231BDA"/>
    <w:rsid w:val="00231E60"/>
    <w:rsid w:val="00231FDD"/>
    <w:rsid w:val="002320D1"/>
    <w:rsid w:val="002320DE"/>
    <w:rsid w:val="002320F7"/>
    <w:rsid w:val="00232452"/>
    <w:rsid w:val="0023247A"/>
    <w:rsid w:val="00232AE6"/>
    <w:rsid w:val="00232BBB"/>
    <w:rsid w:val="00232CCF"/>
    <w:rsid w:val="00232D7D"/>
    <w:rsid w:val="00232DCB"/>
    <w:rsid w:val="00232E47"/>
    <w:rsid w:val="00232F03"/>
    <w:rsid w:val="00233098"/>
    <w:rsid w:val="002331A9"/>
    <w:rsid w:val="0023327E"/>
    <w:rsid w:val="002333B3"/>
    <w:rsid w:val="002333F8"/>
    <w:rsid w:val="00233AE9"/>
    <w:rsid w:val="00233CBA"/>
    <w:rsid w:val="00233D44"/>
    <w:rsid w:val="00233D83"/>
    <w:rsid w:val="00233DD2"/>
    <w:rsid w:val="00234026"/>
    <w:rsid w:val="0023416E"/>
    <w:rsid w:val="00234304"/>
    <w:rsid w:val="0023441F"/>
    <w:rsid w:val="002345BE"/>
    <w:rsid w:val="0023465E"/>
    <w:rsid w:val="002347EB"/>
    <w:rsid w:val="002348A0"/>
    <w:rsid w:val="00234A38"/>
    <w:rsid w:val="00234E27"/>
    <w:rsid w:val="00234E31"/>
    <w:rsid w:val="00234E89"/>
    <w:rsid w:val="002350C0"/>
    <w:rsid w:val="002351A0"/>
    <w:rsid w:val="002351CF"/>
    <w:rsid w:val="00235201"/>
    <w:rsid w:val="00235217"/>
    <w:rsid w:val="00235274"/>
    <w:rsid w:val="0023532D"/>
    <w:rsid w:val="00235352"/>
    <w:rsid w:val="00235380"/>
    <w:rsid w:val="00235464"/>
    <w:rsid w:val="002354DB"/>
    <w:rsid w:val="0023574B"/>
    <w:rsid w:val="0023595A"/>
    <w:rsid w:val="002359B7"/>
    <w:rsid w:val="00235A6E"/>
    <w:rsid w:val="00235A98"/>
    <w:rsid w:val="00235B16"/>
    <w:rsid w:val="00235B33"/>
    <w:rsid w:val="00235C2C"/>
    <w:rsid w:val="00235D26"/>
    <w:rsid w:val="00235F24"/>
    <w:rsid w:val="00235FAD"/>
    <w:rsid w:val="002362E9"/>
    <w:rsid w:val="00236471"/>
    <w:rsid w:val="00236637"/>
    <w:rsid w:val="00236683"/>
    <w:rsid w:val="0023673A"/>
    <w:rsid w:val="002367FB"/>
    <w:rsid w:val="00236931"/>
    <w:rsid w:val="00236C6F"/>
    <w:rsid w:val="00236CC0"/>
    <w:rsid w:val="002370C0"/>
    <w:rsid w:val="002372C9"/>
    <w:rsid w:val="002373A2"/>
    <w:rsid w:val="002376FD"/>
    <w:rsid w:val="002377DD"/>
    <w:rsid w:val="00237B3A"/>
    <w:rsid w:val="00237BAF"/>
    <w:rsid w:val="00237C8D"/>
    <w:rsid w:val="00237CBE"/>
    <w:rsid w:val="00237D1E"/>
    <w:rsid w:val="00237F4F"/>
    <w:rsid w:val="00240379"/>
    <w:rsid w:val="00240576"/>
    <w:rsid w:val="002406F0"/>
    <w:rsid w:val="00240786"/>
    <w:rsid w:val="002407AD"/>
    <w:rsid w:val="0024080D"/>
    <w:rsid w:val="00240837"/>
    <w:rsid w:val="002409A9"/>
    <w:rsid w:val="00240B87"/>
    <w:rsid w:val="00240D63"/>
    <w:rsid w:val="00240F91"/>
    <w:rsid w:val="00240FA9"/>
    <w:rsid w:val="0024124F"/>
    <w:rsid w:val="0024127C"/>
    <w:rsid w:val="0024146F"/>
    <w:rsid w:val="002414A2"/>
    <w:rsid w:val="0024155C"/>
    <w:rsid w:val="0024162E"/>
    <w:rsid w:val="00241771"/>
    <w:rsid w:val="00241975"/>
    <w:rsid w:val="002419B9"/>
    <w:rsid w:val="00241A93"/>
    <w:rsid w:val="00241B49"/>
    <w:rsid w:val="00241D7B"/>
    <w:rsid w:val="00241DC4"/>
    <w:rsid w:val="00241DF7"/>
    <w:rsid w:val="00241F0F"/>
    <w:rsid w:val="00241F5B"/>
    <w:rsid w:val="00241F70"/>
    <w:rsid w:val="002420A8"/>
    <w:rsid w:val="002420BF"/>
    <w:rsid w:val="00242232"/>
    <w:rsid w:val="00242362"/>
    <w:rsid w:val="00242711"/>
    <w:rsid w:val="0024277E"/>
    <w:rsid w:val="0024286C"/>
    <w:rsid w:val="00242A3F"/>
    <w:rsid w:val="00242A44"/>
    <w:rsid w:val="00242A4D"/>
    <w:rsid w:val="00242BFF"/>
    <w:rsid w:val="00242C54"/>
    <w:rsid w:val="00242F2E"/>
    <w:rsid w:val="00242F4F"/>
    <w:rsid w:val="0024305C"/>
    <w:rsid w:val="0024313D"/>
    <w:rsid w:val="002431BC"/>
    <w:rsid w:val="002433A7"/>
    <w:rsid w:val="0024360A"/>
    <w:rsid w:val="00243614"/>
    <w:rsid w:val="00243628"/>
    <w:rsid w:val="00243642"/>
    <w:rsid w:val="0024372E"/>
    <w:rsid w:val="0024383A"/>
    <w:rsid w:val="002438AB"/>
    <w:rsid w:val="0024395E"/>
    <w:rsid w:val="00243A7E"/>
    <w:rsid w:val="00243ABC"/>
    <w:rsid w:val="00243C2C"/>
    <w:rsid w:val="00243D97"/>
    <w:rsid w:val="00243DA3"/>
    <w:rsid w:val="00243F37"/>
    <w:rsid w:val="0024400B"/>
    <w:rsid w:val="00244065"/>
    <w:rsid w:val="002441CE"/>
    <w:rsid w:val="002442E0"/>
    <w:rsid w:val="002443D6"/>
    <w:rsid w:val="002446CE"/>
    <w:rsid w:val="00244746"/>
    <w:rsid w:val="00244994"/>
    <w:rsid w:val="00244AA3"/>
    <w:rsid w:val="00244B21"/>
    <w:rsid w:val="00244BAB"/>
    <w:rsid w:val="00244CB8"/>
    <w:rsid w:val="00244D90"/>
    <w:rsid w:val="00244E4A"/>
    <w:rsid w:val="00244E55"/>
    <w:rsid w:val="00244FB0"/>
    <w:rsid w:val="002453B4"/>
    <w:rsid w:val="002454A6"/>
    <w:rsid w:val="002454F2"/>
    <w:rsid w:val="002455A5"/>
    <w:rsid w:val="002457BD"/>
    <w:rsid w:val="002458BF"/>
    <w:rsid w:val="00245905"/>
    <w:rsid w:val="00245995"/>
    <w:rsid w:val="00245C5E"/>
    <w:rsid w:val="00245C86"/>
    <w:rsid w:val="00245D21"/>
    <w:rsid w:val="00245F7D"/>
    <w:rsid w:val="00246054"/>
    <w:rsid w:val="002461A4"/>
    <w:rsid w:val="00246334"/>
    <w:rsid w:val="00246487"/>
    <w:rsid w:val="0024658B"/>
    <w:rsid w:val="002465B4"/>
    <w:rsid w:val="00246682"/>
    <w:rsid w:val="00246761"/>
    <w:rsid w:val="002467D5"/>
    <w:rsid w:val="0024686D"/>
    <w:rsid w:val="00246875"/>
    <w:rsid w:val="002468DE"/>
    <w:rsid w:val="00246929"/>
    <w:rsid w:val="00246968"/>
    <w:rsid w:val="002469AC"/>
    <w:rsid w:val="002469D3"/>
    <w:rsid w:val="00246A73"/>
    <w:rsid w:val="00246BC6"/>
    <w:rsid w:val="00246D3D"/>
    <w:rsid w:val="00246D7B"/>
    <w:rsid w:val="00246E9D"/>
    <w:rsid w:val="0024712E"/>
    <w:rsid w:val="002471A8"/>
    <w:rsid w:val="002471C9"/>
    <w:rsid w:val="0024725E"/>
    <w:rsid w:val="00247363"/>
    <w:rsid w:val="00247436"/>
    <w:rsid w:val="00247528"/>
    <w:rsid w:val="0024760C"/>
    <w:rsid w:val="0024778C"/>
    <w:rsid w:val="002477AA"/>
    <w:rsid w:val="00247890"/>
    <w:rsid w:val="002478E3"/>
    <w:rsid w:val="00247950"/>
    <w:rsid w:val="00247989"/>
    <w:rsid w:val="00247A69"/>
    <w:rsid w:val="00247B41"/>
    <w:rsid w:val="00247BF6"/>
    <w:rsid w:val="00247C0E"/>
    <w:rsid w:val="00247E02"/>
    <w:rsid w:val="00247E97"/>
    <w:rsid w:val="00247F58"/>
    <w:rsid w:val="0025017F"/>
    <w:rsid w:val="002504A5"/>
    <w:rsid w:val="00250523"/>
    <w:rsid w:val="002505EE"/>
    <w:rsid w:val="00250615"/>
    <w:rsid w:val="0025080F"/>
    <w:rsid w:val="00250B04"/>
    <w:rsid w:val="00250B9A"/>
    <w:rsid w:val="00250D07"/>
    <w:rsid w:val="00250E2C"/>
    <w:rsid w:val="00250EA0"/>
    <w:rsid w:val="00250F90"/>
    <w:rsid w:val="00251121"/>
    <w:rsid w:val="002511F7"/>
    <w:rsid w:val="00251205"/>
    <w:rsid w:val="002512C9"/>
    <w:rsid w:val="002512F7"/>
    <w:rsid w:val="002513F9"/>
    <w:rsid w:val="00251451"/>
    <w:rsid w:val="002514FB"/>
    <w:rsid w:val="002516C2"/>
    <w:rsid w:val="002518B7"/>
    <w:rsid w:val="0025194E"/>
    <w:rsid w:val="00251A99"/>
    <w:rsid w:val="00251B26"/>
    <w:rsid w:val="00251BEA"/>
    <w:rsid w:val="00251E5C"/>
    <w:rsid w:val="00251FBA"/>
    <w:rsid w:val="00252202"/>
    <w:rsid w:val="00252305"/>
    <w:rsid w:val="002524A1"/>
    <w:rsid w:val="00252624"/>
    <w:rsid w:val="00252731"/>
    <w:rsid w:val="002528EB"/>
    <w:rsid w:val="002529D3"/>
    <w:rsid w:val="00252C20"/>
    <w:rsid w:val="00252E00"/>
    <w:rsid w:val="002530C7"/>
    <w:rsid w:val="0025317F"/>
    <w:rsid w:val="002531D2"/>
    <w:rsid w:val="002534FB"/>
    <w:rsid w:val="0025353C"/>
    <w:rsid w:val="0025377E"/>
    <w:rsid w:val="00253857"/>
    <w:rsid w:val="002538A5"/>
    <w:rsid w:val="002539E8"/>
    <w:rsid w:val="00253A2B"/>
    <w:rsid w:val="00253AFD"/>
    <w:rsid w:val="00253B1C"/>
    <w:rsid w:val="00253B7A"/>
    <w:rsid w:val="00253BBD"/>
    <w:rsid w:val="00253D67"/>
    <w:rsid w:val="00253DAA"/>
    <w:rsid w:val="00254040"/>
    <w:rsid w:val="002540D4"/>
    <w:rsid w:val="00254182"/>
    <w:rsid w:val="00254227"/>
    <w:rsid w:val="0025423B"/>
    <w:rsid w:val="0025431B"/>
    <w:rsid w:val="002544C7"/>
    <w:rsid w:val="00254933"/>
    <w:rsid w:val="00254A22"/>
    <w:rsid w:val="00254AA0"/>
    <w:rsid w:val="00254AEC"/>
    <w:rsid w:val="00254B2D"/>
    <w:rsid w:val="00254BEA"/>
    <w:rsid w:val="00254D06"/>
    <w:rsid w:val="00254D26"/>
    <w:rsid w:val="00254F2B"/>
    <w:rsid w:val="00255112"/>
    <w:rsid w:val="0025511F"/>
    <w:rsid w:val="00255154"/>
    <w:rsid w:val="00255282"/>
    <w:rsid w:val="00255374"/>
    <w:rsid w:val="002553EB"/>
    <w:rsid w:val="00255581"/>
    <w:rsid w:val="002555E9"/>
    <w:rsid w:val="00255610"/>
    <w:rsid w:val="00255818"/>
    <w:rsid w:val="002559F7"/>
    <w:rsid w:val="00255A28"/>
    <w:rsid w:val="00255B21"/>
    <w:rsid w:val="00255B5C"/>
    <w:rsid w:val="00255D10"/>
    <w:rsid w:val="00255F77"/>
    <w:rsid w:val="00255FA2"/>
    <w:rsid w:val="0025629E"/>
    <w:rsid w:val="002563BB"/>
    <w:rsid w:val="00256468"/>
    <w:rsid w:val="00256759"/>
    <w:rsid w:val="00256772"/>
    <w:rsid w:val="00256A36"/>
    <w:rsid w:val="00256AF2"/>
    <w:rsid w:val="00256B42"/>
    <w:rsid w:val="00256B68"/>
    <w:rsid w:val="00256C01"/>
    <w:rsid w:val="00256D1C"/>
    <w:rsid w:val="00256D9D"/>
    <w:rsid w:val="00256E67"/>
    <w:rsid w:val="00256E8C"/>
    <w:rsid w:val="00256F72"/>
    <w:rsid w:val="00256F9A"/>
    <w:rsid w:val="0025719E"/>
    <w:rsid w:val="00257348"/>
    <w:rsid w:val="002573DC"/>
    <w:rsid w:val="00257659"/>
    <w:rsid w:val="002576CE"/>
    <w:rsid w:val="002576DF"/>
    <w:rsid w:val="002577A3"/>
    <w:rsid w:val="00257BE0"/>
    <w:rsid w:val="00257CB0"/>
    <w:rsid w:val="00257D80"/>
    <w:rsid w:val="00257F6D"/>
    <w:rsid w:val="00260240"/>
    <w:rsid w:val="002602DB"/>
    <w:rsid w:val="002603AF"/>
    <w:rsid w:val="002603D7"/>
    <w:rsid w:val="002603DE"/>
    <w:rsid w:val="00260544"/>
    <w:rsid w:val="0026054F"/>
    <w:rsid w:val="002605E1"/>
    <w:rsid w:val="0026062C"/>
    <w:rsid w:val="0026068F"/>
    <w:rsid w:val="002606D7"/>
    <w:rsid w:val="002606E6"/>
    <w:rsid w:val="0026076F"/>
    <w:rsid w:val="00260788"/>
    <w:rsid w:val="002607B3"/>
    <w:rsid w:val="002608D8"/>
    <w:rsid w:val="00260A99"/>
    <w:rsid w:val="00260AFB"/>
    <w:rsid w:val="00260D28"/>
    <w:rsid w:val="00260E38"/>
    <w:rsid w:val="00260F44"/>
    <w:rsid w:val="00261160"/>
    <w:rsid w:val="002611B5"/>
    <w:rsid w:val="002612FC"/>
    <w:rsid w:val="002613A8"/>
    <w:rsid w:val="00261504"/>
    <w:rsid w:val="00261599"/>
    <w:rsid w:val="002615E8"/>
    <w:rsid w:val="00261703"/>
    <w:rsid w:val="002617C3"/>
    <w:rsid w:val="00261A69"/>
    <w:rsid w:val="00261B46"/>
    <w:rsid w:val="00261BCB"/>
    <w:rsid w:val="00261C8F"/>
    <w:rsid w:val="00261D96"/>
    <w:rsid w:val="0026202A"/>
    <w:rsid w:val="00262165"/>
    <w:rsid w:val="002624CA"/>
    <w:rsid w:val="00262628"/>
    <w:rsid w:val="0026265D"/>
    <w:rsid w:val="002627AF"/>
    <w:rsid w:val="00262AAF"/>
    <w:rsid w:val="00262B29"/>
    <w:rsid w:val="00262BC8"/>
    <w:rsid w:val="00262C2B"/>
    <w:rsid w:val="00262C88"/>
    <w:rsid w:val="00262E6B"/>
    <w:rsid w:val="00262F57"/>
    <w:rsid w:val="00262F92"/>
    <w:rsid w:val="002630B0"/>
    <w:rsid w:val="0026310A"/>
    <w:rsid w:val="00263197"/>
    <w:rsid w:val="002631BB"/>
    <w:rsid w:val="0026343C"/>
    <w:rsid w:val="00263505"/>
    <w:rsid w:val="0026352F"/>
    <w:rsid w:val="0026366B"/>
    <w:rsid w:val="0026371C"/>
    <w:rsid w:val="0026374A"/>
    <w:rsid w:val="002637C6"/>
    <w:rsid w:val="002638DA"/>
    <w:rsid w:val="002639A0"/>
    <w:rsid w:val="00263AA6"/>
    <w:rsid w:val="00263BAB"/>
    <w:rsid w:val="00263BF2"/>
    <w:rsid w:val="00263C41"/>
    <w:rsid w:val="00263C68"/>
    <w:rsid w:val="00263CCB"/>
    <w:rsid w:val="00263CDC"/>
    <w:rsid w:val="00263D3A"/>
    <w:rsid w:val="00263F2E"/>
    <w:rsid w:val="00264062"/>
    <w:rsid w:val="002641B8"/>
    <w:rsid w:val="002641E6"/>
    <w:rsid w:val="0026421D"/>
    <w:rsid w:val="002643E1"/>
    <w:rsid w:val="002643FB"/>
    <w:rsid w:val="0026444C"/>
    <w:rsid w:val="0026449A"/>
    <w:rsid w:val="002646FA"/>
    <w:rsid w:val="0026490A"/>
    <w:rsid w:val="00264964"/>
    <w:rsid w:val="00264BF4"/>
    <w:rsid w:val="00264CE6"/>
    <w:rsid w:val="00264F30"/>
    <w:rsid w:val="002652C2"/>
    <w:rsid w:val="0026534E"/>
    <w:rsid w:val="00265362"/>
    <w:rsid w:val="002654AB"/>
    <w:rsid w:val="0026554D"/>
    <w:rsid w:val="002655B2"/>
    <w:rsid w:val="002655F9"/>
    <w:rsid w:val="0026573F"/>
    <w:rsid w:val="002657B7"/>
    <w:rsid w:val="002657F2"/>
    <w:rsid w:val="002658B9"/>
    <w:rsid w:val="00265905"/>
    <w:rsid w:val="00265AA1"/>
    <w:rsid w:val="00265B72"/>
    <w:rsid w:val="00265B93"/>
    <w:rsid w:val="00265C46"/>
    <w:rsid w:val="00265CA1"/>
    <w:rsid w:val="00265D5D"/>
    <w:rsid w:val="00265FD4"/>
    <w:rsid w:val="00266372"/>
    <w:rsid w:val="0026647D"/>
    <w:rsid w:val="00266573"/>
    <w:rsid w:val="00266644"/>
    <w:rsid w:val="002669F6"/>
    <w:rsid w:val="00266E4D"/>
    <w:rsid w:val="00266FB0"/>
    <w:rsid w:val="00266FE5"/>
    <w:rsid w:val="00266FF0"/>
    <w:rsid w:val="002671D8"/>
    <w:rsid w:val="00267380"/>
    <w:rsid w:val="0026742A"/>
    <w:rsid w:val="00267435"/>
    <w:rsid w:val="00267500"/>
    <w:rsid w:val="002675D8"/>
    <w:rsid w:val="00267608"/>
    <w:rsid w:val="0026760B"/>
    <w:rsid w:val="002676B1"/>
    <w:rsid w:val="00267888"/>
    <w:rsid w:val="002679AE"/>
    <w:rsid w:val="00267E4A"/>
    <w:rsid w:val="00267EB1"/>
    <w:rsid w:val="00267EE3"/>
    <w:rsid w:val="00267F29"/>
    <w:rsid w:val="0026C4B2"/>
    <w:rsid w:val="00270143"/>
    <w:rsid w:val="002701BC"/>
    <w:rsid w:val="0027029F"/>
    <w:rsid w:val="002702D0"/>
    <w:rsid w:val="002706C3"/>
    <w:rsid w:val="00270721"/>
    <w:rsid w:val="002707A7"/>
    <w:rsid w:val="0027086B"/>
    <w:rsid w:val="00270B46"/>
    <w:rsid w:val="00270B81"/>
    <w:rsid w:val="00271056"/>
    <w:rsid w:val="00271226"/>
    <w:rsid w:val="00271281"/>
    <w:rsid w:val="002712FE"/>
    <w:rsid w:val="0027133D"/>
    <w:rsid w:val="0027135F"/>
    <w:rsid w:val="002713D6"/>
    <w:rsid w:val="002714DF"/>
    <w:rsid w:val="00271710"/>
    <w:rsid w:val="00271856"/>
    <w:rsid w:val="00271C8C"/>
    <w:rsid w:val="00271DC9"/>
    <w:rsid w:val="00271EC6"/>
    <w:rsid w:val="00271F0C"/>
    <w:rsid w:val="002721E9"/>
    <w:rsid w:val="002722B3"/>
    <w:rsid w:val="002722CB"/>
    <w:rsid w:val="002723D6"/>
    <w:rsid w:val="002723F4"/>
    <w:rsid w:val="0027249D"/>
    <w:rsid w:val="002724B1"/>
    <w:rsid w:val="0027257E"/>
    <w:rsid w:val="00272599"/>
    <w:rsid w:val="00272683"/>
    <w:rsid w:val="002727C2"/>
    <w:rsid w:val="002729FE"/>
    <w:rsid w:val="00272A7B"/>
    <w:rsid w:val="00272B13"/>
    <w:rsid w:val="00272BD3"/>
    <w:rsid w:val="00272C01"/>
    <w:rsid w:val="00272C14"/>
    <w:rsid w:val="00272DDB"/>
    <w:rsid w:val="00272E23"/>
    <w:rsid w:val="002730C0"/>
    <w:rsid w:val="0027323F"/>
    <w:rsid w:val="0027341D"/>
    <w:rsid w:val="002735A3"/>
    <w:rsid w:val="002735F0"/>
    <w:rsid w:val="00273737"/>
    <w:rsid w:val="002738BB"/>
    <w:rsid w:val="00273B52"/>
    <w:rsid w:val="00273CEF"/>
    <w:rsid w:val="00273D05"/>
    <w:rsid w:val="00273D9D"/>
    <w:rsid w:val="00273E7D"/>
    <w:rsid w:val="00274098"/>
    <w:rsid w:val="002740A5"/>
    <w:rsid w:val="002743BA"/>
    <w:rsid w:val="002744BA"/>
    <w:rsid w:val="00274555"/>
    <w:rsid w:val="0027483F"/>
    <w:rsid w:val="002748B2"/>
    <w:rsid w:val="0027491F"/>
    <w:rsid w:val="00274964"/>
    <w:rsid w:val="0027496F"/>
    <w:rsid w:val="00274A06"/>
    <w:rsid w:val="00274AB8"/>
    <w:rsid w:val="00274B30"/>
    <w:rsid w:val="00274BA7"/>
    <w:rsid w:val="00274BD5"/>
    <w:rsid w:val="00274C48"/>
    <w:rsid w:val="00274DB0"/>
    <w:rsid w:val="00275194"/>
    <w:rsid w:val="00275206"/>
    <w:rsid w:val="002752CE"/>
    <w:rsid w:val="00275611"/>
    <w:rsid w:val="00275793"/>
    <w:rsid w:val="00275D60"/>
    <w:rsid w:val="00275D7B"/>
    <w:rsid w:val="00275E64"/>
    <w:rsid w:val="0027630E"/>
    <w:rsid w:val="00276400"/>
    <w:rsid w:val="00276459"/>
    <w:rsid w:val="002764FF"/>
    <w:rsid w:val="00276757"/>
    <w:rsid w:val="002767E1"/>
    <w:rsid w:val="00276892"/>
    <w:rsid w:val="00276C9B"/>
    <w:rsid w:val="00276CD3"/>
    <w:rsid w:val="00276DC6"/>
    <w:rsid w:val="00276EF4"/>
    <w:rsid w:val="00277015"/>
    <w:rsid w:val="002771C4"/>
    <w:rsid w:val="002772C8"/>
    <w:rsid w:val="00277408"/>
    <w:rsid w:val="0027777C"/>
    <w:rsid w:val="00277BE6"/>
    <w:rsid w:val="00277C8F"/>
    <w:rsid w:val="00277D92"/>
    <w:rsid w:val="00277E97"/>
    <w:rsid w:val="00277F80"/>
    <w:rsid w:val="00280163"/>
    <w:rsid w:val="002801D7"/>
    <w:rsid w:val="00280496"/>
    <w:rsid w:val="002804E0"/>
    <w:rsid w:val="00280612"/>
    <w:rsid w:val="00280674"/>
    <w:rsid w:val="002806D0"/>
    <w:rsid w:val="0028076A"/>
    <w:rsid w:val="002808F4"/>
    <w:rsid w:val="002808FB"/>
    <w:rsid w:val="00280BA9"/>
    <w:rsid w:val="00280C3D"/>
    <w:rsid w:val="00280EEB"/>
    <w:rsid w:val="00281033"/>
    <w:rsid w:val="00281084"/>
    <w:rsid w:val="0028126B"/>
    <w:rsid w:val="002814AC"/>
    <w:rsid w:val="00281559"/>
    <w:rsid w:val="002815B4"/>
    <w:rsid w:val="0028169A"/>
    <w:rsid w:val="002819A1"/>
    <w:rsid w:val="00281AE0"/>
    <w:rsid w:val="00281B36"/>
    <w:rsid w:val="00281BC7"/>
    <w:rsid w:val="00281DEB"/>
    <w:rsid w:val="00281E04"/>
    <w:rsid w:val="00281ED3"/>
    <w:rsid w:val="00281F84"/>
    <w:rsid w:val="002824EF"/>
    <w:rsid w:val="002825EF"/>
    <w:rsid w:val="002828F5"/>
    <w:rsid w:val="0028297B"/>
    <w:rsid w:val="00282A13"/>
    <w:rsid w:val="00282A30"/>
    <w:rsid w:val="00282BA1"/>
    <w:rsid w:val="00282F6D"/>
    <w:rsid w:val="0028321B"/>
    <w:rsid w:val="002833CE"/>
    <w:rsid w:val="002835A8"/>
    <w:rsid w:val="002835C7"/>
    <w:rsid w:val="00283626"/>
    <w:rsid w:val="002836C9"/>
    <w:rsid w:val="00283788"/>
    <w:rsid w:val="002839BD"/>
    <w:rsid w:val="002839DC"/>
    <w:rsid w:val="00283A3E"/>
    <w:rsid w:val="00283A46"/>
    <w:rsid w:val="00283A6D"/>
    <w:rsid w:val="00283C27"/>
    <w:rsid w:val="00283DB9"/>
    <w:rsid w:val="00283FB7"/>
    <w:rsid w:val="00283FBD"/>
    <w:rsid w:val="00284115"/>
    <w:rsid w:val="0028413A"/>
    <w:rsid w:val="002841BA"/>
    <w:rsid w:val="002842B2"/>
    <w:rsid w:val="0028465D"/>
    <w:rsid w:val="002849DF"/>
    <w:rsid w:val="002849E4"/>
    <w:rsid w:val="00284B54"/>
    <w:rsid w:val="00284DE4"/>
    <w:rsid w:val="00284F90"/>
    <w:rsid w:val="00284FC0"/>
    <w:rsid w:val="00284FF5"/>
    <w:rsid w:val="0028504B"/>
    <w:rsid w:val="00285073"/>
    <w:rsid w:val="0028508E"/>
    <w:rsid w:val="002850D1"/>
    <w:rsid w:val="00285114"/>
    <w:rsid w:val="00285162"/>
    <w:rsid w:val="00285238"/>
    <w:rsid w:val="002852B7"/>
    <w:rsid w:val="00285638"/>
    <w:rsid w:val="00285798"/>
    <w:rsid w:val="002857AB"/>
    <w:rsid w:val="002858C9"/>
    <w:rsid w:val="00285BB7"/>
    <w:rsid w:val="00285BC5"/>
    <w:rsid w:val="00285C5D"/>
    <w:rsid w:val="00285C92"/>
    <w:rsid w:val="00285DD6"/>
    <w:rsid w:val="00285FBB"/>
    <w:rsid w:val="00286053"/>
    <w:rsid w:val="0028606E"/>
    <w:rsid w:val="00286302"/>
    <w:rsid w:val="00286318"/>
    <w:rsid w:val="00286481"/>
    <w:rsid w:val="002864A8"/>
    <w:rsid w:val="002864B7"/>
    <w:rsid w:val="0028672E"/>
    <w:rsid w:val="0028673A"/>
    <w:rsid w:val="0028691A"/>
    <w:rsid w:val="0028696F"/>
    <w:rsid w:val="00286A83"/>
    <w:rsid w:val="00286A8A"/>
    <w:rsid w:val="00286C4B"/>
    <w:rsid w:val="00286DC2"/>
    <w:rsid w:val="00286E72"/>
    <w:rsid w:val="00286F0A"/>
    <w:rsid w:val="00286F25"/>
    <w:rsid w:val="00286FA9"/>
    <w:rsid w:val="002871A0"/>
    <w:rsid w:val="00287277"/>
    <w:rsid w:val="002872FE"/>
    <w:rsid w:val="0028733F"/>
    <w:rsid w:val="00287643"/>
    <w:rsid w:val="002876CB"/>
    <w:rsid w:val="002878D7"/>
    <w:rsid w:val="00287947"/>
    <w:rsid w:val="00287A22"/>
    <w:rsid w:val="00287C64"/>
    <w:rsid w:val="00287DE1"/>
    <w:rsid w:val="00287EA2"/>
    <w:rsid w:val="00287ED9"/>
    <w:rsid w:val="00288B29"/>
    <w:rsid w:val="00290082"/>
    <w:rsid w:val="00290158"/>
    <w:rsid w:val="00290166"/>
    <w:rsid w:val="002901FD"/>
    <w:rsid w:val="00290281"/>
    <w:rsid w:val="002904BF"/>
    <w:rsid w:val="0029058B"/>
    <w:rsid w:val="002906B9"/>
    <w:rsid w:val="00290858"/>
    <w:rsid w:val="002908C2"/>
    <w:rsid w:val="0029094F"/>
    <w:rsid w:val="00290B38"/>
    <w:rsid w:val="00290C39"/>
    <w:rsid w:val="00290C82"/>
    <w:rsid w:val="00290EAC"/>
    <w:rsid w:val="00290F70"/>
    <w:rsid w:val="00291078"/>
    <w:rsid w:val="002911F5"/>
    <w:rsid w:val="00291371"/>
    <w:rsid w:val="002913B5"/>
    <w:rsid w:val="002913FC"/>
    <w:rsid w:val="00291422"/>
    <w:rsid w:val="002916D9"/>
    <w:rsid w:val="0029175F"/>
    <w:rsid w:val="0029176A"/>
    <w:rsid w:val="002917C0"/>
    <w:rsid w:val="002918B7"/>
    <w:rsid w:val="00291956"/>
    <w:rsid w:val="002919A9"/>
    <w:rsid w:val="00291B2A"/>
    <w:rsid w:val="00291B9D"/>
    <w:rsid w:val="00291F06"/>
    <w:rsid w:val="002921D2"/>
    <w:rsid w:val="0029222D"/>
    <w:rsid w:val="0029241B"/>
    <w:rsid w:val="0029245E"/>
    <w:rsid w:val="00292489"/>
    <w:rsid w:val="002924B9"/>
    <w:rsid w:val="00292529"/>
    <w:rsid w:val="002925E5"/>
    <w:rsid w:val="00292657"/>
    <w:rsid w:val="002926D8"/>
    <w:rsid w:val="002927E9"/>
    <w:rsid w:val="00292820"/>
    <w:rsid w:val="00292853"/>
    <w:rsid w:val="00292871"/>
    <w:rsid w:val="00292883"/>
    <w:rsid w:val="00292A8C"/>
    <w:rsid w:val="00292A90"/>
    <w:rsid w:val="00292B25"/>
    <w:rsid w:val="00292B45"/>
    <w:rsid w:val="00292B7E"/>
    <w:rsid w:val="00292F48"/>
    <w:rsid w:val="00292FF8"/>
    <w:rsid w:val="00293046"/>
    <w:rsid w:val="00293355"/>
    <w:rsid w:val="002933E1"/>
    <w:rsid w:val="0029346A"/>
    <w:rsid w:val="00293496"/>
    <w:rsid w:val="002937E2"/>
    <w:rsid w:val="00293914"/>
    <w:rsid w:val="00293BD0"/>
    <w:rsid w:val="00293D6B"/>
    <w:rsid w:val="00293E17"/>
    <w:rsid w:val="00294035"/>
    <w:rsid w:val="002944F4"/>
    <w:rsid w:val="0029469F"/>
    <w:rsid w:val="002946E3"/>
    <w:rsid w:val="00294B31"/>
    <w:rsid w:val="00294B69"/>
    <w:rsid w:val="00294B6B"/>
    <w:rsid w:val="00294C25"/>
    <w:rsid w:val="00294EB5"/>
    <w:rsid w:val="00294F35"/>
    <w:rsid w:val="00294FE1"/>
    <w:rsid w:val="00295054"/>
    <w:rsid w:val="0029520F"/>
    <w:rsid w:val="00295446"/>
    <w:rsid w:val="002954FB"/>
    <w:rsid w:val="002956C0"/>
    <w:rsid w:val="002956C7"/>
    <w:rsid w:val="00295736"/>
    <w:rsid w:val="00295847"/>
    <w:rsid w:val="00295A04"/>
    <w:rsid w:val="00295B96"/>
    <w:rsid w:val="00295FA8"/>
    <w:rsid w:val="0029605C"/>
    <w:rsid w:val="002960AF"/>
    <w:rsid w:val="002960C6"/>
    <w:rsid w:val="002961B3"/>
    <w:rsid w:val="00296304"/>
    <w:rsid w:val="002964BF"/>
    <w:rsid w:val="0029659F"/>
    <w:rsid w:val="00296627"/>
    <w:rsid w:val="0029664A"/>
    <w:rsid w:val="0029664F"/>
    <w:rsid w:val="00296662"/>
    <w:rsid w:val="002968DB"/>
    <w:rsid w:val="002969BA"/>
    <w:rsid w:val="00296A6A"/>
    <w:rsid w:val="00296A9C"/>
    <w:rsid w:val="00296AAB"/>
    <w:rsid w:val="00296CC5"/>
    <w:rsid w:val="00296D33"/>
    <w:rsid w:val="00296D5E"/>
    <w:rsid w:val="00296D9C"/>
    <w:rsid w:val="00296EB6"/>
    <w:rsid w:val="00296FBE"/>
    <w:rsid w:val="00297066"/>
    <w:rsid w:val="0029713D"/>
    <w:rsid w:val="00297286"/>
    <w:rsid w:val="0029742D"/>
    <w:rsid w:val="002975F8"/>
    <w:rsid w:val="0029761D"/>
    <w:rsid w:val="00297899"/>
    <w:rsid w:val="002978A4"/>
    <w:rsid w:val="00297A51"/>
    <w:rsid w:val="00297B28"/>
    <w:rsid w:val="00297CC0"/>
    <w:rsid w:val="00297F39"/>
    <w:rsid w:val="002A0098"/>
    <w:rsid w:val="002A00A0"/>
    <w:rsid w:val="002A0144"/>
    <w:rsid w:val="002A01ED"/>
    <w:rsid w:val="002A025B"/>
    <w:rsid w:val="002A039D"/>
    <w:rsid w:val="002A0440"/>
    <w:rsid w:val="002A046B"/>
    <w:rsid w:val="002A07C0"/>
    <w:rsid w:val="002A0906"/>
    <w:rsid w:val="002A09AC"/>
    <w:rsid w:val="002A0A62"/>
    <w:rsid w:val="002A0BA2"/>
    <w:rsid w:val="002A0E5B"/>
    <w:rsid w:val="002A1038"/>
    <w:rsid w:val="002A106B"/>
    <w:rsid w:val="002A13EA"/>
    <w:rsid w:val="002A13FC"/>
    <w:rsid w:val="002A144B"/>
    <w:rsid w:val="002A1575"/>
    <w:rsid w:val="002A157D"/>
    <w:rsid w:val="002A15E7"/>
    <w:rsid w:val="002A1611"/>
    <w:rsid w:val="002A1700"/>
    <w:rsid w:val="002A1886"/>
    <w:rsid w:val="002A1A18"/>
    <w:rsid w:val="002A1BC3"/>
    <w:rsid w:val="002A1BE5"/>
    <w:rsid w:val="002A1D33"/>
    <w:rsid w:val="002A1DB8"/>
    <w:rsid w:val="002A1E0B"/>
    <w:rsid w:val="002A1E68"/>
    <w:rsid w:val="002A1F98"/>
    <w:rsid w:val="002A2143"/>
    <w:rsid w:val="002A22BC"/>
    <w:rsid w:val="002A239C"/>
    <w:rsid w:val="002A2488"/>
    <w:rsid w:val="002A25AE"/>
    <w:rsid w:val="002A271F"/>
    <w:rsid w:val="002A27CB"/>
    <w:rsid w:val="002A2825"/>
    <w:rsid w:val="002A2971"/>
    <w:rsid w:val="002A2C26"/>
    <w:rsid w:val="002A2D2A"/>
    <w:rsid w:val="002A30AA"/>
    <w:rsid w:val="002A31F3"/>
    <w:rsid w:val="002A3256"/>
    <w:rsid w:val="002A34EA"/>
    <w:rsid w:val="002A37E2"/>
    <w:rsid w:val="002A3903"/>
    <w:rsid w:val="002A3AEF"/>
    <w:rsid w:val="002A3D53"/>
    <w:rsid w:val="002A4120"/>
    <w:rsid w:val="002A4283"/>
    <w:rsid w:val="002A42CA"/>
    <w:rsid w:val="002A436A"/>
    <w:rsid w:val="002A4480"/>
    <w:rsid w:val="002A46D2"/>
    <w:rsid w:val="002A4D90"/>
    <w:rsid w:val="002A4E26"/>
    <w:rsid w:val="002A4F98"/>
    <w:rsid w:val="002A516E"/>
    <w:rsid w:val="002A51A6"/>
    <w:rsid w:val="002A51AC"/>
    <w:rsid w:val="002A5223"/>
    <w:rsid w:val="002A5496"/>
    <w:rsid w:val="002A5510"/>
    <w:rsid w:val="002A5532"/>
    <w:rsid w:val="002A5928"/>
    <w:rsid w:val="002A5949"/>
    <w:rsid w:val="002A5A52"/>
    <w:rsid w:val="002A5AC0"/>
    <w:rsid w:val="002A5B07"/>
    <w:rsid w:val="002A5E3E"/>
    <w:rsid w:val="002A612A"/>
    <w:rsid w:val="002A6187"/>
    <w:rsid w:val="002A61DD"/>
    <w:rsid w:val="002A6330"/>
    <w:rsid w:val="002A634A"/>
    <w:rsid w:val="002A6594"/>
    <w:rsid w:val="002A6628"/>
    <w:rsid w:val="002A68AF"/>
    <w:rsid w:val="002A68C0"/>
    <w:rsid w:val="002A6B93"/>
    <w:rsid w:val="002A6D8F"/>
    <w:rsid w:val="002A6E43"/>
    <w:rsid w:val="002A6F0D"/>
    <w:rsid w:val="002A6F70"/>
    <w:rsid w:val="002A6F76"/>
    <w:rsid w:val="002A725E"/>
    <w:rsid w:val="002A7286"/>
    <w:rsid w:val="002A7426"/>
    <w:rsid w:val="002A743B"/>
    <w:rsid w:val="002A7470"/>
    <w:rsid w:val="002A7493"/>
    <w:rsid w:val="002A74D1"/>
    <w:rsid w:val="002A7525"/>
    <w:rsid w:val="002A752E"/>
    <w:rsid w:val="002A75DD"/>
    <w:rsid w:val="002A75F0"/>
    <w:rsid w:val="002A774A"/>
    <w:rsid w:val="002A7756"/>
    <w:rsid w:val="002A7770"/>
    <w:rsid w:val="002A7AA5"/>
    <w:rsid w:val="002A7DB5"/>
    <w:rsid w:val="002A7DFD"/>
    <w:rsid w:val="002A7EC1"/>
    <w:rsid w:val="002B0092"/>
    <w:rsid w:val="002B021D"/>
    <w:rsid w:val="002B02B4"/>
    <w:rsid w:val="002B0360"/>
    <w:rsid w:val="002B04CE"/>
    <w:rsid w:val="002B088F"/>
    <w:rsid w:val="002B0B78"/>
    <w:rsid w:val="002B0C3E"/>
    <w:rsid w:val="002B0D18"/>
    <w:rsid w:val="002B0ED3"/>
    <w:rsid w:val="002B0F15"/>
    <w:rsid w:val="002B101A"/>
    <w:rsid w:val="002B1098"/>
    <w:rsid w:val="002B10B5"/>
    <w:rsid w:val="002B1184"/>
    <w:rsid w:val="002B121A"/>
    <w:rsid w:val="002B13AE"/>
    <w:rsid w:val="002B1896"/>
    <w:rsid w:val="002B19CE"/>
    <w:rsid w:val="002B19DD"/>
    <w:rsid w:val="002B1A6E"/>
    <w:rsid w:val="002B1AAF"/>
    <w:rsid w:val="002B1B65"/>
    <w:rsid w:val="002B1DC5"/>
    <w:rsid w:val="002B1E67"/>
    <w:rsid w:val="002B2264"/>
    <w:rsid w:val="002B22DB"/>
    <w:rsid w:val="002B23A3"/>
    <w:rsid w:val="002B241F"/>
    <w:rsid w:val="002B242C"/>
    <w:rsid w:val="002B2584"/>
    <w:rsid w:val="002B2699"/>
    <w:rsid w:val="002B282C"/>
    <w:rsid w:val="002B2B4F"/>
    <w:rsid w:val="002B2E86"/>
    <w:rsid w:val="002B2F8D"/>
    <w:rsid w:val="002B2FCA"/>
    <w:rsid w:val="002B3220"/>
    <w:rsid w:val="002B351B"/>
    <w:rsid w:val="002B35EC"/>
    <w:rsid w:val="002B36B9"/>
    <w:rsid w:val="002B36EF"/>
    <w:rsid w:val="002B376C"/>
    <w:rsid w:val="002B3881"/>
    <w:rsid w:val="002B394C"/>
    <w:rsid w:val="002B396D"/>
    <w:rsid w:val="002B39F6"/>
    <w:rsid w:val="002B3A1E"/>
    <w:rsid w:val="002B3B7F"/>
    <w:rsid w:val="002B3C16"/>
    <w:rsid w:val="002B3C54"/>
    <w:rsid w:val="002B3D9E"/>
    <w:rsid w:val="002B4188"/>
    <w:rsid w:val="002B42D3"/>
    <w:rsid w:val="002B465A"/>
    <w:rsid w:val="002B46B1"/>
    <w:rsid w:val="002B47D6"/>
    <w:rsid w:val="002B48E7"/>
    <w:rsid w:val="002B49F2"/>
    <w:rsid w:val="002B4A1D"/>
    <w:rsid w:val="002B4B35"/>
    <w:rsid w:val="002B4B53"/>
    <w:rsid w:val="002B4C4B"/>
    <w:rsid w:val="002B4D0C"/>
    <w:rsid w:val="002B4F4D"/>
    <w:rsid w:val="002B520B"/>
    <w:rsid w:val="002B52F1"/>
    <w:rsid w:val="002B54F5"/>
    <w:rsid w:val="002B556F"/>
    <w:rsid w:val="002B58C7"/>
    <w:rsid w:val="002B5BC9"/>
    <w:rsid w:val="002B5C51"/>
    <w:rsid w:val="002B5C66"/>
    <w:rsid w:val="002B5CE9"/>
    <w:rsid w:val="002B5E86"/>
    <w:rsid w:val="002B602E"/>
    <w:rsid w:val="002B609C"/>
    <w:rsid w:val="002B60DF"/>
    <w:rsid w:val="002B6106"/>
    <w:rsid w:val="002B6448"/>
    <w:rsid w:val="002B64D7"/>
    <w:rsid w:val="002B65AB"/>
    <w:rsid w:val="002B664B"/>
    <w:rsid w:val="002B6810"/>
    <w:rsid w:val="002B682D"/>
    <w:rsid w:val="002B6975"/>
    <w:rsid w:val="002B6B67"/>
    <w:rsid w:val="002B6CD1"/>
    <w:rsid w:val="002B6D78"/>
    <w:rsid w:val="002B6DB3"/>
    <w:rsid w:val="002B6DDD"/>
    <w:rsid w:val="002B6E6B"/>
    <w:rsid w:val="002B71AF"/>
    <w:rsid w:val="002B73D6"/>
    <w:rsid w:val="002B7534"/>
    <w:rsid w:val="002B766E"/>
    <w:rsid w:val="002B7864"/>
    <w:rsid w:val="002B7BE0"/>
    <w:rsid w:val="002B7BEB"/>
    <w:rsid w:val="002B7C01"/>
    <w:rsid w:val="002B7C57"/>
    <w:rsid w:val="002B7D53"/>
    <w:rsid w:val="002B7D94"/>
    <w:rsid w:val="002B7EC2"/>
    <w:rsid w:val="002B7ED2"/>
    <w:rsid w:val="002B7F6C"/>
    <w:rsid w:val="002B7FC9"/>
    <w:rsid w:val="002C0002"/>
    <w:rsid w:val="002C0104"/>
    <w:rsid w:val="002C0138"/>
    <w:rsid w:val="002C0532"/>
    <w:rsid w:val="002C05AD"/>
    <w:rsid w:val="002C0611"/>
    <w:rsid w:val="002C06D4"/>
    <w:rsid w:val="002C0745"/>
    <w:rsid w:val="002C0763"/>
    <w:rsid w:val="002C0920"/>
    <w:rsid w:val="002C093F"/>
    <w:rsid w:val="002C0A05"/>
    <w:rsid w:val="002C0AFA"/>
    <w:rsid w:val="002C0B5C"/>
    <w:rsid w:val="002C0BB0"/>
    <w:rsid w:val="002C0CD7"/>
    <w:rsid w:val="002C0D97"/>
    <w:rsid w:val="002C0E62"/>
    <w:rsid w:val="002C0EBC"/>
    <w:rsid w:val="002C0F10"/>
    <w:rsid w:val="002C0FB0"/>
    <w:rsid w:val="002C11A6"/>
    <w:rsid w:val="002C11CF"/>
    <w:rsid w:val="002C1226"/>
    <w:rsid w:val="002C128B"/>
    <w:rsid w:val="002C13EE"/>
    <w:rsid w:val="002C153C"/>
    <w:rsid w:val="002C1843"/>
    <w:rsid w:val="002C1991"/>
    <w:rsid w:val="002C19D8"/>
    <w:rsid w:val="002C1B7D"/>
    <w:rsid w:val="002C1D30"/>
    <w:rsid w:val="002C1D4E"/>
    <w:rsid w:val="002C1D85"/>
    <w:rsid w:val="002C1E7B"/>
    <w:rsid w:val="002C2055"/>
    <w:rsid w:val="002C2107"/>
    <w:rsid w:val="002C2124"/>
    <w:rsid w:val="002C218A"/>
    <w:rsid w:val="002C23D2"/>
    <w:rsid w:val="002C296A"/>
    <w:rsid w:val="002C296F"/>
    <w:rsid w:val="002C2E03"/>
    <w:rsid w:val="002C2E22"/>
    <w:rsid w:val="002C319B"/>
    <w:rsid w:val="002C3251"/>
    <w:rsid w:val="002C33EE"/>
    <w:rsid w:val="002C33FA"/>
    <w:rsid w:val="002C358F"/>
    <w:rsid w:val="002C3775"/>
    <w:rsid w:val="002C389C"/>
    <w:rsid w:val="002C39FC"/>
    <w:rsid w:val="002C3A46"/>
    <w:rsid w:val="002C3AC0"/>
    <w:rsid w:val="002C3D6D"/>
    <w:rsid w:val="002C3EED"/>
    <w:rsid w:val="002C3F9B"/>
    <w:rsid w:val="002C3FD0"/>
    <w:rsid w:val="002C406F"/>
    <w:rsid w:val="002C4180"/>
    <w:rsid w:val="002C41E9"/>
    <w:rsid w:val="002C4271"/>
    <w:rsid w:val="002C4420"/>
    <w:rsid w:val="002C44CD"/>
    <w:rsid w:val="002C4526"/>
    <w:rsid w:val="002C4582"/>
    <w:rsid w:val="002C4709"/>
    <w:rsid w:val="002C47BD"/>
    <w:rsid w:val="002C4924"/>
    <w:rsid w:val="002C4993"/>
    <w:rsid w:val="002C4D22"/>
    <w:rsid w:val="002C4E73"/>
    <w:rsid w:val="002C4FDB"/>
    <w:rsid w:val="002C51F7"/>
    <w:rsid w:val="002C5202"/>
    <w:rsid w:val="002C5296"/>
    <w:rsid w:val="002C53B5"/>
    <w:rsid w:val="002C53F7"/>
    <w:rsid w:val="002C54BC"/>
    <w:rsid w:val="002C55B4"/>
    <w:rsid w:val="002C5620"/>
    <w:rsid w:val="002C56EB"/>
    <w:rsid w:val="002C5718"/>
    <w:rsid w:val="002C5730"/>
    <w:rsid w:val="002C5747"/>
    <w:rsid w:val="002C5748"/>
    <w:rsid w:val="002C578D"/>
    <w:rsid w:val="002C58F2"/>
    <w:rsid w:val="002C5A20"/>
    <w:rsid w:val="002C5CD9"/>
    <w:rsid w:val="002C5D9E"/>
    <w:rsid w:val="002C5E02"/>
    <w:rsid w:val="002C5E37"/>
    <w:rsid w:val="002C5E6C"/>
    <w:rsid w:val="002C6106"/>
    <w:rsid w:val="002C621B"/>
    <w:rsid w:val="002C629F"/>
    <w:rsid w:val="002C63ED"/>
    <w:rsid w:val="002C672E"/>
    <w:rsid w:val="002C67A7"/>
    <w:rsid w:val="002C6945"/>
    <w:rsid w:val="002C6BC7"/>
    <w:rsid w:val="002C6CEE"/>
    <w:rsid w:val="002C6DD3"/>
    <w:rsid w:val="002C70D6"/>
    <w:rsid w:val="002C7105"/>
    <w:rsid w:val="002C710A"/>
    <w:rsid w:val="002C7137"/>
    <w:rsid w:val="002C7170"/>
    <w:rsid w:val="002C7316"/>
    <w:rsid w:val="002C73CE"/>
    <w:rsid w:val="002C74AE"/>
    <w:rsid w:val="002C7654"/>
    <w:rsid w:val="002C7665"/>
    <w:rsid w:val="002C76CC"/>
    <w:rsid w:val="002C78AF"/>
    <w:rsid w:val="002C7942"/>
    <w:rsid w:val="002C7C08"/>
    <w:rsid w:val="002C7D29"/>
    <w:rsid w:val="002C7D41"/>
    <w:rsid w:val="002C7DE2"/>
    <w:rsid w:val="002C7FD6"/>
    <w:rsid w:val="002D0073"/>
    <w:rsid w:val="002D0145"/>
    <w:rsid w:val="002D01E7"/>
    <w:rsid w:val="002D0829"/>
    <w:rsid w:val="002D0A53"/>
    <w:rsid w:val="002D0B1D"/>
    <w:rsid w:val="002D0B2E"/>
    <w:rsid w:val="002D0E2E"/>
    <w:rsid w:val="002D0E7F"/>
    <w:rsid w:val="002D0ED9"/>
    <w:rsid w:val="002D0F20"/>
    <w:rsid w:val="002D10EA"/>
    <w:rsid w:val="002D10F8"/>
    <w:rsid w:val="002D13E8"/>
    <w:rsid w:val="002D15E3"/>
    <w:rsid w:val="002D15E7"/>
    <w:rsid w:val="002D1756"/>
    <w:rsid w:val="002D1864"/>
    <w:rsid w:val="002D1A4E"/>
    <w:rsid w:val="002D1A7F"/>
    <w:rsid w:val="002D1AFF"/>
    <w:rsid w:val="002D1DC8"/>
    <w:rsid w:val="002D1E94"/>
    <w:rsid w:val="002D1EBC"/>
    <w:rsid w:val="002D1F1A"/>
    <w:rsid w:val="002D2043"/>
    <w:rsid w:val="002D2075"/>
    <w:rsid w:val="002D20B8"/>
    <w:rsid w:val="002D20EE"/>
    <w:rsid w:val="002D21E9"/>
    <w:rsid w:val="002D22E9"/>
    <w:rsid w:val="002D2366"/>
    <w:rsid w:val="002D2429"/>
    <w:rsid w:val="002D24BD"/>
    <w:rsid w:val="002D25C2"/>
    <w:rsid w:val="002D27C3"/>
    <w:rsid w:val="002D29C0"/>
    <w:rsid w:val="002D2A0F"/>
    <w:rsid w:val="002D2A63"/>
    <w:rsid w:val="002D2E1E"/>
    <w:rsid w:val="002D304F"/>
    <w:rsid w:val="002D31B5"/>
    <w:rsid w:val="002D3226"/>
    <w:rsid w:val="002D3351"/>
    <w:rsid w:val="002D349D"/>
    <w:rsid w:val="002D34B3"/>
    <w:rsid w:val="002D3B1A"/>
    <w:rsid w:val="002D3B24"/>
    <w:rsid w:val="002D3BD5"/>
    <w:rsid w:val="002D3CEE"/>
    <w:rsid w:val="002D3D4D"/>
    <w:rsid w:val="002D3D97"/>
    <w:rsid w:val="002D3EDA"/>
    <w:rsid w:val="002D3EF9"/>
    <w:rsid w:val="002D3F63"/>
    <w:rsid w:val="002D3F67"/>
    <w:rsid w:val="002D401F"/>
    <w:rsid w:val="002D42B8"/>
    <w:rsid w:val="002D43F2"/>
    <w:rsid w:val="002D44FA"/>
    <w:rsid w:val="002D4561"/>
    <w:rsid w:val="002D46DB"/>
    <w:rsid w:val="002D4719"/>
    <w:rsid w:val="002D4790"/>
    <w:rsid w:val="002D4830"/>
    <w:rsid w:val="002D49F7"/>
    <w:rsid w:val="002D4A4D"/>
    <w:rsid w:val="002D4E2B"/>
    <w:rsid w:val="002D4F00"/>
    <w:rsid w:val="002D50C6"/>
    <w:rsid w:val="002D5246"/>
    <w:rsid w:val="002D524C"/>
    <w:rsid w:val="002D5418"/>
    <w:rsid w:val="002D568D"/>
    <w:rsid w:val="002D56D8"/>
    <w:rsid w:val="002D58F1"/>
    <w:rsid w:val="002D5925"/>
    <w:rsid w:val="002D59C2"/>
    <w:rsid w:val="002D5C7F"/>
    <w:rsid w:val="002D5D52"/>
    <w:rsid w:val="002D5D6A"/>
    <w:rsid w:val="002D5E43"/>
    <w:rsid w:val="002D5E83"/>
    <w:rsid w:val="002D5E84"/>
    <w:rsid w:val="002D5EC9"/>
    <w:rsid w:val="002D5F66"/>
    <w:rsid w:val="002D6232"/>
    <w:rsid w:val="002D62C0"/>
    <w:rsid w:val="002D62FD"/>
    <w:rsid w:val="002D631E"/>
    <w:rsid w:val="002D647D"/>
    <w:rsid w:val="002D66E5"/>
    <w:rsid w:val="002D6A09"/>
    <w:rsid w:val="002D6A2B"/>
    <w:rsid w:val="002D6AB6"/>
    <w:rsid w:val="002D6AF8"/>
    <w:rsid w:val="002D6D11"/>
    <w:rsid w:val="002D6E01"/>
    <w:rsid w:val="002D7391"/>
    <w:rsid w:val="002D741E"/>
    <w:rsid w:val="002D78A9"/>
    <w:rsid w:val="002D79D9"/>
    <w:rsid w:val="002D7A86"/>
    <w:rsid w:val="002D7AF5"/>
    <w:rsid w:val="002D7B92"/>
    <w:rsid w:val="002D7C14"/>
    <w:rsid w:val="002D7D3A"/>
    <w:rsid w:val="002D7D7B"/>
    <w:rsid w:val="002D7DC0"/>
    <w:rsid w:val="002D7F23"/>
    <w:rsid w:val="002D7F3D"/>
    <w:rsid w:val="002D7FC1"/>
    <w:rsid w:val="002E00AA"/>
    <w:rsid w:val="002E0281"/>
    <w:rsid w:val="002E0614"/>
    <w:rsid w:val="002E0B62"/>
    <w:rsid w:val="002E0BF9"/>
    <w:rsid w:val="002E0FCA"/>
    <w:rsid w:val="002E112D"/>
    <w:rsid w:val="002E115C"/>
    <w:rsid w:val="002E117A"/>
    <w:rsid w:val="002E1214"/>
    <w:rsid w:val="002E12D5"/>
    <w:rsid w:val="002E1446"/>
    <w:rsid w:val="002E14A4"/>
    <w:rsid w:val="002E160C"/>
    <w:rsid w:val="002E1623"/>
    <w:rsid w:val="002E17CD"/>
    <w:rsid w:val="002E1B0E"/>
    <w:rsid w:val="002E1B7C"/>
    <w:rsid w:val="002E1D7F"/>
    <w:rsid w:val="002E1D85"/>
    <w:rsid w:val="002E1F14"/>
    <w:rsid w:val="002E1F34"/>
    <w:rsid w:val="002E20C3"/>
    <w:rsid w:val="002E240E"/>
    <w:rsid w:val="002E2A3A"/>
    <w:rsid w:val="002E2A9B"/>
    <w:rsid w:val="002E2F24"/>
    <w:rsid w:val="002E2FAF"/>
    <w:rsid w:val="002E309B"/>
    <w:rsid w:val="002E318A"/>
    <w:rsid w:val="002E3273"/>
    <w:rsid w:val="002E32F9"/>
    <w:rsid w:val="002E3377"/>
    <w:rsid w:val="002E346A"/>
    <w:rsid w:val="002E388A"/>
    <w:rsid w:val="002E3905"/>
    <w:rsid w:val="002E39A7"/>
    <w:rsid w:val="002E3AE6"/>
    <w:rsid w:val="002E3B2D"/>
    <w:rsid w:val="002E3CEB"/>
    <w:rsid w:val="002E41B0"/>
    <w:rsid w:val="002E4395"/>
    <w:rsid w:val="002E43AE"/>
    <w:rsid w:val="002E44B0"/>
    <w:rsid w:val="002E45EC"/>
    <w:rsid w:val="002E492E"/>
    <w:rsid w:val="002E4CEB"/>
    <w:rsid w:val="002E4E26"/>
    <w:rsid w:val="002E4E85"/>
    <w:rsid w:val="002E4EA3"/>
    <w:rsid w:val="002E4F3B"/>
    <w:rsid w:val="002E4F75"/>
    <w:rsid w:val="002E51F1"/>
    <w:rsid w:val="002E5413"/>
    <w:rsid w:val="002E54DE"/>
    <w:rsid w:val="002E555E"/>
    <w:rsid w:val="002E556A"/>
    <w:rsid w:val="002E55D9"/>
    <w:rsid w:val="002E5711"/>
    <w:rsid w:val="002E571D"/>
    <w:rsid w:val="002E5850"/>
    <w:rsid w:val="002E5919"/>
    <w:rsid w:val="002E596C"/>
    <w:rsid w:val="002E59D7"/>
    <w:rsid w:val="002E5AE8"/>
    <w:rsid w:val="002E5B4F"/>
    <w:rsid w:val="002E5C79"/>
    <w:rsid w:val="002E5CB7"/>
    <w:rsid w:val="002E5CC5"/>
    <w:rsid w:val="002E5D34"/>
    <w:rsid w:val="002E5E58"/>
    <w:rsid w:val="002E5E93"/>
    <w:rsid w:val="002E5EA2"/>
    <w:rsid w:val="002E6083"/>
    <w:rsid w:val="002E60ED"/>
    <w:rsid w:val="002E639C"/>
    <w:rsid w:val="002E64FE"/>
    <w:rsid w:val="002E65B2"/>
    <w:rsid w:val="002E664B"/>
    <w:rsid w:val="002E66AD"/>
    <w:rsid w:val="002E6723"/>
    <w:rsid w:val="002E6811"/>
    <w:rsid w:val="002E69F4"/>
    <w:rsid w:val="002E6A60"/>
    <w:rsid w:val="002E6A6C"/>
    <w:rsid w:val="002E6AFB"/>
    <w:rsid w:val="002E6C3A"/>
    <w:rsid w:val="002E6D69"/>
    <w:rsid w:val="002E6D77"/>
    <w:rsid w:val="002E6EE1"/>
    <w:rsid w:val="002E6EF2"/>
    <w:rsid w:val="002E7284"/>
    <w:rsid w:val="002E7313"/>
    <w:rsid w:val="002E7454"/>
    <w:rsid w:val="002E7459"/>
    <w:rsid w:val="002E7490"/>
    <w:rsid w:val="002E7550"/>
    <w:rsid w:val="002E79A6"/>
    <w:rsid w:val="002E79A8"/>
    <w:rsid w:val="002E7A76"/>
    <w:rsid w:val="002E7AFA"/>
    <w:rsid w:val="002E7B06"/>
    <w:rsid w:val="002E7E12"/>
    <w:rsid w:val="002E7E7C"/>
    <w:rsid w:val="002E7FB8"/>
    <w:rsid w:val="002F0018"/>
    <w:rsid w:val="002F00A9"/>
    <w:rsid w:val="002F0154"/>
    <w:rsid w:val="002F0155"/>
    <w:rsid w:val="002F01B3"/>
    <w:rsid w:val="002F0260"/>
    <w:rsid w:val="002F032A"/>
    <w:rsid w:val="002F03C7"/>
    <w:rsid w:val="002F0576"/>
    <w:rsid w:val="002F0700"/>
    <w:rsid w:val="002F070F"/>
    <w:rsid w:val="002F072D"/>
    <w:rsid w:val="002F0D19"/>
    <w:rsid w:val="002F0EBD"/>
    <w:rsid w:val="002F0EDB"/>
    <w:rsid w:val="002F1016"/>
    <w:rsid w:val="002F101C"/>
    <w:rsid w:val="002F1199"/>
    <w:rsid w:val="002F128C"/>
    <w:rsid w:val="002F1532"/>
    <w:rsid w:val="002F180B"/>
    <w:rsid w:val="002F183F"/>
    <w:rsid w:val="002F18BD"/>
    <w:rsid w:val="002F18E1"/>
    <w:rsid w:val="002F1910"/>
    <w:rsid w:val="002F19CF"/>
    <w:rsid w:val="002F1B74"/>
    <w:rsid w:val="002F1F1F"/>
    <w:rsid w:val="002F1FA3"/>
    <w:rsid w:val="002F217C"/>
    <w:rsid w:val="002F21F3"/>
    <w:rsid w:val="002F2308"/>
    <w:rsid w:val="002F2413"/>
    <w:rsid w:val="002F24F3"/>
    <w:rsid w:val="002F25CE"/>
    <w:rsid w:val="002F262B"/>
    <w:rsid w:val="002F27EE"/>
    <w:rsid w:val="002F2BDD"/>
    <w:rsid w:val="002F2C40"/>
    <w:rsid w:val="002F2E17"/>
    <w:rsid w:val="002F2E1F"/>
    <w:rsid w:val="002F2F50"/>
    <w:rsid w:val="002F2FE1"/>
    <w:rsid w:val="002F31EA"/>
    <w:rsid w:val="002F327D"/>
    <w:rsid w:val="002F350C"/>
    <w:rsid w:val="002F3540"/>
    <w:rsid w:val="002F3791"/>
    <w:rsid w:val="002F3D57"/>
    <w:rsid w:val="002F3DA6"/>
    <w:rsid w:val="002F3DE1"/>
    <w:rsid w:val="002F3EE0"/>
    <w:rsid w:val="002F4100"/>
    <w:rsid w:val="002F4212"/>
    <w:rsid w:val="002F4350"/>
    <w:rsid w:val="002F43C6"/>
    <w:rsid w:val="002F43D7"/>
    <w:rsid w:val="002F4439"/>
    <w:rsid w:val="002F445A"/>
    <w:rsid w:val="002F452B"/>
    <w:rsid w:val="002F4802"/>
    <w:rsid w:val="002F4AC9"/>
    <w:rsid w:val="002F4BCE"/>
    <w:rsid w:val="002F4D24"/>
    <w:rsid w:val="002F4E3C"/>
    <w:rsid w:val="002F4EBA"/>
    <w:rsid w:val="002F4F17"/>
    <w:rsid w:val="002F50CB"/>
    <w:rsid w:val="002F50F0"/>
    <w:rsid w:val="002F522E"/>
    <w:rsid w:val="002F533C"/>
    <w:rsid w:val="002F5528"/>
    <w:rsid w:val="002F5618"/>
    <w:rsid w:val="002F5622"/>
    <w:rsid w:val="002F5649"/>
    <w:rsid w:val="002F5946"/>
    <w:rsid w:val="002F59A8"/>
    <w:rsid w:val="002F5A8F"/>
    <w:rsid w:val="002F5B02"/>
    <w:rsid w:val="002F5B6A"/>
    <w:rsid w:val="002F5D94"/>
    <w:rsid w:val="002F5F34"/>
    <w:rsid w:val="002F5FC5"/>
    <w:rsid w:val="002F60C1"/>
    <w:rsid w:val="002F6177"/>
    <w:rsid w:val="002F64A2"/>
    <w:rsid w:val="002F6512"/>
    <w:rsid w:val="002F6622"/>
    <w:rsid w:val="002F6682"/>
    <w:rsid w:val="002F6693"/>
    <w:rsid w:val="002F66D2"/>
    <w:rsid w:val="002F6849"/>
    <w:rsid w:val="002F68CC"/>
    <w:rsid w:val="002F6911"/>
    <w:rsid w:val="002F6957"/>
    <w:rsid w:val="002F69B6"/>
    <w:rsid w:val="002F69FC"/>
    <w:rsid w:val="002F6A1E"/>
    <w:rsid w:val="002F6AD4"/>
    <w:rsid w:val="002F6B0F"/>
    <w:rsid w:val="002F6C3F"/>
    <w:rsid w:val="002F6D2F"/>
    <w:rsid w:val="002F6F1D"/>
    <w:rsid w:val="002F6F24"/>
    <w:rsid w:val="002F7010"/>
    <w:rsid w:val="002F721F"/>
    <w:rsid w:val="002F73D6"/>
    <w:rsid w:val="002F751F"/>
    <w:rsid w:val="002F7761"/>
    <w:rsid w:val="002F7768"/>
    <w:rsid w:val="002F77CB"/>
    <w:rsid w:val="002F79AD"/>
    <w:rsid w:val="002F79C2"/>
    <w:rsid w:val="002F79D5"/>
    <w:rsid w:val="002F7A5E"/>
    <w:rsid w:val="002F7B3A"/>
    <w:rsid w:val="002F7BE4"/>
    <w:rsid w:val="002F7BF0"/>
    <w:rsid w:val="002F7D08"/>
    <w:rsid w:val="002F7D4C"/>
    <w:rsid w:val="002F7E94"/>
    <w:rsid w:val="002F7F2E"/>
    <w:rsid w:val="00300192"/>
    <w:rsid w:val="003001EB"/>
    <w:rsid w:val="00300219"/>
    <w:rsid w:val="0030033E"/>
    <w:rsid w:val="003005E4"/>
    <w:rsid w:val="0030073C"/>
    <w:rsid w:val="003007C6"/>
    <w:rsid w:val="0030080D"/>
    <w:rsid w:val="003009C6"/>
    <w:rsid w:val="00300A45"/>
    <w:rsid w:val="00300B42"/>
    <w:rsid w:val="00300B8D"/>
    <w:rsid w:val="00300BFD"/>
    <w:rsid w:val="00300CFB"/>
    <w:rsid w:val="00300D39"/>
    <w:rsid w:val="00300E37"/>
    <w:rsid w:val="00301221"/>
    <w:rsid w:val="00301499"/>
    <w:rsid w:val="0030163A"/>
    <w:rsid w:val="00301694"/>
    <w:rsid w:val="003016B5"/>
    <w:rsid w:val="003016D6"/>
    <w:rsid w:val="003016F9"/>
    <w:rsid w:val="0030178F"/>
    <w:rsid w:val="00301799"/>
    <w:rsid w:val="003018D7"/>
    <w:rsid w:val="00301BAA"/>
    <w:rsid w:val="00301BAE"/>
    <w:rsid w:val="00301BDB"/>
    <w:rsid w:val="00301C57"/>
    <w:rsid w:val="00301E40"/>
    <w:rsid w:val="00301FD9"/>
    <w:rsid w:val="003021EF"/>
    <w:rsid w:val="003022A4"/>
    <w:rsid w:val="00302300"/>
    <w:rsid w:val="00302327"/>
    <w:rsid w:val="00302503"/>
    <w:rsid w:val="003026D2"/>
    <w:rsid w:val="00302712"/>
    <w:rsid w:val="00302821"/>
    <w:rsid w:val="003028F3"/>
    <w:rsid w:val="00302A25"/>
    <w:rsid w:val="00302A71"/>
    <w:rsid w:val="00302AB2"/>
    <w:rsid w:val="00302B6A"/>
    <w:rsid w:val="00302C75"/>
    <w:rsid w:val="00302DB6"/>
    <w:rsid w:val="00302EEB"/>
    <w:rsid w:val="00302F4F"/>
    <w:rsid w:val="003030F9"/>
    <w:rsid w:val="00303209"/>
    <w:rsid w:val="00303425"/>
    <w:rsid w:val="00303445"/>
    <w:rsid w:val="0030349B"/>
    <w:rsid w:val="0030369D"/>
    <w:rsid w:val="003036BC"/>
    <w:rsid w:val="0030375D"/>
    <w:rsid w:val="0030388C"/>
    <w:rsid w:val="00303A18"/>
    <w:rsid w:val="00303C51"/>
    <w:rsid w:val="00303DEC"/>
    <w:rsid w:val="00303ED7"/>
    <w:rsid w:val="00303F5E"/>
    <w:rsid w:val="003040D1"/>
    <w:rsid w:val="0030420B"/>
    <w:rsid w:val="003043FB"/>
    <w:rsid w:val="0030450A"/>
    <w:rsid w:val="0030461C"/>
    <w:rsid w:val="00304920"/>
    <w:rsid w:val="0030495F"/>
    <w:rsid w:val="003049AD"/>
    <w:rsid w:val="00304C85"/>
    <w:rsid w:val="00304D0B"/>
    <w:rsid w:val="00304E04"/>
    <w:rsid w:val="00304EA3"/>
    <w:rsid w:val="0030505A"/>
    <w:rsid w:val="00305244"/>
    <w:rsid w:val="003052D1"/>
    <w:rsid w:val="003053ED"/>
    <w:rsid w:val="00305454"/>
    <w:rsid w:val="00305489"/>
    <w:rsid w:val="00305705"/>
    <w:rsid w:val="00305773"/>
    <w:rsid w:val="00305A2B"/>
    <w:rsid w:val="00305B72"/>
    <w:rsid w:val="00305C0B"/>
    <w:rsid w:val="00305FF5"/>
    <w:rsid w:val="003060F6"/>
    <w:rsid w:val="00306179"/>
    <w:rsid w:val="0030633C"/>
    <w:rsid w:val="003063FF"/>
    <w:rsid w:val="0030648F"/>
    <w:rsid w:val="0030650C"/>
    <w:rsid w:val="00306591"/>
    <w:rsid w:val="003065DF"/>
    <w:rsid w:val="0030681B"/>
    <w:rsid w:val="0030681F"/>
    <w:rsid w:val="0030682E"/>
    <w:rsid w:val="00306912"/>
    <w:rsid w:val="00306A6C"/>
    <w:rsid w:val="00306C1F"/>
    <w:rsid w:val="00306CD7"/>
    <w:rsid w:val="00306D46"/>
    <w:rsid w:val="00306EFF"/>
    <w:rsid w:val="00306FD6"/>
    <w:rsid w:val="00307127"/>
    <w:rsid w:val="0030713E"/>
    <w:rsid w:val="003074D3"/>
    <w:rsid w:val="003075CC"/>
    <w:rsid w:val="003077AB"/>
    <w:rsid w:val="00307849"/>
    <w:rsid w:val="00307853"/>
    <w:rsid w:val="003078AF"/>
    <w:rsid w:val="00307972"/>
    <w:rsid w:val="00307A33"/>
    <w:rsid w:val="00307AF9"/>
    <w:rsid w:val="00307BA9"/>
    <w:rsid w:val="00307C8C"/>
    <w:rsid w:val="00307CD0"/>
    <w:rsid w:val="00307CE1"/>
    <w:rsid w:val="00307D0F"/>
    <w:rsid w:val="00307D3C"/>
    <w:rsid w:val="00307D71"/>
    <w:rsid w:val="00307E7F"/>
    <w:rsid w:val="003101B3"/>
    <w:rsid w:val="003101C6"/>
    <w:rsid w:val="003104AB"/>
    <w:rsid w:val="003105C4"/>
    <w:rsid w:val="00310657"/>
    <w:rsid w:val="0031079B"/>
    <w:rsid w:val="003107E8"/>
    <w:rsid w:val="003108DC"/>
    <w:rsid w:val="003108EF"/>
    <w:rsid w:val="00310910"/>
    <w:rsid w:val="003109B6"/>
    <w:rsid w:val="003109F7"/>
    <w:rsid w:val="00310AFE"/>
    <w:rsid w:val="0031102F"/>
    <w:rsid w:val="00311043"/>
    <w:rsid w:val="003110B2"/>
    <w:rsid w:val="0031129C"/>
    <w:rsid w:val="0031139E"/>
    <w:rsid w:val="00311573"/>
    <w:rsid w:val="00311619"/>
    <w:rsid w:val="0031169D"/>
    <w:rsid w:val="00311727"/>
    <w:rsid w:val="00311754"/>
    <w:rsid w:val="00311829"/>
    <w:rsid w:val="00311A34"/>
    <w:rsid w:val="00311AD6"/>
    <w:rsid w:val="00311B99"/>
    <w:rsid w:val="00311C83"/>
    <w:rsid w:val="00311D0A"/>
    <w:rsid w:val="00311D8F"/>
    <w:rsid w:val="00311F44"/>
    <w:rsid w:val="003120E9"/>
    <w:rsid w:val="003121D0"/>
    <w:rsid w:val="003123F5"/>
    <w:rsid w:val="00312474"/>
    <w:rsid w:val="00312495"/>
    <w:rsid w:val="003124A2"/>
    <w:rsid w:val="003124AD"/>
    <w:rsid w:val="00312741"/>
    <w:rsid w:val="00312D9E"/>
    <w:rsid w:val="00312F00"/>
    <w:rsid w:val="00313098"/>
    <w:rsid w:val="0031328A"/>
    <w:rsid w:val="003132E8"/>
    <w:rsid w:val="00313418"/>
    <w:rsid w:val="003134AA"/>
    <w:rsid w:val="003134FB"/>
    <w:rsid w:val="00313524"/>
    <w:rsid w:val="00313694"/>
    <w:rsid w:val="003137E0"/>
    <w:rsid w:val="00313849"/>
    <w:rsid w:val="0031393A"/>
    <w:rsid w:val="00313A1B"/>
    <w:rsid w:val="00313A59"/>
    <w:rsid w:val="00313C1B"/>
    <w:rsid w:val="00313E03"/>
    <w:rsid w:val="00313E37"/>
    <w:rsid w:val="00313EED"/>
    <w:rsid w:val="00313FDD"/>
    <w:rsid w:val="003142DD"/>
    <w:rsid w:val="00314448"/>
    <w:rsid w:val="003146FC"/>
    <w:rsid w:val="00314A4B"/>
    <w:rsid w:val="00314A76"/>
    <w:rsid w:val="00314B45"/>
    <w:rsid w:val="00314C6B"/>
    <w:rsid w:val="00314C8A"/>
    <w:rsid w:val="00314C8D"/>
    <w:rsid w:val="00314D55"/>
    <w:rsid w:val="00314E54"/>
    <w:rsid w:val="00314F71"/>
    <w:rsid w:val="00314FA9"/>
    <w:rsid w:val="00314FFF"/>
    <w:rsid w:val="00315269"/>
    <w:rsid w:val="003152AE"/>
    <w:rsid w:val="003152DB"/>
    <w:rsid w:val="00315344"/>
    <w:rsid w:val="003155C2"/>
    <w:rsid w:val="00315690"/>
    <w:rsid w:val="003156D6"/>
    <w:rsid w:val="003157C2"/>
    <w:rsid w:val="00315945"/>
    <w:rsid w:val="00315AE4"/>
    <w:rsid w:val="00315C8E"/>
    <w:rsid w:val="00315CF5"/>
    <w:rsid w:val="00316149"/>
    <w:rsid w:val="003162E3"/>
    <w:rsid w:val="00316583"/>
    <w:rsid w:val="003165FC"/>
    <w:rsid w:val="00316779"/>
    <w:rsid w:val="00316A69"/>
    <w:rsid w:val="00316A91"/>
    <w:rsid w:val="00316B0D"/>
    <w:rsid w:val="00316BE1"/>
    <w:rsid w:val="00316DB6"/>
    <w:rsid w:val="00316FC8"/>
    <w:rsid w:val="0031719B"/>
    <w:rsid w:val="003171F8"/>
    <w:rsid w:val="00317274"/>
    <w:rsid w:val="0031771C"/>
    <w:rsid w:val="0031772C"/>
    <w:rsid w:val="003179F5"/>
    <w:rsid w:val="00317A93"/>
    <w:rsid w:val="00317BA7"/>
    <w:rsid w:val="00317DBE"/>
    <w:rsid w:val="003200FF"/>
    <w:rsid w:val="003201DD"/>
    <w:rsid w:val="003202BC"/>
    <w:rsid w:val="00320514"/>
    <w:rsid w:val="00320554"/>
    <w:rsid w:val="0032063D"/>
    <w:rsid w:val="00320869"/>
    <w:rsid w:val="0032095F"/>
    <w:rsid w:val="00320C5E"/>
    <w:rsid w:val="00320E3C"/>
    <w:rsid w:val="0032107D"/>
    <w:rsid w:val="003211B0"/>
    <w:rsid w:val="003215C0"/>
    <w:rsid w:val="0032160D"/>
    <w:rsid w:val="003216BA"/>
    <w:rsid w:val="003218B1"/>
    <w:rsid w:val="003218B4"/>
    <w:rsid w:val="003218F6"/>
    <w:rsid w:val="00321A05"/>
    <w:rsid w:val="00321DE4"/>
    <w:rsid w:val="00321EFC"/>
    <w:rsid w:val="00322043"/>
    <w:rsid w:val="0032209F"/>
    <w:rsid w:val="003220F9"/>
    <w:rsid w:val="0032217C"/>
    <w:rsid w:val="003221C7"/>
    <w:rsid w:val="003221D9"/>
    <w:rsid w:val="00322283"/>
    <w:rsid w:val="003223BA"/>
    <w:rsid w:val="003224EF"/>
    <w:rsid w:val="003227DF"/>
    <w:rsid w:val="0032298D"/>
    <w:rsid w:val="00322BBF"/>
    <w:rsid w:val="00322D73"/>
    <w:rsid w:val="00322E97"/>
    <w:rsid w:val="00323164"/>
    <w:rsid w:val="003231D5"/>
    <w:rsid w:val="003232D3"/>
    <w:rsid w:val="0032337A"/>
    <w:rsid w:val="0032337B"/>
    <w:rsid w:val="003234F3"/>
    <w:rsid w:val="003237B8"/>
    <w:rsid w:val="0032386E"/>
    <w:rsid w:val="00323C7D"/>
    <w:rsid w:val="00323D6D"/>
    <w:rsid w:val="00323E08"/>
    <w:rsid w:val="00323E67"/>
    <w:rsid w:val="0032403A"/>
    <w:rsid w:val="003240C4"/>
    <w:rsid w:val="0032410F"/>
    <w:rsid w:val="003241A3"/>
    <w:rsid w:val="00324212"/>
    <w:rsid w:val="0032421E"/>
    <w:rsid w:val="00324249"/>
    <w:rsid w:val="00324516"/>
    <w:rsid w:val="003246DF"/>
    <w:rsid w:val="00324752"/>
    <w:rsid w:val="00324984"/>
    <w:rsid w:val="00324A97"/>
    <w:rsid w:val="00324B07"/>
    <w:rsid w:val="00324C03"/>
    <w:rsid w:val="00324CB9"/>
    <w:rsid w:val="00324E06"/>
    <w:rsid w:val="0032505A"/>
    <w:rsid w:val="003250AB"/>
    <w:rsid w:val="003250CA"/>
    <w:rsid w:val="003250E4"/>
    <w:rsid w:val="0032514E"/>
    <w:rsid w:val="00325416"/>
    <w:rsid w:val="00325523"/>
    <w:rsid w:val="00325596"/>
    <w:rsid w:val="003255A5"/>
    <w:rsid w:val="003255C3"/>
    <w:rsid w:val="003255DD"/>
    <w:rsid w:val="00325628"/>
    <w:rsid w:val="00325692"/>
    <w:rsid w:val="0032571D"/>
    <w:rsid w:val="00325A55"/>
    <w:rsid w:val="00325ADE"/>
    <w:rsid w:val="00325D28"/>
    <w:rsid w:val="00325D61"/>
    <w:rsid w:val="00326009"/>
    <w:rsid w:val="0032605B"/>
    <w:rsid w:val="00326598"/>
    <w:rsid w:val="003266E4"/>
    <w:rsid w:val="00326881"/>
    <w:rsid w:val="003269EF"/>
    <w:rsid w:val="00326AA2"/>
    <w:rsid w:val="00326AD4"/>
    <w:rsid w:val="00326BAE"/>
    <w:rsid w:val="00326D43"/>
    <w:rsid w:val="00326E40"/>
    <w:rsid w:val="00326EC0"/>
    <w:rsid w:val="00326F24"/>
    <w:rsid w:val="00326F36"/>
    <w:rsid w:val="00326F88"/>
    <w:rsid w:val="003271DC"/>
    <w:rsid w:val="0032741F"/>
    <w:rsid w:val="003274F6"/>
    <w:rsid w:val="00327A33"/>
    <w:rsid w:val="00327AC1"/>
    <w:rsid w:val="00327BBE"/>
    <w:rsid w:val="00327BC9"/>
    <w:rsid w:val="00327C39"/>
    <w:rsid w:val="00327C49"/>
    <w:rsid w:val="00327E5E"/>
    <w:rsid w:val="00327E95"/>
    <w:rsid w:val="00327F3D"/>
    <w:rsid w:val="00327FB1"/>
    <w:rsid w:val="003302C9"/>
    <w:rsid w:val="00330370"/>
    <w:rsid w:val="0033055E"/>
    <w:rsid w:val="003307B4"/>
    <w:rsid w:val="0033082F"/>
    <w:rsid w:val="003309B6"/>
    <w:rsid w:val="003309D2"/>
    <w:rsid w:val="00330C88"/>
    <w:rsid w:val="00330C8C"/>
    <w:rsid w:val="00330CFA"/>
    <w:rsid w:val="00330E64"/>
    <w:rsid w:val="00330FD2"/>
    <w:rsid w:val="00331070"/>
    <w:rsid w:val="00331098"/>
    <w:rsid w:val="003313BF"/>
    <w:rsid w:val="0033144F"/>
    <w:rsid w:val="0033167E"/>
    <w:rsid w:val="00331793"/>
    <w:rsid w:val="003317A6"/>
    <w:rsid w:val="003317D8"/>
    <w:rsid w:val="003317EE"/>
    <w:rsid w:val="00331908"/>
    <w:rsid w:val="00331995"/>
    <w:rsid w:val="003319AD"/>
    <w:rsid w:val="003319B4"/>
    <w:rsid w:val="00331D43"/>
    <w:rsid w:val="00331D8E"/>
    <w:rsid w:val="003320E3"/>
    <w:rsid w:val="003321BF"/>
    <w:rsid w:val="003322D6"/>
    <w:rsid w:val="00332426"/>
    <w:rsid w:val="003325CC"/>
    <w:rsid w:val="003326D2"/>
    <w:rsid w:val="00332748"/>
    <w:rsid w:val="00332848"/>
    <w:rsid w:val="0033291C"/>
    <w:rsid w:val="00332970"/>
    <w:rsid w:val="003329D4"/>
    <w:rsid w:val="00332A86"/>
    <w:rsid w:val="00332CEB"/>
    <w:rsid w:val="00332DC5"/>
    <w:rsid w:val="00332EA4"/>
    <w:rsid w:val="00332F0A"/>
    <w:rsid w:val="00333364"/>
    <w:rsid w:val="00333524"/>
    <w:rsid w:val="00333558"/>
    <w:rsid w:val="003335B7"/>
    <w:rsid w:val="00333654"/>
    <w:rsid w:val="00333768"/>
    <w:rsid w:val="0033380E"/>
    <w:rsid w:val="00333865"/>
    <w:rsid w:val="00333A1A"/>
    <w:rsid w:val="00333D96"/>
    <w:rsid w:val="00333DBF"/>
    <w:rsid w:val="00333DD3"/>
    <w:rsid w:val="00334082"/>
    <w:rsid w:val="003343F3"/>
    <w:rsid w:val="0033446E"/>
    <w:rsid w:val="00334557"/>
    <w:rsid w:val="00334583"/>
    <w:rsid w:val="00334614"/>
    <w:rsid w:val="0033463F"/>
    <w:rsid w:val="0033465D"/>
    <w:rsid w:val="00334911"/>
    <w:rsid w:val="00334924"/>
    <w:rsid w:val="00334A73"/>
    <w:rsid w:val="00334A88"/>
    <w:rsid w:val="00334BD1"/>
    <w:rsid w:val="00334F1E"/>
    <w:rsid w:val="00335012"/>
    <w:rsid w:val="00335177"/>
    <w:rsid w:val="003353B6"/>
    <w:rsid w:val="003354A8"/>
    <w:rsid w:val="00335693"/>
    <w:rsid w:val="003356B6"/>
    <w:rsid w:val="0033582F"/>
    <w:rsid w:val="003358C9"/>
    <w:rsid w:val="00335A04"/>
    <w:rsid w:val="00335B53"/>
    <w:rsid w:val="00335F4D"/>
    <w:rsid w:val="00336310"/>
    <w:rsid w:val="0033650D"/>
    <w:rsid w:val="00336520"/>
    <w:rsid w:val="0033662F"/>
    <w:rsid w:val="00336672"/>
    <w:rsid w:val="00336C05"/>
    <w:rsid w:val="00336CAD"/>
    <w:rsid w:val="00336D89"/>
    <w:rsid w:val="00336DA5"/>
    <w:rsid w:val="00336EF9"/>
    <w:rsid w:val="00336F3A"/>
    <w:rsid w:val="0033710C"/>
    <w:rsid w:val="0033712B"/>
    <w:rsid w:val="0033732A"/>
    <w:rsid w:val="003374F1"/>
    <w:rsid w:val="003375A4"/>
    <w:rsid w:val="0033760C"/>
    <w:rsid w:val="00337652"/>
    <w:rsid w:val="0033774B"/>
    <w:rsid w:val="0033775E"/>
    <w:rsid w:val="00337969"/>
    <w:rsid w:val="003379E8"/>
    <w:rsid w:val="00337B35"/>
    <w:rsid w:val="00337B39"/>
    <w:rsid w:val="00337D94"/>
    <w:rsid w:val="00337D97"/>
    <w:rsid w:val="00337F55"/>
    <w:rsid w:val="00337F5B"/>
    <w:rsid w:val="00337FC2"/>
    <w:rsid w:val="00340091"/>
    <w:rsid w:val="00340094"/>
    <w:rsid w:val="0034038F"/>
    <w:rsid w:val="0034044C"/>
    <w:rsid w:val="003404FC"/>
    <w:rsid w:val="00340504"/>
    <w:rsid w:val="00340524"/>
    <w:rsid w:val="0034085B"/>
    <w:rsid w:val="00340998"/>
    <w:rsid w:val="00340AEC"/>
    <w:rsid w:val="00340D5B"/>
    <w:rsid w:val="00340D89"/>
    <w:rsid w:val="00340F20"/>
    <w:rsid w:val="00340FC5"/>
    <w:rsid w:val="00341152"/>
    <w:rsid w:val="00341168"/>
    <w:rsid w:val="003411C8"/>
    <w:rsid w:val="00341272"/>
    <w:rsid w:val="00341289"/>
    <w:rsid w:val="003413D2"/>
    <w:rsid w:val="00341467"/>
    <w:rsid w:val="003414F0"/>
    <w:rsid w:val="003414F5"/>
    <w:rsid w:val="00341574"/>
    <w:rsid w:val="0034157F"/>
    <w:rsid w:val="00341580"/>
    <w:rsid w:val="003416B1"/>
    <w:rsid w:val="00341743"/>
    <w:rsid w:val="003418B6"/>
    <w:rsid w:val="003418C6"/>
    <w:rsid w:val="0034197F"/>
    <w:rsid w:val="00341C37"/>
    <w:rsid w:val="0034202D"/>
    <w:rsid w:val="0034205E"/>
    <w:rsid w:val="00342068"/>
    <w:rsid w:val="003421CB"/>
    <w:rsid w:val="00342272"/>
    <w:rsid w:val="003423BE"/>
    <w:rsid w:val="003423E1"/>
    <w:rsid w:val="00342444"/>
    <w:rsid w:val="0034259A"/>
    <w:rsid w:val="00342649"/>
    <w:rsid w:val="00342831"/>
    <w:rsid w:val="0034283D"/>
    <w:rsid w:val="00342B28"/>
    <w:rsid w:val="00342D05"/>
    <w:rsid w:val="00342EF6"/>
    <w:rsid w:val="00342FA9"/>
    <w:rsid w:val="003433EE"/>
    <w:rsid w:val="0034355A"/>
    <w:rsid w:val="0034359E"/>
    <w:rsid w:val="0034379E"/>
    <w:rsid w:val="003437EE"/>
    <w:rsid w:val="0034396D"/>
    <w:rsid w:val="003439F2"/>
    <w:rsid w:val="00343A17"/>
    <w:rsid w:val="00343AAF"/>
    <w:rsid w:val="00343B65"/>
    <w:rsid w:val="00343C53"/>
    <w:rsid w:val="00343CD9"/>
    <w:rsid w:val="00343E85"/>
    <w:rsid w:val="003440AA"/>
    <w:rsid w:val="00344246"/>
    <w:rsid w:val="00344479"/>
    <w:rsid w:val="0034452C"/>
    <w:rsid w:val="00344610"/>
    <w:rsid w:val="003446E2"/>
    <w:rsid w:val="0034493B"/>
    <w:rsid w:val="00344997"/>
    <w:rsid w:val="003449D4"/>
    <w:rsid w:val="00344A99"/>
    <w:rsid w:val="00344B12"/>
    <w:rsid w:val="00344B9D"/>
    <w:rsid w:val="00344BAE"/>
    <w:rsid w:val="00344D1A"/>
    <w:rsid w:val="00344D61"/>
    <w:rsid w:val="00344E31"/>
    <w:rsid w:val="00344E63"/>
    <w:rsid w:val="00344EAC"/>
    <w:rsid w:val="00344FB6"/>
    <w:rsid w:val="00345136"/>
    <w:rsid w:val="0034540E"/>
    <w:rsid w:val="003455C2"/>
    <w:rsid w:val="00345C01"/>
    <w:rsid w:val="00345C6F"/>
    <w:rsid w:val="00345E69"/>
    <w:rsid w:val="00345F83"/>
    <w:rsid w:val="00345FAC"/>
    <w:rsid w:val="00345FB3"/>
    <w:rsid w:val="00346016"/>
    <w:rsid w:val="00346032"/>
    <w:rsid w:val="003460FB"/>
    <w:rsid w:val="00346110"/>
    <w:rsid w:val="003461AE"/>
    <w:rsid w:val="00346325"/>
    <w:rsid w:val="0034635C"/>
    <w:rsid w:val="00346567"/>
    <w:rsid w:val="00346647"/>
    <w:rsid w:val="00346660"/>
    <w:rsid w:val="00346673"/>
    <w:rsid w:val="00346B02"/>
    <w:rsid w:val="00346C9B"/>
    <w:rsid w:val="00346D36"/>
    <w:rsid w:val="00347333"/>
    <w:rsid w:val="003473FB"/>
    <w:rsid w:val="00347410"/>
    <w:rsid w:val="00347451"/>
    <w:rsid w:val="00347455"/>
    <w:rsid w:val="0034793E"/>
    <w:rsid w:val="00347998"/>
    <w:rsid w:val="00347A2B"/>
    <w:rsid w:val="00347A65"/>
    <w:rsid w:val="00347A7A"/>
    <w:rsid w:val="00347ABE"/>
    <w:rsid w:val="00347AE9"/>
    <w:rsid w:val="00347AF4"/>
    <w:rsid w:val="00347CBA"/>
    <w:rsid w:val="00347D7A"/>
    <w:rsid w:val="00347D8E"/>
    <w:rsid w:val="00347E14"/>
    <w:rsid w:val="00347E5F"/>
    <w:rsid w:val="00347E9F"/>
    <w:rsid w:val="00347F2F"/>
    <w:rsid w:val="00350116"/>
    <w:rsid w:val="00350202"/>
    <w:rsid w:val="00350420"/>
    <w:rsid w:val="003508FE"/>
    <w:rsid w:val="00350A04"/>
    <w:rsid w:val="00350DEF"/>
    <w:rsid w:val="00350F13"/>
    <w:rsid w:val="003512AD"/>
    <w:rsid w:val="00351339"/>
    <w:rsid w:val="003514BB"/>
    <w:rsid w:val="0035163B"/>
    <w:rsid w:val="0035170B"/>
    <w:rsid w:val="00351971"/>
    <w:rsid w:val="00351B6E"/>
    <w:rsid w:val="00351DEE"/>
    <w:rsid w:val="00351F0C"/>
    <w:rsid w:val="00352069"/>
    <w:rsid w:val="00352099"/>
    <w:rsid w:val="003520EE"/>
    <w:rsid w:val="00352411"/>
    <w:rsid w:val="003526A6"/>
    <w:rsid w:val="0035285A"/>
    <w:rsid w:val="00352964"/>
    <w:rsid w:val="003529D6"/>
    <w:rsid w:val="00352A8A"/>
    <w:rsid w:val="00352BEA"/>
    <w:rsid w:val="00352D72"/>
    <w:rsid w:val="00352F9D"/>
    <w:rsid w:val="00353010"/>
    <w:rsid w:val="0035304E"/>
    <w:rsid w:val="003532E9"/>
    <w:rsid w:val="003533AB"/>
    <w:rsid w:val="0035352D"/>
    <w:rsid w:val="00353728"/>
    <w:rsid w:val="003537DA"/>
    <w:rsid w:val="00353993"/>
    <w:rsid w:val="00353B67"/>
    <w:rsid w:val="00353DD1"/>
    <w:rsid w:val="00353DFC"/>
    <w:rsid w:val="00353EBA"/>
    <w:rsid w:val="0035403E"/>
    <w:rsid w:val="003540D0"/>
    <w:rsid w:val="00354107"/>
    <w:rsid w:val="0035428B"/>
    <w:rsid w:val="003543A0"/>
    <w:rsid w:val="0035446F"/>
    <w:rsid w:val="003544F1"/>
    <w:rsid w:val="00354547"/>
    <w:rsid w:val="003546FB"/>
    <w:rsid w:val="00354750"/>
    <w:rsid w:val="0035484E"/>
    <w:rsid w:val="00354AA3"/>
    <w:rsid w:val="00354C40"/>
    <w:rsid w:val="00354D0F"/>
    <w:rsid w:val="00354D62"/>
    <w:rsid w:val="00354D66"/>
    <w:rsid w:val="00354F54"/>
    <w:rsid w:val="00354FB7"/>
    <w:rsid w:val="0035542E"/>
    <w:rsid w:val="003555D4"/>
    <w:rsid w:val="0035564C"/>
    <w:rsid w:val="00355716"/>
    <w:rsid w:val="0035589F"/>
    <w:rsid w:val="00355932"/>
    <w:rsid w:val="0035597B"/>
    <w:rsid w:val="003559F4"/>
    <w:rsid w:val="003559FA"/>
    <w:rsid w:val="00355BB0"/>
    <w:rsid w:val="00355BB3"/>
    <w:rsid w:val="00355E44"/>
    <w:rsid w:val="00355F77"/>
    <w:rsid w:val="00355F97"/>
    <w:rsid w:val="00355FCB"/>
    <w:rsid w:val="003560C8"/>
    <w:rsid w:val="003560E7"/>
    <w:rsid w:val="00356275"/>
    <w:rsid w:val="003563AE"/>
    <w:rsid w:val="00356443"/>
    <w:rsid w:val="0035644B"/>
    <w:rsid w:val="0035647C"/>
    <w:rsid w:val="003565FA"/>
    <w:rsid w:val="00356631"/>
    <w:rsid w:val="00356661"/>
    <w:rsid w:val="0035666A"/>
    <w:rsid w:val="0035673F"/>
    <w:rsid w:val="00356785"/>
    <w:rsid w:val="0035683A"/>
    <w:rsid w:val="00356C64"/>
    <w:rsid w:val="00356C86"/>
    <w:rsid w:val="00356DE0"/>
    <w:rsid w:val="0035700D"/>
    <w:rsid w:val="003570E3"/>
    <w:rsid w:val="003571F2"/>
    <w:rsid w:val="003573D7"/>
    <w:rsid w:val="00357417"/>
    <w:rsid w:val="00357460"/>
    <w:rsid w:val="003575F3"/>
    <w:rsid w:val="0035763C"/>
    <w:rsid w:val="00357A3A"/>
    <w:rsid w:val="00357B98"/>
    <w:rsid w:val="00357BA7"/>
    <w:rsid w:val="00357D27"/>
    <w:rsid w:val="00357E02"/>
    <w:rsid w:val="00357E3D"/>
    <w:rsid w:val="00357EDD"/>
    <w:rsid w:val="00357F2D"/>
    <w:rsid w:val="00360369"/>
    <w:rsid w:val="003603EA"/>
    <w:rsid w:val="00360665"/>
    <w:rsid w:val="003606FB"/>
    <w:rsid w:val="00360868"/>
    <w:rsid w:val="003608E0"/>
    <w:rsid w:val="003609B8"/>
    <w:rsid w:val="00360B23"/>
    <w:rsid w:val="00360BE1"/>
    <w:rsid w:val="00360C0E"/>
    <w:rsid w:val="00360C0F"/>
    <w:rsid w:val="00360EC3"/>
    <w:rsid w:val="00360FE2"/>
    <w:rsid w:val="003610A8"/>
    <w:rsid w:val="00361128"/>
    <w:rsid w:val="00361154"/>
    <w:rsid w:val="00361390"/>
    <w:rsid w:val="00361585"/>
    <w:rsid w:val="00361630"/>
    <w:rsid w:val="003617B5"/>
    <w:rsid w:val="00361924"/>
    <w:rsid w:val="00361B21"/>
    <w:rsid w:val="00361B98"/>
    <w:rsid w:val="00361C38"/>
    <w:rsid w:val="00361C73"/>
    <w:rsid w:val="00361D21"/>
    <w:rsid w:val="00361DA5"/>
    <w:rsid w:val="00361F3B"/>
    <w:rsid w:val="00361F64"/>
    <w:rsid w:val="00361FBE"/>
    <w:rsid w:val="00362032"/>
    <w:rsid w:val="0036203C"/>
    <w:rsid w:val="0036231F"/>
    <w:rsid w:val="0036237C"/>
    <w:rsid w:val="0036266F"/>
    <w:rsid w:val="00362794"/>
    <w:rsid w:val="00362907"/>
    <w:rsid w:val="0036290B"/>
    <w:rsid w:val="0036296A"/>
    <w:rsid w:val="00362A2F"/>
    <w:rsid w:val="00362B7B"/>
    <w:rsid w:val="00362ECC"/>
    <w:rsid w:val="00362EE5"/>
    <w:rsid w:val="00362F1B"/>
    <w:rsid w:val="00363011"/>
    <w:rsid w:val="00363030"/>
    <w:rsid w:val="00363088"/>
    <w:rsid w:val="003632B1"/>
    <w:rsid w:val="00363451"/>
    <w:rsid w:val="00363525"/>
    <w:rsid w:val="003636AA"/>
    <w:rsid w:val="00363AA8"/>
    <w:rsid w:val="00363ADC"/>
    <w:rsid w:val="00363D33"/>
    <w:rsid w:val="00363F7B"/>
    <w:rsid w:val="003640BC"/>
    <w:rsid w:val="0036426D"/>
    <w:rsid w:val="0036431A"/>
    <w:rsid w:val="00364504"/>
    <w:rsid w:val="0036459F"/>
    <w:rsid w:val="003646EB"/>
    <w:rsid w:val="0036474B"/>
    <w:rsid w:val="003648D0"/>
    <w:rsid w:val="003649C1"/>
    <w:rsid w:val="00364A3E"/>
    <w:rsid w:val="00364CAA"/>
    <w:rsid w:val="00364DB3"/>
    <w:rsid w:val="00364E4B"/>
    <w:rsid w:val="00364E5E"/>
    <w:rsid w:val="00364EAA"/>
    <w:rsid w:val="00364EAF"/>
    <w:rsid w:val="003651B1"/>
    <w:rsid w:val="003652E7"/>
    <w:rsid w:val="003652EC"/>
    <w:rsid w:val="00365493"/>
    <w:rsid w:val="00365663"/>
    <w:rsid w:val="003656B0"/>
    <w:rsid w:val="003657A4"/>
    <w:rsid w:val="003657B2"/>
    <w:rsid w:val="00365A02"/>
    <w:rsid w:val="00365BD5"/>
    <w:rsid w:val="00365BD9"/>
    <w:rsid w:val="00365C7E"/>
    <w:rsid w:val="00365CF9"/>
    <w:rsid w:val="00365D26"/>
    <w:rsid w:val="00365DA1"/>
    <w:rsid w:val="00365FEB"/>
    <w:rsid w:val="003660A1"/>
    <w:rsid w:val="00366216"/>
    <w:rsid w:val="0036625A"/>
    <w:rsid w:val="0036636B"/>
    <w:rsid w:val="0036647A"/>
    <w:rsid w:val="003664F5"/>
    <w:rsid w:val="003665AC"/>
    <w:rsid w:val="00366642"/>
    <w:rsid w:val="003667C5"/>
    <w:rsid w:val="0036698B"/>
    <w:rsid w:val="003669D7"/>
    <w:rsid w:val="00366A1C"/>
    <w:rsid w:val="00366B4B"/>
    <w:rsid w:val="00366CE7"/>
    <w:rsid w:val="00366E13"/>
    <w:rsid w:val="00366E5C"/>
    <w:rsid w:val="00366E80"/>
    <w:rsid w:val="00366EFD"/>
    <w:rsid w:val="00366F84"/>
    <w:rsid w:val="0036715E"/>
    <w:rsid w:val="003671B1"/>
    <w:rsid w:val="003671BC"/>
    <w:rsid w:val="00367366"/>
    <w:rsid w:val="00367472"/>
    <w:rsid w:val="003674FD"/>
    <w:rsid w:val="00367594"/>
    <w:rsid w:val="00367741"/>
    <w:rsid w:val="00367C09"/>
    <w:rsid w:val="00367E7A"/>
    <w:rsid w:val="00367F4C"/>
    <w:rsid w:val="00367FB4"/>
    <w:rsid w:val="00370038"/>
    <w:rsid w:val="00370068"/>
    <w:rsid w:val="003700F3"/>
    <w:rsid w:val="00370241"/>
    <w:rsid w:val="0037042B"/>
    <w:rsid w:val="00370536"/>
    <w:rsid w:val="003706C6"/>
    <w:rsid w:val="00370726"/>
    <w:rsid w:val="003708DF"/>
    <w:rsid w:val="003709DF"/>
    <w:rsid w:val="00370C7A"/>
    <w:rsid w:val="00370D39"/>
    <w:rsid w:val="00370D73"/>
    <w:rsid w:val="00370EFF"/>
    <w:rsid w:val="00370FEB"/>
    <w:rsid w:val="0037101C"/>
    <w:rsid w:val="003710A1"/>
    <w:rsid w:val="0037116B"/>
    <w:rsid w:val="003711FC"/>
    <w:rsid w:val="0037129A"/>
    <w:rsid w:val="003715A2"/>
    <w:rsid w:val="0037160E"/>
    <w:rsid w:val="00371721"/>
    <w:rsid w:val="003718A9"/>
    <w:rsid w:val="00371A1A"/>
    <w:rsid w:val="00371B15"/>
    <w:rsid w:val="00371B31"/>
    <w:rsid w:val="00371D3A"/>
    <w:rsid w:val="00372002"/>
    <w:rsid w:val="00372065"/>
    <w:rsid w:val="00372189"/>
    <w:rsid w:val="0037240B"/>
    <w:rsid w:val="0037277C"/>
    <w:rsid w:val="00372886"/>
    <w:rsid w:val="00372BCD"/>
    <w:rsid w:val="00372C9A"/>
    <w:rsid w:val="00372E6B"/>
    <w:rsid w:val="003730F3"/>
    <w:rsid w:val="003731D0"/>
    <w:rsid w:val="00373475"/>
    <w:rsid w:val="003734BD"/>
    <w:rsid w:val="003734BF"/>
    <w:rsid w:val="00373979"/>
    <w:rsid w:val="00373C87"/>
    <w:rsid w:val="00373C8F"/>
    <w:rsid w:val="00373D13"/>
    <w:rsid w:val="00373E80"/>
    <w:rsid w:val="00373F77"/>
    <w:rsid w:val="00373FEB"/>
    <w:rsid w:val="00374159"/>
    <w:rsid w:val="003741D4"/>
    <w:rsid w:val="0037439D"/>
    <w:rsid w:val="0037444C"/>
    <w:rsid w:val="00374A40"/>
    <w:rsid w:val="00374AF6"/>
    <w:rsid w:val="00374CA6"/>
    <w:rsid w:val="00375209"/>
    <w:rsid w:val="003754A2"/>
    <w:rsid w:val="003754EA"/>
    <w:rsid w:val="00375533"/>
    <w:rsid w:val="0037562E"/>
    <w:rsid w:val="00375893"/>
    <w:rsid w:val="00375895"/>
    <w:rsid w:val="00375A3A"/>
    <w:rsid w:val="00375AAF"/>
    <w:rsid w:val="00375D3E"/>
    <w:rsid w:val="00375D72"/>
    <w:rsid w:val="0037610F"/>
    <w:rsid w:val="0037621E"/>
    <w:rsid w:val="0037639D"/>
    <w:rsid w:val="003763B6"/>
    <w:rsid w:val="003767B2"/>
    <w:rsid w:val="00376966"/>
    <w:rsid w:val="00376970"/>
    <w:rsid w:val="003769B7"/>
    <w:rsid w:val="003769F1"/>
    <w:rsid w:val="00376A0E"/>
    <w:rsid w:val="00376A9F"/>
    <w:rsid w:val="00376C35"/>
    <w:rsid w:val="00376D55"/>
    <w:rsid w:val="00376DBD"/>
    <w:rsid w:val="00376FD8"/>
    <w:rsid w:val="00377347"/>
    <w:rsid w:val="00377489"/>
    <w:rsid w:val="0037760D"/>
    <w:rsid w:val="0037761E"/>
    <w:rsid w:val="00377994"/>
    <w:rsid w:val="00377B46"/>
    <w:rsid w:val="00377C5B"/>
    <w:rsid w:val="00377CBB"/>
    <w:rsid w:val="00377D5A"/>
    <w:rsid w:val="00377F59"/>
    <w:rsid w:val="00380088"/>
    <w:rsid w:val="00380294"/>
    <w:rsid w:val="003802E5"/>
    <w:rsid w:val="00380317"/>
    <w:rsid w:val="00380435"/>
    <w:rsid w:val="00380527"/>
    <w:rsid w:val="003805C2"/>
    <w:rsid w:val="003806AF"/>
    <w:rsid w:val="003806F2"/>
    <w:rsid w:val="003808DF"/>
    <w:rsid w:val="00380A90"/>
    <w:rsid w:val="00380B3E"/>
    <w:rsid w:val="00380D52"/>
    <w:rsid w:val="00380D95"/>
    <w:rsid w:val="00380EB7"/>
    <w:rsid w:val="00380ED5"/>
    <w:rsid w:val="00381005"/>
    <w:rsid w:val="0038132E"/>
    <w:rsid w:val="0038138C"/>
    <w:rsid w:val="00381410"/>
    <w:rsid w:val="003815E8"/>
    <w:rsid w:val="00381673"/>
    <w:rsid w:val="0038179F"/>
    <w:rsid w:val="0038190E"/>
    <w:rsid w:val="00381A1C"/>
    <w:rsid w:val="00381A72"/>
    <w:rsid w:val="00381B23"/>
    <w:rsid w:val="00381BEA"/>
    <w:rsid w:val="00381D83"/>
    <w:rsid w:val="00381D87"/>
    <w:rsid w:val="00382210"/>
    <w:rsid w:val="0038233B"/>
    <w:rsid w:val="003823A2"/>
    <w:rsid w:val="00382443"/>
    <w:rsid w:val="003824D6"/>
    <w:rsid w:val="003825A6"/>
    <w:rsid w:val="003825E6"/>
    <w:rsid w:val="00382740"/>
    <w:rsid w:val="0038280B"/>
    <w:rsid w:val="00382871"/>
    <w:rsid w:val="00382B0F"/>
    <w:rsid w:val="00382BC0"/>
    <w:rsid w:val="00382D69"/>
    <w:rsid w:val="00382D8A"/>
    <w:rsid w:val="00382DDE"/>
    <w:rsid w:val="00382E84"/>
    <w:rsid w:val="00382F47"/>
    <w:rsid w:val="00382F9C"/>
    <w:rsid w:val="00383072"/>
    <w:rsid w:val="00383093"/>
    <w:rsid w:val="0038366A"/>
    <w:rsid w:val="00383714"/>
    <w:rsid w:val="00383801"/>
    <w:rsid w:val="00383810"/>
    <w:rsid w:val="003839A0"/>
    <w:rsid w:val="003839A5"/>
    <w:rsid w:val="00383B34"/>
    <w:rsid w:val="00383B7B"/>
    <w:rsid w:val="00383BA5"/>
    <w:rsid w:val="00383BC9"/>
    <w:rsid w:val="00383C63"/>
    <w:rsid w:val="00383DA0"/>
    <w:rsid w:val="00383F24"/>
    <w:rsid w:val="0038414B"/>
    <w:rsid w:val="00384212"/>
    <w:rsid w:val="003844F1"/>
    <w:rsid w:val="00384633"/>
    <w:rsid w:val="00384960"/>
    <w:rsid w:val="003849B3"/>
    <w:rsid w:val="003849ED"/>
    <w:rsid w:val="00384AD8"/>
    <w:rsid w:val="00384BC7"/>
    <w:rsid w:val="00384C73"/>
    <w:rsid w:val="00384C8D"/>
    <w:rsid w:val="00384F95"/>
    <w:rsid w:val="003850D1"/>
    <w:rsid w:val="0038510F"/>
    <w:rsid w:val="003851B0"/>
    <w:rsid w:val="0038528F"/>
    <w:rsid w:val="00385528"/>
    <w:rsid w:val="003859DC"/>
    <w:rsid w:val="00385B35"/>
    <w:rsid w:val="00385BBA"/>
    <w:rsid w:val="00385D2D"/>
    <w:rsid w:val="00385D8D"/>
    <w:rsid w:val="00385E63"/>
    <w:rsid w:val="00385E84"/>
    <w:rsid w:val="00385FCC"/>
    <w:rsid w:val="0038602E"/>
    <w:rsid w:val="0038613C"/>
    <w:rsid w:val="00386203"/>
    <w:rsid w:val="00386222"/>
    <w:rsid w:val="003862B0"/>
    <w:rsid w:val="0038654A"/>
    <w:rsid w:val="0038660A"/>
    <w:rsid w:val="003866BA"/>
    <w:rsid w:val="003868BC"/>
    <w:rsid w:val="00386950"/>
    <w:rsid w:val="0038699A"/>
    <w:rsid w:val="003869AF"/>
    <w:rsid w:val="00386B8E"/>
    <w:rsid w:val="00386C6F"/>
    <w:rsid w:val="00386D20"/>
    <w:rsid w:val="00386DF5"/>
    <w:rsid w:val="0038718B"/>
    <w:rsid w:val="003871EA"/>
    <w:rsid w:val="0038721D"/>
    <w:rsid w:val="003872FD"/>
    <w:rsid w:val="003873F5"/>
    <w:rsid w:val="003874D4"/>
    <w:rsid w:val="003877A1"/>
    <w:rsid w:val="003877FB"/>
    <w:rsid w:val="003878A9"/>
    <w:rsid w:val="00387CB2"/>
    <w:rsid w:val="00387E68"/>
    <w:rsid w:val="00387F5E"/>
    <w:rsid w:val="00387F77"/>
    <w:rsid w:val="0039017B"/>
    <w:rsid w:val="003902C1"/>
    <w:rsid w:val="003906A4"/>
    <w:rsid w:val="003907F7"/>
    <w:rsid w:val="0039099F"/>
    <w:rsid w:val="00390A67"/>
    <w:rsid w:val="00390AB9"/>
    <w:rsid w:val="00390D10"/>
    <w:rsid w:val="00390E01"/>
    <w:rsid w:val="00391274"/>
    <w:rsid w:val="003912F2"/>
    <w:rsid w:val="0039134D"/>
    <w:rsid w:val="0039134F"/>
    <w:rsid w:val="0039148E"/>
    <w:rsid w:val="003914E7"/>
    <w:rsid w:val="00391539"/>
    <w:rsid w:val="003915F3"/>
    <w:rsid w:val="00391803"/>
    <w:rsid w:val="0039196F"/>
    <w:rsid w:val="00391A45"/>
    <w:rsid w:val="00391CB3"/>
    <w:rsid w:val="00391E5B"/>
    <w:rsid w:val="00391E96"/>
    <w:rsid w:val="0039202B"/>
    <w:rsid w:val="00392208"/>
    <w:rsid w:val="0039224D"/>
    <w:rsid w:val="00392261"/>
    <w:rsid w:val="00392288"/>
    <w:rsid w:val="0039230C"/>
    <w:rsid w:val="0039233D"/>
    <w:rsid w:val="00392435"/>
    <w:rsid w:val="00392495"/>
    <w:rsid w:val="0039250B"/>
    <w:rsid w:val="003926E9"/>
    <w:rsid w:val="00392AF7"/>
    <w:rsid w:val="00392BFC"/>
    <w:rsid w:val="00392DAB"/>
    <w:rsid w:val="00392F7F"/>
    <w:rsid w:val="003932A5"/>
    <w:rsid w:val="00393328"/>
    <w:rsid w:val="003933DF"/>
    <w:rsid w:val="00393575"/>
    <w:rsid w:val="003936C0"/>
    <w:rsid w:val="003939F0"/>
    <w:rsid w:val="00393A58"/>
    <w:rsid w:val="00393B0F"/>
    <w:rsid w:val="00393B23"/>
    <w:rsid w:val="00393CD3"/>
    <w:rsid w:val="00393E33"/>
    <w:rsid w:val="00393F65"/>
    <w:rsid w:val="003940E8"/>
    <w:rsid w:val="0039417D"/>
    <w:rsid w:val="00394218"/>
    <w:rsid w:val="003942BC"/>
    <w:rsid w:val="00394631"/>
    <w:rsid w:val="00394645"/>
    <w:rsid w:val="003948AB"/>
    <w:rsid w:val="00394912"/>
    <w:rsid w:val="00394958"/>
    <w:rsid w:val="00394968"/>
    <w:rsid w:val="00394C3D"/>
    <w:rsid w:val="00394CA6"/>
    <w:rsid w:val="00394DD8"/>
    <w:rsid w:val="00394E6A"/>
    <w:rsid w:val="003951E8"/>
    <w:rsid w:val="003952AD"/>
    <w:rsid w:val="003953D5"/>
    <w:rsid w:val="003955BE"/>
    <w:rsid w:val="003955E9"/>
    <w:rsid w:val="0039582A"/>
    <w:rsid w:val="00395A12"/>
    <w:rsid w:val="00395A7D"/>
    <w:rsid w:val="00395AE5"/>
    <w:rsid w:val="00395CCA"/>
    <w:rsid w:val="00395D4C"/>
    <w:rsid w:val="00395D75"/>
    <w:rsid w:val="00395D97"/>
    <w:rsid w:val="00395F74"/>
    <w:rsid w:val="00396043"/>
    <w:rsid w:val="0039609A"/>
    <w:rsid w:val="00396232"/>
    <w:rsid w:val="003962BB"/>
    <w:rsid w:val="0039635D"/>
    <w:rsid w:val="003963B5"/>
    <w:rsid w:val="0039663B"/>
    <w:rsid w:val="003967F5"/>
    <w:rsid w:val="00396828"/>
    <w:rsid w:val="00396830"/>
    <w:rsid w:val="00396A6B"/>
    <w:rsid w:val="00396AE7"/>
    <w:rsid w:val="00396B31"/>
    <w:rsid w:val="00396FF0"/>
    <w:rsid w:val="00397057"/>
    <w:rsid w:val="0039714A"/>
    <w:rsid w:val="00397298"/>
    <w:rsid w:val="00397360"/>
    <w:rsid w:val="00397370"/>
    <w:rsid w:val="0039742B"/>
    <w:rsid w:val="0039749A"/>
    <w:rsid w:val="00397590"/>
    <w:rsid w:val="00397920"/>
    <w:rsid w:val="0039795F"/>
    <w:rsid w:val="00397987"/>
    <w:rsid w:val="00397A23"/>
    <w:rsid w:val="00397D57"/>
    <w:rsid w:val="003A021E"/>
    <w:rsid w:val="003A035A"/>
    <w:rsid w:val="003A041E"/>
    <w:rsid w:val="003A059A"/>
    <w:rsid w:val="003A0651"/>
    <w:rsid w:val="003A08F5"/>
    <w:rsid w:val="003A0A78"/>
    <w:rsid w:val="003A0B88"/>
    <w:rsid w:val="003A0C5F"/>
    <w:rsid w:val="003A0C85"/>
    <w:rsid w:val="003A0CFE"/>
    <w:rsid w:val="003A0D38"/>
    <w:rsid w:val="003A0D74"/>
    <w:rsid w:val="003A0FF1"/>
    <w:rsid w:val="003A1068"/>
    <w:rsid w:val="003A118C"/>
    <w:rsid w:val="003A11B2"/>
    <w:rsid w:val="003A11BB"/>
    <w:rsid w:val="003A12A4"/>
    <w:rsid w:val="003A12B9"/>
    <w:rsid w:val="003A1499"/>
    <w:rsid w:val="003A150B"/>
    <w:rsid w:val="003A1697"/>
    <w:rsid w:val="003A17E6"/>
    <w:rsid w:val="003A185C"/>
    <w:rsid w:val="003A1967"/>
    <w:rsid w:val="003A1C0F"/>
    <w:rsid w:val="003A1C85"/>
    <w:rsid w:val="003A1CC1"/>
    <w:rsid w:val="003A1DEF"/>
    <w:rsid w:val="003A1E5E"/>
    <w:rsid w:val="003A1E61"/>
    <w:rsid w:val="003A1FD2"/>
    <w:rsid w:val="003A2203"/>
    <w:rsid w:val="003A22BA"/>
    <w:rsid w:val="003A23A6"/>
    <w:rsid w:val="003A23B0"/>
    <w:rsid w:val="003A2472"/>
    <w:rsid w:val="003A2494"/>
    <w:rsid w:val="003A24B4"/>
    <w:rsid w:val="003A253B"/>
    <w:rsid w:val="003A25F1"/>
    <w:rsid w:val="003A2639"/>
    <w:rsid w:val="003A263E"/>
    <w:rsid w:val="003A2741"/>
    <w:rsid w:val="003A28D0"/>
    <w:rsid w:val="003A2A38"/>
    <w:rsid w:val="003A2A96"/>
    <w:rsid w:val="003A2C5F"/>
    <w:rsid w:val="003A2CBE"/>
    <w:rsid w:val="003A2CCD"/>
    <w:rsid w:val="003A2D09"/>
    <w:rsid w:val="003A2D46"/>
    <w:rsid w:val="003A2DBA"/>
    <w:rsid w:val="003A2E27"/>
    <w:rsid w:val="003A2FAA"/>
    <w:rsid w:val="003A30FF"/>
    <w:rsid w:val="003A3107"/>
    <w:rsid w:val="003A31CB"/>
    <w:rsid w:val="003A327B"/>
    <w:rsid w:val="003A32CE"/>
    <w:rsid w:val="003A32DC"/>
    <w:rsid w:val="003A32EE"/>
    <w:rsid w:val="003A32FC"/>
    <w:rsid w:val="003A34AD"/>
    <w:rsid w:val="003A3640"/>
    <w:rsid w:val="003A3812"/>
    <w:rsid w:val="003A38D2"/>
    <w:rsid w:val="003A3CB0"/>
    <w:rsid w:val="003A3D1D"/>
    <w:rsid w:val="003A3D98"/>
    <w:rsid w:val="003A3F0D"/>
    <w:rsid w:val="003A3F33"/>
    <w:rsid w:val="003A4092"/>
    <w:rsid w:val="003A417E"/>
    <w:rsid w:val="003A41FA"/>
    <w:rsid w:val="003A4272"/>
    <w:rsid w:val="003A42F0"/>
    <w:rsid w:val="003A4472"/>
    <w:rsid w:val="003A44A3"/>
    <w:rsid w:val="003A44D8"/>
    <w:rsid w:val="003A46B9"/>
    <w:rsid w:val="003A475E"/>
    <w:rsid w:val="003A49A2"/>
    <w:rsid w:val="003A4A0B"/>
    <w:rsid w:val="003A4A19"/>
    <w:rsid w:val="003A4AED"/>
    <w:rsid w:val="003A4BD9"/>
    <w:rsid w:val="003A4FBC"/>
    <w:rsid w:val="003A5134"/>
    <w:rsid w:val="003A520E"/>
    <w:rsid w:val="003A562F"/>
    <w:rsid w:val="003A5652"/>
    <w:rsid w:val="003A575C"/>
    <w:rsid w:val="003A5972"/>
    <w:rsid w:val="003A5A9B"/>
    <w:rsid w:val="003A5AEB"/>
    <w:rsid w:val="003A5B57"/>
    <w:rsid w:val="003A5B7F"/>
    <w:rsid w:val="003A5C0D"/>
    <w:rsid w:val="003A5CA7"/>
    <w:rsid w:val="003A5D07"/>
    <w:rsid w:val="003A5F59"/>
    <w:rsid w:val="003A6119"/>
    <w:rsid w:val="003A61D6"/>
    <w:rsid w:val="003A633A"/>
    <w:rsid w:val="003A63C5"/>
    <w:rsid w:val="003A63FD"/>
    <w:rsid w:val="003A6514"/>
    <w:rsid w:val="003A679B"/>
    <w:rsid w:val="003A67FB"/>
    <w:rsid w:val="003A6885"/>
    <w:rsid w:val="003A68A6"/>
    <w:rsid w:val="003A68DA"/>
    <w:rsid w:val="003A69F0"/>
    <w:rsid w:val="003A6A83"/>
    <w:rsid w:val="003A6B9A"/>
    <w:rsid w:val="003A6BBE"/>
    <w:rsid w:val="003A6D04"/>
    <w:rsid w:val="003A6D1D"/>
    <w:rsid w:val="003A6DA6"/>
    <w:rsid w:val="003A6DD1"/>
    <w:rsid w:val="003A6E7B"/>
    <w:rsid w:val="003A6EC9"/>
    <w:rsid w:val="003A6F3C"/>
    <w:rsid w:val="003A70C8"/>
    <w:rsid w:val="003A72CF"/>
    <w:rsid w:val="003A7335"/>
    <w:rsid w:val="003A746E"/>
    <w:rsid w:val="003A77C2"/>
    <w:rsid w:val="003A7849"/>
    <w:rsid w:val="003A78FF"/>
    <w:rsid w:val="003A793F"/>
    <w:rsid w:val="003A7BA2"/>
    <w:rsid w:val="003A7CDF"/>
    <w:rsid w:val="003A7DB6"/>
    <w:rsid w:val="003A7F66"/>
    <w:rsid w:val="003B0058"/>
    <w:rsid w:val="003B0202"/>
    <w:rsid w:val="003B020D"/>
    <w:rsid w:val="003B0550"/>
    <w:rsid w:val="003B05E1"/>
    <w:rsid w:val="003B07FA"/>
    <w:rsid w:val="003B09E8"/>
    <w:rsid w:val="003B0A30"/>
    <w:rsid w:val="003B0FC5"/>
    <w:rsid w:val="003B1015"/>
    <w:rsid w:val="003B118D"/>
    <w:rsid w:val="003B11E6"/>
    <w:rsid w:val="003B13CA"/>
    <w:rsid w:val="003B16F1"/>
    <w:rsid w:val="003B1722"/>
    <w:rsid w:val="003B1833"/>
    <w:rsid w:val="003B18CF"/>
    <w:rsid w:val="003B19CB"/>
    <w:rsid w:val="003B19F6"/>
    <w:rsid w:val="003B1AE2"/>
    <w:rsid w:val="003B1B0C"/>
    <w:rsid w:val="003B1B74"/>
    <w:rsid w:val="003B1C1E"/>
    <w:rsid w:val="003B1E77"/>
    <w:rsid w:val="003B2015"/>
    <w:rsid w:val="003B204D"/>
    <w:rsid w:val="003B21C9"/>
    <w:rsid w:val="003B23CB"/>
    <w:rsid w:val="003B2456"/>
    <w:rsid w:val="003B2478"/>
    <w:rsid w:val="003B24EB"/>
    <w:rsid w:val="003B2774"/>
    <w:rsid w:val="003B285E"/>
    <w:rsid w:val="003B2CAD"/>
    <w:rsid w:val="003B2D25"/>
    <w:rsid w:val="003B2F1F"/>
    <w:rsid w:val="003B3116"/>
    <w:rsid w:val="003B3266"/>
    <w:rsid w:val="003B32AD"/>
    <w:rsid w:val="003B32D7"/>
    <w:rsid w:val="003B3358"/>
    <w:rsid w:val="003B3515"/>
    <w:rsid w:val="003B356D"/>
    <w:rsid w:val="003B3927"/>
    <w:rsid w:val="003B3ACD"/>
    <w:rsid w:val="003B3BD5"/>
    <w:rsid w:val="003B3C42"/>
    <w:rsid w:val="003B3C48"/>
    <w:rsid w:val="003B3E6F"/>
    <w:rsid w:val="003B3EC4"/>
    <w:rsid w:val="003B44D4"/>
    <w:rsid w:val="003B4603"/>
    <w:rsid w:val="003B46EE"/>
    <w:rsid w:val="003B4922"/>
    <w:rsid w:val="003B49C9"/>
    <w:rsid w:val="003B4A38"/>
    <w:rsid w:val="003B4BAD"/>
    <w:rsid w:val="003B4CCE"/>
    <w:rsid w:val="003B4CFE"/>
    <w:rsid w:val="003B4D90"/>
    <w:rsid w:val="003B4E45"/>
    <w:rsid w:val="003B5171"/>
    <w:rsid w:val="003B518B"/>
    <w:rsid w:val="003B547C"/>
    <w:rsid w:val="003B58B1"/>
    <w:rsid w:val="003B5A33"/>
    <w:rsid w:val="003B5BA2"/>
    <w:rsid w:val="003B5BC6"/>
    <w:rsid w:val="003B5BEB"/>
    <w:rsid w:val="003B5D3D"/>
    <w:rsid w:val="003B5F4D"/>
    <w:rsid w:val="003B5F8E"/>
    <w:rsid w:val="003B6040"/>
    <w:rsid w:val="003B6533"/>
    <w:rsid w:val="003B686D"/>
    <w:rsid w:val="003B69A6"/>
    <w:rsid w:val="003B6A1A"/>
    <w:rsid w:val="003B6A6B"/>
    <w:rsid w:val="003B6CC7"/>
    <w:rsid w:val="003B6D31"/>
    <w:rsid w:val="003B6DA0"/>
    <w:rsid w:val="003B6E16"/>
    <w:rsid w:val="003B6E46"/>
    <w:rsid w:val="003B6EFC"/>
    <w:rsid w:val="003B6F1F"/>
    <w:rsid w:val="003B6F24"/>
    <w:rsid w:val="003B6F47"/>
    <w:rsid w:val="003B6F70"/>
    <w:rsid w:val="003B6FDD"/>
    <w:rsid w:val="003B7042"/>
    <w:rsid w:val="003B7067"/>
    <w:rsid w:val="003B7223"/>
    <w:rsid w:val="003B73C4"/>
    <w:rsid w:val="003B76D2"/>
    <w:rsid w:val="003B7710"/>
    <w:rsid w:val="003B7BD7"/>
    <w:rsid w:val="003B7DA1"/>
    <w:rsid w:val="003B7E4D"/>
    <w:rsid w:val="003B7E6E"/>
    <w:rsid w:val="003B7E70"/>
    <w:rsid w:val="003B7EC0"/>
    <w:rsid w:val="003C0223"/>
    <w:rsid w:val="003C0703"/>
    <w:rsid w:val="003C077A"/>
    <w:rsid w:val="003C079B"/>
    <w:rsid w:val="003C07B1"/>
    <w:rsid w:val="003C07BC"/>
    <w:rsid w:val="003C08E6"/>
    <w:rsid w:val="003C0AED"/>
    <w:rsid w:val="003C0B3C"/>
    <w:rsid w:val="003C0D88"/>
    <w:rsid w:val="003C0E81"/>
    <w:rsid w:val="003C0F9C"/>
    <w:rsid w:val="003C1079"/>
    <w:rsid w:val="003C11A8"/>
    <w:rsid w:val="003C12C7"/>
    <w:rsid w:val="003C1371"/>
    <w:rsid w:val="003C145C"/>
    <w:rsid w:val="003C1549"/>
    <w:rsid w:val="003C16F7"/>
    <w:rsid w:val="003C172B"/>
    <w:rsid w:val="003C1776"/>
    <w:rsid w:val="003C17CF"/>
    <w:rsid w:val="003C18A6"/>
    <w:rsid w:val="003C18AB"/>
    <w:rsid w:val="003C1932"/>
    <w:rsid w:val="003C19B1"/>
    <w:rsid w:val="003C1C1C"/>
    <w:rsid w:val="003C2182"/>
    <w:rsid w:val="003C260C"/>
    <w:rsid w:val="003C26E4"/>
    <w:rsid w:val="003C2856"/>
    <w:rsid w:val="003C2961"/>
    <w:rsid w:val="003C2B72"/>
    <w:rsid w:val="003C2BB1"/>
    <w:rsid w:val="003C2C61"/>
    <w:rsid w:val="003C2F00"/>
    <w:rsid w:val="003C2F49"/>
    <w:rsid w:val="003C2FFE"/>
    <w:rsid w:val="003C301B"/>
    <w:rsid w:val="003C30E7"/>
    <w:rsid w:val="003C30FA"/>
    <w:rsid w:val="003C3231"/>
    <w:rsid w:val="003C34A7"/>
    <w:rsid w:val="003C34E8"/>
    <w:rsid w:val="003C3681"/>
    <w:rsid w:val="003C381C"/>
    <w:rsid w:val="003C39C7"/>
    <w:rsid w:val="003C3BE6"/>
    <w:rsid w:val="003C3CC8"/>
    <w:rsid w:val="003C3D5E"/>
    <w:rsid w:val="003C3E66"/>
    <w:rsid w:val="003C4036"/>
    <w:rsid w:val="003C41EF"/>
    <w:rsid w:val="003C4317"/>
    <w:rsid w:val="003C43D1"/>
    <w:rsid w:val="003C441C"/>
    <w:rsid w:val="003C45BF"/>
    <w:rsid w:val="003C48E5"/>
    <w:rsid w:val="003C4AEC"/>
    <w:rsid w:val="003C4B53"/>
    <w:rsid w:val="003C4BD1"/>
    <w:rsid w:val="003C4C3F"/>
    <w:rsid w:val="003C4CDB"/>
    <w:rsid w:val="003C5016"/>
    <w:rsid w:val="003C5218"/>
    <w:rsid w:val="003C5334"/>
    <w:rsid w:val="003C53BE"/>
    <w:rsid w:val="003C5413"/>
    <w:rsid w:val="003C5799"/>
    <w:rsid w:val="003C5872"/>
    <w:rsid w:val="003C5A15"/>
    <w:rsid w:val="003C5A81"/>
    <w:rsid w:val="003C5AB3"/>
    <w:rsid w:val="003C5D3D"/>
    <w:rsid w:val="003C5E19"/>
    <w:rsid w:val="003C5E44"/>
    <w:rsid w:val="003C6080"/>
    <w:rsid w:val="003C6083"/>
    <w:rsid w:val="003C60D5"/>
    <w:rsid w:val="003C614F"/>
    <w:rsid w:val="003C6247"/>
    <w:rsid w:val="003C6488"/>
    <w:rsid w:val="003C657A"/>
    <w:rsid w:val="003C6627"/>
    <w:rsid w:val="003C6678"/>
    <w:rsid w:val="003C66D4"/>
    <w:rsid w:val="003C66EC"/>
    <w:rsid w:val="003C6730"/>
    <w:rsid w:val="003C68C6"/>
    <w:rsid w:val="003C69C7"/>
    <w:rsid w:val="003C6A15"/>
    <w:rsid w:val="003C6BB6"/>
    <w:rsid w:val="003C6DFB"/>
    <w:rsid w:val="003C7025"/>
    <w:rsid w:val="003C7178"/>
    <w:rsid w:val="003C7443"/>
    <w:rsid w:val="003C74EC"/>
    <w:rsid w:val="003C74F2"/>
    <w:rsid w:val="003C75FD"/>
    <w:rsid w:val="003C7613"/>
    <w:rsid w:val="003C776C"/>
    <w:rsid w:val="003C7926"/>
    <w:rsid w:val="003C795E"/>
    <w:rsid w:val="003D0009"/>
    <w:rsid w:val="003D01B9"/>
    <w:rsid w:val="003D02D5"/>
    <w:rsid w:val="003D030C"/>
    <w:rsid w:val="003D03AC"/>
    <w:rsid w:val="003D043B"/>
    <w:rsid w:val="003D0525"/>
    <w:rsid w:val="003D07E6"/>
    <w:rsid w:val="003D0931"/>
    <w:rsid w:val="003D0AEA"/>
    <w:rsid w:val="003D0CD0"/>
    <w:rsid w:val="003D0DF6"/>
    <w:rsid w:val="003D1042"/>
    <w:rsid w:val="003D1127"/>
    <w:rsid w:val="003D1175"/>
    <w:rsid w:val="003D119C"/>
    <w:rsid w:val="003D1208"/>
    <w:rsid w:val="003D13BA"/>
    <w:rsid w:val="003D1478"/>
    <w:rsid w:val="003D165B"/>
    <w:rsid w:val="003D16B2"/>
    <w:rsid w:val="003D1783"/>
    <w:rsid w:val="003D1907"/>
    <w:rsid w:val="003D19F8"/>
    <w:rsid w:val="003D1A0A"/>
    <w:rsid w:val="003D1A15"/>
    <w:rsid w:val="003D1B84"/>
    <w:rsid w:val="003D1CB1"/>
    <w:rsid w:val="003D1DFA"/>
    <w:rsid w:val="003D2237"/>
    <w:rsid w:val="003D23D2"/>
    <w:rsid w:val="003D24D1"/>
    <w:rsid w:val="003D255A"/>
    <w:rsid w:val="003D2937"/>
    <w:rsid w:val="003D2AF6"/>
    <w:rsid w:val="003D2BA0"/>
    <w:rsid w:val="003D3107"/>
    <w:rsid w:val="003D32E7"/>
    <w:rsid w:val="003D3442"/>
    <w:rsid w:val="003D35A0"/>
    <w:rsid w:val="003D3657"/>
    <w:rsid w:val="003D3745"/>
    <w:rsid w:val="003D37BA"/>
    <w:rsid w:val="003D37C7"/>
    <w:rsid w:val="003D3CA3"/>
    <w:rsid w:val="003D3D2C"/>
    <w:rsid w:val="003D3D55"/>
    <w:rsid w:val="003D3D5B"/>
    <w:rsid w:val="003D3DB2"/>
    <w:rsid w:val="003D3FCD"/>
    <w:rsid w:val="003D417D"/>
    <w:rsid w:val="003D419D"/>
    <w:rsid w:val="003D462A"/>
    <w:rsid w:val="003D479B"/>
    <w:rsid w:val="003D4825"/>
    <w:rsid w:val="003D493D"/>
    <w:rsid w:val="003D49CE"/>
    <w:rsid w:val="003D4C1C"/>
    <w:rsid w:val="003D4D9B"/>
    <w:rsid w:val="003D4E6F"/>
    <w:rsid w:val="003D4F13"/>
    <w:rsid w:val="003D5067"/>
    <w:rsid w:val="003D5076"/>
    <w:rsid w:val="003D52B7"/>
    <w:rsid w:val="003D5443"/>
    <w:rsid w:val="003D5536"/>
    <w:rsid w:val="003D5648"/>
    <w:rsid w:val="003D572A"/>
    <w:rsid w:val="003D5779"/>
    <w:rsid w:val="003D57AD"/>
    <w:rsid w:val="003D592B"/>
    <w:rsid w:val="003D5A8E"/>
    <w:rsid w:val="003D5C74"/>
    <w:rsid w:val="003D5D51"/>
    <w:rsid w:val="003D5DB4"/>
    <w:rsid w:val="003D5E5E"/>
    <w:rsid w:val="003D623A"/>
    <w:rsid w:val="003D6278"/>
    <w:rsid w:val="003D62A1"/>
    <w:rsid w:val="003D62CD"/>
    <w:rsid w:val="003D64B1"/>
    <w:rsid w:val="003D6677"/>
    <w:rsid w:val="003D6754"/>
    <w:rsid w:val="003D69A2"/>
    <w:rsid w:val="003D6B02"/>
    <w:rsid w:val="003D6D48"/>
    <w:rsid w:val="003D6D4C"/>
    <w:rsid w:val="003D6FBB"/>
    <w:rsid w:val="003D70DD"/>
    <w:rsid w:val="003D71A3"/>
    <w:rsid w:val="003D732D"/>
    <w:rsid w:val="003D73E1"/>
    <w:rsid w:val="003D7837"/>
    <w:rsid w:val="003D7854"/>
    <w:rsid w:val="003D7931"/>
    <w:rsid w:val="003D799D"/>
    <w:rsid w:val="003D79E1"/>
    <w:rsid w:val="003D79FB"/>
    <w:rsid w:val="003D7C4B"/>
    <w:rsid w:val="003D7CF8"/>
    <w:rsid w:val="003D7D72"/>
    <w:rsid w:val="003D7E55"/>
    <w:rsid w:val="003D7E6C"/>
    <w:rsid w:val="003D7E70"/>
    <w:rsid w:val="003D7F42"/>
    <w:rsid w:val="003E0071"/>
    <w:rsid w:val="003E0141"/>
    <w:rsid w:val="003E01C7"/>
    <w:rsid w:val="003E0292"/>
    <w:rsid w:val="003E0346"/>
    <w:rsid w:val="003E0377"/>
    <w:rsid w:val="003E041F"/>
    <w:rsid w:val="003E0483"/>
    <w:rsid w:val="003E0603"/>
    <w:rsid w:val="003E0605"/>
    <w:rsid w:val="003E060B"/>
    <w:rsid w:val="003E0611"/>
    <w:rsid w:val="003E06D0"/>
    <w:rsid w:val="003E06DD"/>
    <w:rsid w:val="003E08CE"/>
    <w:rsid w:val="003E0EA3"/>
    <w:rsid w:val="003E10A5"/>
    <w:rsid w:val="003E113B"/>
    <w:rsid w:val="003E1239"/>
    <w:rsid w:val="003E1251"/>
    <w:rsid w:val="003E12E2"/>
    <w:rsid w:val="003E13A3"/>
    <w:rsid w:val="003E141A"/>
    <w:rsid w:val="003E14B0"/>
    <w:rsid w:val="003E14B7"/>
    <w:rsid w:val="003E15F2"/>
    <w:rsid w:val="003E15FB"/>
    <w:rsid w:val="003E177B"/>
    <w:rsid w:val="003E1792"/>
    <w:rsid w:val="003E1878"/>
    <w:rsid w:val="003E191A"/>
    <w:rsid w:val="003E1974"/>
    <w:rsid w:val="003E19C9"/>
    <w:rsid w:val="003E1A68"/>
    <w:rsid w:val="003E1BA0"/>
    <w:rsid w:val="003E1BA4"/>
    <w:rsid w:val="003E2027"/>
    <w:rsid w:val="003E21F3"/>
    <w:rsid w:val="003E2375"/>
    <w:rsid w:val="003E23B9"/>
    <w:rsid w:val="003E25BF"/>
    <w:rsid w:val="003E2622"/>
    <w:rsid w:val="003E26A8"/>
    <w:rsid w:val="003E26E7"/>
    <w:rsid w:val="003E27F1"/>
    <w:rsid w:val="003E28DC"/>
    <w:rsid w:val="003E2992"/>
    <w:rsid w:val="003E2B5D"/>
    <w:rsid w:val="003E2BA3"/>
    <w:rsid w:val="003E2E93"/>
    <w:rsid w:val="003E306C"/>
    <w:rsid w:val="003E30FE"/>
    <w:rsid w:val="003E31B6"/>
    <w:rsid w:val="003E3238"/>
    <w:rsid w:val="003E32FF"/>
    <w:rsid w:val="003E3401"/>
    <w:rsid w:val="003E35A5"/>
    <w:rsid w:val="003E362C"/>
    <w:rsid w:val="003E3D30"/>
    <w:rsid w:val="003E426F"/>
    <w:rsid w:val="003E4431"/>
    <w:rsid w:val="003E44D6"/>
    <w:rsid w:val="003E46A0"/>
    <w:rsid w:val="003E4875"/>
    <w:rsid w:val="003E4904"/>
    <w:rsid w:val="003E4A0E"/>
    <w:rsid w:val="003E4D0F"/>
    <w:rsid w:val="003E4DF8"/>
    <w:rsid w:val="003E4E41"/>
    <w:rsid w:val="003E4EE9"/>
    <w:rsid w:val="003E503C"/>
    <w:rsid w:val="003E505E"/>
    <w:rsid w:val="003E5133"/>
    <w:rsid w:val="003E55CB"/>
    <w:rsid w:val="003E575B"/>
    <w:rsid w:val="003E59CE"/>
    <w:rsid w:val="003E5B0A"/>
    <w:rsid w:val="003E5BA6"/>
    <w:rsid w:val="003E5C83"/>
    <w:rsid w:val="003E5D18"/>
    <w:rsid w:val="003E5D61"/>
    <w:rsid w:val="003E5D72"/>
    <w:rsid w:val="003E5D9F"/>
    <w:rsid w:val="003E5E1D"/>
    <w:rsid w:val="003E5E7A"/>
    <w:rsid w:val="003E5EC3"/>
    <w:rsid w:val="003E5F3F"/>
    <w:rsid w:val="003E5FA6"/>
    <w:rsid w:val="003E5FD0"/>
    <w:rsid w:val="003E6045"/>
    <w:rsid w:val="003E6142"/>
    <w:rsid w:val="003E615D"/>
    <w:rsid w:val="003E6467"/>
    <w:rsid w:val="003E6491"/>
    <w:rsid w:val="003E6577"/>
    <w:rsid w:val="003E6755"/>
    <w:rsid w:val="003E6811"/>
    <w:rsid w:val="003E685F"/>
    <w:rsid w:val="003E6ABD"/>
    <w:rsid w:val="003E6AF1"/>
    <w:rsid w:val="003E6D08"/>
    <w:rsid w:val="003E6DD9"/>
    <w:rsid w:val="003E6E7C"/>
    <w:rsid w:val="003E6EB2"/>
    <w:rsid w:val="003E6FC9"/>
    <w:rsid w:val="003E7117"/>
    <w:rsid w:val="003E7265"/>
    <w:rsid w:val="003E72B5"/>
    <w:rsid w:val="003E72DD"/>
    <w:rsid w:val="003E73E7"/>
    <w:rsid w:val="003E74BD"/>
    <w:rsid w:val="003E7659"/>
    <w:rsid w:val="003E76BA"/>
    <w:rsid w:val="003E7A11"/>
    <w:rsid w:val="003E7C9B"/>
    <w:rsid w:val="003E7D85"/>
    <w:rsid w:val="003E7E41"/>
    <w:rsid w:val="003E7FDC"/>
    <w:rsid w:val="003F00E9"/>
    <w:rsid w:val="003F0385"/>
    <w:rsid w:val="003F051D"/>
    <w:rsid w:val="003F0616"/>
    <w:rsid w:val="003F0645"/>
    <w:rsid w:val="003F0700"/>
    <w:rsid w:val="003F071A"/>
    <w:rsid w:val="003F0721"/>
    <w:rsid w:val="003F077C"/>
    <w:rsid w:val="003F089D"/>
    <w:rsid w:val="003F0A17"/>
    <w:rsid w:val="003F0B86"/>
    <w:rsid w:val="003F0C40"/>
    <w:rsid w:val="003F0E4B"/>
    <w:rsid w:val="003F0ED4"/>
    <w:rsid w:val="003F10D7"/>
    <w:rsid w:val="003F10E9"/>
    <w:rsid w:val="003F1212"/>
    <w:rsid w:val="003F12F9"/>
    <w:rsid w:val="003F13A5"/>
    <w:rsid w:val="003F14C6"/>
    <w:rsid w:val="003F1518"/>
    <w:rsid w:val="003F153B"/>
    <w:rsid w:val="003F161C"/>
    <w:rsid w:val="003F182E"/>
    <w:rsid w:val="003F183B"/>
    <w:rsid w:val="003F1A52"/>
    <w:rsid w:val="003F1B4B"/>
    <w:rsid w:val="003F1D67"/>
    <w:rsid w:val="003F1E7A"/>
    <w:rsid w:val="003F1F2D"/>
    <w:rsid w:val="003F1F8D"/>
    <w:rsid w:val="003F1FBD"/>
    <w:rsid w:val="003F2038"/>
    <w:rsid w:val="003F2067"/>
    <w:rsid w:val="003F224F"/>
    <w:rsid w:val="003F260B"/>
    <w:rsid w:val="003F2A12"/>
    <w:rsid w:val="003F307A"/>
    <w:rsid w:val="003F317D"/>
    <w:rsid w:val="003F33EE"/>
    <w:rsid w:val="003F3478"/>
    <w:rsid w:val="003F34B3"/>
    <w:rsid w:val="003F35A4"/>
    <w:rsid w:val="003F35D5"/>
    <w:rsid w:val="003F36E0"/>
    <w:rsid w:val="003F39E8"/>
    <w:rsid w:val="003F39EF"/>
    <w:rsid w:val="003F3A86"/>
    <w:rsid w:val="003F3EBE"/>
    <w:rsid w:val="003F3ECE"/>
    <w:rsid w:val="003F3EE5"/>
    <w:rsid w:val="003F4118"/>
    <w:rsid w:val="003F42C5"/>
    <w:rsid w:val="003F4301"/>
    <w:rsid w:val="003F43A0"/>
    <w:rsid w:val="003F4437"/>
    <w:rsid w:val="003F447E"/>
    <w:rsid w:val="003F4581"/>
    <w:rsid w:val="003F45B4"/>
    <w:rsid w:val="003F4735"/>
    <w:rsid w:val="003F47BA"/>
    <w:rsid w:val="003F4847"/>
    <w:rsid w:val="003F48CC"/>
    <w:rsid w:val="003F4B68"/>
    <w:rsid w:val="003F4CF2"/>
    <w:rsid w:val="003F4D96"/>
    <w:rsid w:val="003F4F38"/>
    <w:rsid w:val="003F5098"/>
    <w:rsid w:val="003F533F"/>
    <w:rsid w:val="003F5399"/>
    <w:rsid w:val="003F53A8"/>
    <w:rsid w:val="003F5477"/>
    <w:rsid w:val="003F5508"/>
    <w:rsid w:val="003F5540"/>
    <w:rsid w:val="003F5702"/>
    <w:rsid w:val="003F5752"/>
    <w:rsid w:val="003F57A4"/>
    <w:rsid w:val="003F57F3"/>
    <w:rsid w:val="003F5807"/>
    <w:rsid w:val="003F5932"/>
    <w:rsid w:val="003F5BD3"/>
    <w:rsid w:val="003F5C14"/>
    <w:rsid w:val="003F5C23"/>
    <w:rsid w:val="003F5EC2"/>
    <w:rsid w:val="003F5F12"/>
    <w:rsid w:val="003F619E"/>
    <w:rsid w:val="003F63F0"/>
    <w:rsid w:val="003F645F"/>
    <w:rsid w:val="003F65F8"/>
    <w:rsid w:val="003F6690"/>
    <w:rsid w:val="003F68BD"/>
    <w:rsid w:val="003F69F9"/>
    <w:rsid w:val="003F6B6D"/>
    <w:rsid w:val="003F6D2E"/>
    <w:rsid w:val="003F70CA"/>
    <w:rsid w:val="003F72B2"/>
    <w:rsid w:val="003F74BC"/>
    <w:rsid w:val="003F75F6"/>
    <w:rsid w:val="003F77B6"/>
    <w:rsid w:val="003F77C6"/>
    <w:rsid w:val="003F784C"/>
    <w:rsid w:val="003F7A04"/>
    <w:rsid w:val="003F7A77"/>
    <w:rsid w:val="003F7B6C"/>
    <w:rsid w:val="003F7BF3"/>
    <w:rsid w:val="003F7CA0"/>
    <w:rsid w:val="003F7D9C"/>
    <w:rsid w:val="003F7F30"/>
    <w:rsid w:val="003FFF73"/>
    <w:rsid w:val="00400158"/>
    <w:rsid w:val="00400203"/>
    <w:rsid w:val="00400221"/>
    <w:rsid w:val="0040022D"/>
    <w:rsid w:val="00400470"/>
    <w:rsid w:val="0040052E"/>
    <w:rsid w:val="0040057C"/>
    <w:rsid w:val="00400635"/>
    <w:rsid w:val="00400790"/>
    <w:rsid w:val="004007F5"/>
    <w:rsid w:val="00400ACA"/>
    <w:rsid w:val="00400CA7"/>
    <w:rsid w:val="00400E24"/>
    <w:rsid w:val="00400F30"/>
    <w:rsid w:val="00400FB3"/>
    <w:rsid w:val="00401108"/>
    <w:rsid w:val="004011F8"/>
    <w:rsid w:val="004012B8"/>
    <w:rsid w:val="004012DD"/>
    <w:rsid w:val="004014DB"/>
    <w:rsid w:val="004015AE"/>
    <w:rsid w:val="00401603"/>
    <w:rsid w:val="00401682"/>
    <w:rsid w:val="004016A3"/>
    <w:rsid w:val="00401759"/>
    <w:rsid w:val="00401842"/>
    <w:rsid w:val="00401876"/>
    <w:rsid w:val="004018FE"/>
    <w:rsid w:val="00401BBD"/>
    <w:rsid w:val="00401BC9"/>
    <w:rsid w:val="00401D50"/>
    <w:rsid w:val="00401DD3"/>
    <w:rsid w:val="00401F27"/>
    <w:rsid w:val="00401F72"/>
    <w:rsid w:val="00401FAB"/>
    <w:rsid w:val="004020AA"/>
    <w:rsid w:val="00402189"/>
    <w:rsid w:val="004021E5"/>
    <w:rsid w:val="0040228F"/>
    <w:rsid w:val="004024CC"/>
    <w:rsid w:val="0040257D"/>
    <w:rsid w:val="004026C0"/>
    <w:rsid w:val="00402859"/>
    <w:rsid w:val="00402916"/>
    <w:rsid w:val="0040297C"/>
    <w:rsid w:val="00402A31"/>
    <w:rsid w:val="00402A3B"/>
    <w:rsid w:val="00402C14"/>
    <w:rsid w:val="00402DBE"/>
    <w:rsid w:val="004030C8"/>
    <w:rsid w:val="00403206"/>
    <w:rsid w:val="00403338"/>
    <w:rsid w:val="00403ADB"/>
    <w:rsid w:val="00403AEB"/>
    <w:rsid w:val="00404144"/>
    <w:rsid w:val="0040419F"/>
    <w:rsid w:val="00404386"/>
    <w:rsid w:val="00404389"/>
    <w:rsid w:val="004043C4"/>
    <w:rsid w:val="00404538"/>
    <w:rsid w:val="00404AD9"/>
    <w:rsid w:val="00404B14"/>
    <w:rsid w:val="00404B3C"/>
    <w:rsid w:val="00404B8B"/>
    <w:rsid w:val="00404BDD"/>
    <w:rsid w:val="00404D1C"/>
    <w:rsid w:val="00404D33"/>
    <w:rsid w:val="00404E3A"/>
    <w:rsid w:val="00404FD2"/>
    <w:rsid w:val="00405016"/>
    <w:rsid w:val="00405077"/>
    <w:rsid w:val="004050FD"/>
    <w:rsid w:val="004051BA"/>
    <w:rsid w:val="00405263"/>
    <w:rsid w:val="00405882"/>
    <w:rsid w:val="004058D5"/>
    <w:rsid w:val="00405E06"/>
    <w:rsid w:val="00405EB8"/>
    <w:rsid w:val="00405F87"/>
    <w:rsid w:val="00405FD7"/>
    <w:rsid w:val="00406022"/>
    <w:rsid w:val="004061B3"/>
    <w:rsid w:val="004061EC"/>
    <w:rsid w:val="00406384"/>
    <w:rsid w:val="00406476"/>
    <w:rsid w:val="0040650F"/>
    <w:rsid w:val="00406582"/>
    <w:rsid w:val="00406623"/>
    <w:rsid w:val="004066E9"/>
    <w:rsid w:val="00406BD7"/>
    <w:rsid w:val="00406BF4"/>
    <w:rsid w:val="00406DF8"/>
    <w:rsid w:val="00406ED3"/>
    <w:rsid w:val="00406F4F"/>
    <w:rsid w:val="0040710D"/>
    <w:rsid w:val="00407364"/>
    <w:rsid w:val="0040747E"/>
    <w:rsid w:val="00407680"/>
    <w:rsid w:val="0040777F"/>
    <w:rsid w:val="00407783"/>
    <w:rsid w:val="00407932"/>
    <w:rsid w:val="00407A5B"/>
    <w:rsid w:val="00407BAB"/>
    <w:rsid w:val="00407C40"/>
    <w:rsid w:val="00407CC4"/>
    <w:rsid w:val="00407CD4"/>
    <w:rsid w:val="00407D33"/>
    <w:rsid w:val="00407DBB"/>
    <w:rsid w:val="00407E91"/>
    <w:rsid w:val="00407F19"/>
    <w:rsid w:val="00410014"/>
    <w:rsid w:val="00410323"/>
    <w:rsid w:val="00410510"/>
    <w:rsid w:val="00410631"/>
    <w:rsid w:val="0041070A"/>
    <w:rsid w:val="00410795"/>
    <w:rsid w:val="00410825"/>
    <w:rsid w:val="004108D8"/>
    <w:rsid w:val="00410BE8"/>
    <w:rsid w:val="00410DE0"/>
    <w:rsid w:val="00410E22"/>
    <w:rsid w:val="0041115F"/>
    <w:rsid w:val="0041158E"/>
    <w:rsid w:val="00411689"/>
    <w:rsid w:val="004116DD"/>
    <w:rsid w:val="0041199F"/>
    <w:rsid w:val="00411AD7"/>
    <w:rsid w:val="00411C79"/>
    <w:rsid w:val="00411DBD"/>
    <w:rsid w:val="00411F27"/>
    <w:rsid w:val="004120C5"/>
    <w:rsid w:val="004122D5"/>
    <w:rsid w:val="00412322"/>
    <w:rsid w:val="004124FE"/>
    <w:rsid w:val="00412568"/>
    <w:rsid w:val="004125C2"/>
    <w:rsid w:val="004125F3"/>
    <w:rsid w:val="0041273A"/>
    <w:rsid w:val="0041290B"/>
    <w:rsid w:val="00412918"/>
    <w:rsid w:val="00412940"/>
    <w:rsid w:val="00412976"/>
    <w:rsid w:val="00412B45"/>
    <w:rsid w:val="00412C14"/>
    <w:rsid w:val="00412C1E"/>
    <w:rsid w:val="00412E9F"/>
    <w:rsid w:val="00413000"/>
    <w:rsid w:val="0041307D"/>
    <w:rsid w:val="00413473"/>
    <w:rsid w:val="004134C9"/>
    <w:rsid w:val="0041358C"/>
    <w:rsid w:val="004135DE"/>
    <w:rsid w:val="004135F7"/>
    <w:rsid w:val="00413905"/>
    <w:rsid w:val="0041390C"/>
    <w:rsid w:val="00413951"/>
    <w:rsid w:val="00413991"/>
    <w:rsid w:val="00413999"/>
    <w:rsid w:val="00413C8E"/>
    <w:rsid w:val="00413CE9"/>
    <w:rsid w:val="00413D99"/>
    <w:rsid w:val="00413DE1"/>
    <w:rsid w:val="00413E09"/>
    <w:rsid w:val="004143E6"/>
    <w:rsid w:val="00414481"/>
    <w:rsid w:val="0041470F"/>
    <w:rsid w:val="00414733"/>
    <w:rsid w:val="00414876"/>
    <w:rsid w:val="004148C0"/>
    <w:rsid w:val="00414A8C"/>
    <w:rsid w:val="00414B89"/>
    <w:rsid w:val="00414BAC"/>
    <w:rsid w:val="00414E3E"/>
    <w:rsid w:val="00414F6C"/>
    <w:rsid w:val="0041519D"/>
    <w:rsid w:val="004151E6"/>
    <w:rsid w:val="00415426"/>
    <w:rsid w:val="0041546E"/>
    <w:rsid w:val="004154D9"/>
    <w:rsid w:val="004156FD"/>
    <w:rsid w:val="004157FF"/>
    <w:rsid w:val="00415945"/>
    <w:rsid w:val="00415AFC"/>
    <w:rsid w:val="00415B4F"/>
    <w:rsid w:val="00415CD2"/>
    <w:rsid w:val="00415D1C"/>
    <w:rsid w:val="00415D38"/>
    <w:rsid w:val="00415DB8"/>
    <w:rsid w:val="00415FB8"/>
    <w:rsid w:val="00416087"/>
    <w:rsid w:val="004161E2"/>
    <w:rsid w:val="00416227"/>
    <w:rsid w:val="00416374"/>
    <w:rsid w:val="004163F2"/>
    <w:rsid w:val="0041655B"/>
    <w:rsid w:val="0041664B"/>
    <w:rsid w:val="0041671B"/>
    <w:rsid w:val="00416815"/>
    <w:rsid w:val="00416A60"/>
    <w:rsid w:val="00416C54"/>
    <w:rsid w:val="00416CBA"/>
    <w:rsid w:val="00416CCD"/>
    <w:rsid w:val="00416DE4"/>
    <w:rsid w:val="00416ED5"/>
    <w:rsid w:val="00416FD9"/>
    <w:rsid w:val="00417666"/>
    <w:rsid w:val="004178C9"/>
    <w:rsid w:val="004179D5"/>
    <w:rsid w:val="004179D9"/>
    <w:rsid w:val="00417AF6"/>
    <w:rsid w:val="00417C77"/>
    <w:rsid w:val="00417CEA"/>
    <w:rsid w:val="00417D00"/>
    <w:rsid w:val="00417EC6"/>
    <w:rsid w:val="00420105"/>
    <w:rsid w:val="004201C4"/>
    <w:rsid w:val="004202B4"/>
    <w:rsid w:val="004206D8"/>
    <w:rsid w:val="00420803"/>
    <w:rsid w:val="0042083F"/>
    <w:rsid w:val="00420966"/>
    <w:rsid w:val="004209EF"/>
    <w:rsid w:val="00420DBB"/>
    <w:rsid w:val="00420DE2"/>
    <w:rsid w:val="00420E00"/>
    <w:rsid w:val="00420E88"/>
    <w:rsid w:val="004210D2"/>
    <w:rsid w:val="00421146"/>
    <w:rsid w:val="004211FB"/>
    <w:rsid w:val="004212DA"/>
    <w:rsid w:val="0042144E"/>
    <w:rsid w:val="004214B6"/>
    <w:rsid w:val="0042159F"/>
    <w:rsid w:val="004217A6"/>
    <w:rsid w:val="00421899"/>
    <w:rsid w:val="00421B23"/>
    <w:rsid w:val="00421D4C"/>
    <w:rsid w:val="00421E83"/>
    <w:rsid w:val="00421F12"/>
    <w:rsid w:val="00421FE9"/>
    <w:rsid w:val="0042211D"/>
    <w:rsid w:val="00422182"/>
    <w:rsid w:val="0042228E"/>
    <w:rsid w:val="004222A7"/>
    <w:rsid w:val="00422483"/>
    <w:rsid w:val="0042275B"/>
    <w:rsid w:val="0042286E"/>
    <w:rsid w:val="00422959"/>
    <w:rsid w:val="00422AF4"/>
    <w:rsid w:val="0042308B"/>
    <w:rsid w:val="004230C0"/>
    <w:rsid w:val="00423324"/>
    <w:rsid w:val="00423342"/>
    <w:rsid w:val="00423367"/>
    <w:rsid w:val="004233CF"/>
    <w:rsid w:val="0042344A"/>
    <w:rsid w:val="0042351B"/>
    <w:rsid w:val="004238DB"/>
    <w:rsid w:val="00423907"/>
    <w:rsid w:val="00423973"/>
    <w:rsid w:val="004239DE"/>
    <w:rsid w:val="00423C8C"/>
    <w:rsid w:val="00423D2A"/>
    <w:rsid w:val="00423D3F"/>
    <w:rsid w:val="00423E20"/>
    <w:rsid w:val="00423F37"/>
    <w:rsid w:val="00424022"/>
    <w:rsid w:val="004242CA"/>
    <w:rsid w:val="004242CD"/>
    <w:rsid w:val="0042443D"/>
    <w:rsid w:val="00424477"/>
    <w:rsid w:val="0042460C"/>
    <w:rsid w:val="00424666"/>
    <w:rsid w:val="00424867"/>
    <w:rsid w:val="00424997"/>
    <w:rsid w:val="004249CE"/>
    <w:rsid w:val="00424A68"/>
    <w:rsid w:val="00424B7D"/>
    <w:rsid w:val="00424BBE"/>
    <w:rsid w:val="00424DC9"/>
    <w:rsid w:val="00424E67"/>
    <w:rsid w:val="00424FBB"/>
    <w:rsid w:val="00425072"/>
    <w:rsid w:val="00425123"/>
    <w:rsid w:val="00425218"/>
    <w:rsid w:val="00425509"/>
    <w:rsid w:val="00425546"/>
    <w:rsid w:val="004255D3"/>
    <w:rsid w:val="00425640"/>
    <w:rsid w:val="0042578C"/>
    <w:rsid w:val="00425841"/>
    <w:rsid w:val="0042594F"/>
    <w:rsid w:val="00425B9F"/>
    <w:rsid w:val="00425D74"/>
    <w:rsid w:val="00425E13"/>
    <w:rsid w:val="00425EC3"/>
    <w:rsid w:val="004261AA"/>
    <w:rsid w:val="00426490"/>
    <w:rsid w:val="004266F5"/>
    <w:rsid w:val="004266FF"/>
    <w:rsid w:val="0042674B"/>
    <w:rsid w:val="004267F5"/>
    <w:rsid w:val="0042681E"/>
    <w:rsid w:val="0042694D"/>
    <w:rsid w:val="00426E32"/>
    <w:rsid w:val="00426E97"/>
    <w:rsid w:val="004270B5"/>
    <w:rsid w:val="0042710F"/>
    <w:rsid w:val="00427252"/>
    <w:rsid w:val="004272DA"/>
    <w:rsid w:val="00427360"/>
    <w:rsid w:val="0042748F"/>
    <w:rsid w:val="004275DA"/>
    <w:rsid w:val="00427626"/>
    <w:rsid w:val="004278B6"/>
    <w:rsid w:val="0042796D"/>
    <w:rsid w:val="004279AC"/>
    <w:rsid w:val="00427A83"/>
    <w:rsid w:val="00427ABC"/>
    <w:rsid w:val="00427E31"/>
    <w:rsid w:val="00427F99"/>
    <w:rsid w:val="0043004B"/>
    <w:rsid w:val="00430082"/>
    <w:rsid w:val="004302D1"/>
    <w:rsid w:val="0043039B"/>
    <w:rsid w:val="004303C5"/>
    <w:rsid w:val="00430477"/>
    <w:rsid w:val="004305A3"/>
    <w:rsid w:val="004305F2"/>
    <w:rsid w:val="00430671"/>
    <w:rsid w:val="0043098C"/>
    <w:rsid w:val="00430A2A"/>
    <w:rsid w:val="00430A94"/>
    <w:rsid w:val="00430AB9"/>
    <w:rsid w:val="00430C79"/>
    <w:rsid w:val="00430E32"/>
    <w:rsid w:val="00431061"/>
    <w:rsid w:val="00431697"/>
    <w:rsid w:val="00431845"/>
    <w:rsid w:val="00431995"/>
    <w:rsid w:val="00431A7D"/>
    <w:rsid w:val="00431AAB"/>
    <w:rsid w:val="00431B6C"/>
    <w:rsid w:val="00431D18"/>
    <w:rsid w:val="00431D6E"/>
    <w:rsid w:val="00431E03"/>
    <w:rsid w:val="00431EC0"/>
    <w:rsid w:val="00431EE5"/>
    <w:rsid w:val="00432090"/>
    <w:rsid w:val="00432101"/>
    <w:rsid w:val="00432168"/>
    <w:rsid w:val="00432576"/>
    <w:rsid w:val="00432899"/>
    <w:rsid w:val="004328BD"/>
    <w:rsid w:val="004329DE"/>
    <w:rsid w:val="00432A6B"/>
    <w:rsid w:val="00432A7B"/>
    <w:rsid w:val="00432A7C"/>
    <w:rsid w:val="00432DBC"/>
    <w:rsid w:val="00432E60"/>
    <w:rsid w:val="00432EDF"/>
    <w:rsid w:val="00432EF3"/>
    <w:rsid w:val="0043305C"/>
    <w:rsid w:val="004330AC"/>
    <w:rsid w:val="00433330"/>
    <w:rsid w:val="00433415"/>
    <w:rsid w:val="004334DA"/>
    <w:rsid w:val="00433567"/>
    <w:rsid w:val="004335A5"/>
    <w:rsid w:val="0043366C"/>
    <w:rsid w:val="00433858"/>
    <w:rsid w:val="004338F1"/>
    <w:rsid w:val="00433955"/>
    <w:rsid w:val="00433968"/>
    <w:rsid w:val="00433A1C"/>
    <w:rsid w:val="00433D19"/>
    <w:rsid w:val="004340D1"/>
    <w:rsid w:val="0043448C"/>
    <w:rsid w:val="004344BD"/>
    <w:rsid w:val="0043459C"/>
    <w:rsid w:val="004347DD"/>
    <w:rsid w:val="00434BD1"/>
    <w:rsid w:val="00434C22"/>
    <w:rsid w:val="00434C4B"/>
    <w:rsid w:val="00434CE1"/>
    <w:rsid w:val="00435232"/>
    <w:rsid w:val="004352E1"/>
    <w:rsid w:val="004353D4"/>
    <w:rsid w:val="004355EC"/>
    <w:rsid w:val="00435935"/>
    <w:rsid w:val="00435AA4"/>
    <w:rsid w:val="00435B56"/>
    <w:rsid w:val="00435C1F"/>
    <w:rsid w:val="00435CC4"/>
    <w:rsid w:val="00435E3B"/>
    <w:rsid w:val="00435EA1"/>
    <w:rsid w:val="0043601F"/>
    <w:rsid w:val="00436245"/>
    <w:rsid w:val="004363EA"/>
    <w:rsid w:val="00436464"/>
    <w:rsid w:val="0043677D"/>
    <w:rsid w:val="00436808"/>
    <w:rsid w:val="0043683F"/>
    <w:rsid w:val="00436855"/>
    <w:rsid w:val="00436989"/>
    <w:rsid w:val="004369D8"/>
    <w:rsid w:val="00436C30"/>
    <w:rsid w:val="00436DD9"/>
    <w:rsid w:val="00436E17"/>
    <w:rsid w:val="00437093"/>
    <w:rsid w:val="004370D6"/>
    <w:rsid w:val="004372AC"/>
    <w:rsid w:val="0043738B"/>
    <w:rsid w:val="00437507"/>
    <w:rsid w:val="0043751A"/>
    <w:rsid w:val="00437526"/>
    <w:rsid w:val="004377BB"/>
    <w:rsid w:val="00437889"/>
    <w:rsid w:val="0043793F"/>
    <w:rsid w:val="00437A7A"/>
    <w:rsid w:val="00437BA3"/>
    <w:rsid w:val="00437C99"/>
    <w:rsid w:val="00437E70"/>
    <w:rsid w:val="00437EA5"/>
    <w:rsid w:val="004400C4"/>
    <w:rsid w:val="004401A1"/>
    <w:rsid w:val="004401E1"/>
    <w:rsid w:val="004401ED"/>
    <w:rsid w:val="00440260"/>
    <w:rsid w:val="004402D9"/>
    <w:rsid w:val="004402ED"/>
    <w:rsid w:val="00440400"/>
    <w:rsid w:val="0044041B"/>
    <w:rsid w:val="004404DF"/>
    <w:rsid w:val="00440686"/>
    <w:rsid w:val="004406AE"/>
    <w:rsid w:val="0044073E"/>
    <w:rsid w:val="00440840"/>
    <w:rsid w:val="00440853"/>
    <w:rsid w:val="0044095E"/>
    <w:rsid w:val="00440985"/>
    <w:rsid w:val="004409E0"/>
    <w:rsid w:val="00440B62"/>
    <w:rsid w:val="00440F5E"/>
    <w:rsid w:val="004411CD"/>
    <w:rsid w:val="0044129B"/>
    <w:rsid w:val="0044147A"/>
    <w:rsid w:val="00441496"/>
    <w:rsid w:val="004416D8"/>
    <w:rsid w:val="00441AA0"/>
    <w:rsid w:val="00442130"/>
    <w:rsid w:val="00442318"/>
    <w:rsid w:val="0044242A"/>
    <w:rsid w:val="004425E2"/>
    <w:rsid w:val="00442798"/>
    <w:rsid w:val="00442938"/>
    <w:rsid w:val="00442B67"/>
    <w:rsid w:val="00442C18"/>
    <w:rsid w:val="00442C7C"/>
    <w:rsid w:val="00442C83"/>
    <w:rsid w:val="00442DB0"/>
    <w:rsid w:val="00442E4A"/>
    <w:rsid w:val="00442E86"/>
    <w:rsid w:val="00442F95"/>
    <w:rsid w:val="00443015"/>
    <w:rsid w:val="004430F9"/>
    <w:rsid w:val="00443271"/>
    <w:rsid w:val="00443320"/>
    <w:rsid w:val="0044335B"/>
    <w:rsid w:val="00443458"/>
    <w:rsid w:val="004434E0"/>
    <w:rsid w:val="004435C9"/>
    <w:rsid w:val="004436DE"/>
    <w:rsid w:val="004438D2"/>
    <w:rsid w:val="00443ACA"/>
    <w:rsid w:val="00443CCE"/>
    <w:rsid w:val="0044403F"/>
    <w:rsid w:val="004440A6"/>
    <w:rsid w:val="004440E3"/>
    <w:rsid w:val="00444118"/>
    <w:rsid w:val="00444152"/>
    <w:rsid w:val="00444210"/>
    <w:rsid w:val="004443F4"/>
    <w:rsid w:val="004444D0"/>
    <w:rsid w:val="00444559"/>
    <w:rsid w:val="0044458A"/>
    <w:rsid w:val="00444597"/>
    <w:rsid w:val="004446D4"/>
    <w:rsid w:val="004448BA"/>
    <w:rsid w:val="004448DC"/>
    <w:rsid w:val="00444ABD"/>
    <w:rsid w:val="00444BF6"/>
    <w:rsid w:val="00444D2C"/>
    <w:rsid w:val="00444F83"/>
    <w:rsid w:val="004450F8"/>
    <w:rsid w:val="0044517E"/>
    <w:rsid w:val="004452F6"/>
    <w:rsid w:val="0044533C"/>
    <w:rsid w:val="0044556A"/>
    <w:rsid w:val="00445576"/>
    <w:rsid w:val="0044576E"/>
    <w:rsid w:val="0044585C"/>
    <w:rsid w:val="004458A7"/>
    <w:rsid w:val="00445BDC"/>
    <w:rsid w:val="00445DE9"/>
    <w:rsid w:val="00445EEA"/>
    <w:rsid w:val="00445F50"/>
    <w:rsid w:val="004460F4"/>
    <w:rsid w:val="0044611F"/>
    <w:rsid w:val="0044621C"/>
    <w:rsid w:val="00446231"/>
    <w:rsid w:val="00446271"/>
    <w:rsid w:val="004463EE"/>
    <w:rsid w:val="00446437"/>
    <w:rsid w:val="00446565"/>
    <w:rsid w:val="00446567"/>
    <w:rsid w:val="004469E0"/>
    <w:rsid w:val="00446A57"/>
    <w:rsid w:val="00446B12"/>
    <w:rsid w:val="00446B80"/>
    <w:rsid w:val="00446C19"/>
    <w:rsid w:val="00446F3D"/>
    <w:rsid w:val="004472CA"/>
    <w:rsid w:val="00447426"/>
    <w:rsid w:val="0044744C"/>
    <w:rsid w:val="00447456"/>
    <w:rsid w:val="0044756D"/>
    <w:rsid w:val="00447607"/>
    <w:rsid w:val="0044772E"/>
    <w:rsid w:val="004478BC"/>
    <w:rsid w:val="004478F6"/>
    <w:rsid w:val="00447B8B"/>
    <w:rsid w:val="00447C80"/>
    <w:rsid w:val="0045048C"/>
    <w:rsid w:val="004508C8"/>
    <w:rsid w:val="004509E0"/>
    <w:rsid w:val="00450A77"/>
    <w:rsid w:val="00450DE0"/>
    <w:rsid w:val="00450F8D"/>
    <w:rsid w:val="004510CD"/>
    <w:rsid w:val="0045124E"/>
    <w:rsid w:val="004512B6"/>
    <w:rsid w:val="0045136D"/>
    <w:rsid w:val="0045146C"/>
    <w:rsid w:val="004514B8"/>
    <w:rsid w:val="00451517"/>
    <w:rsid w:val="0045163F"/>
    <w:rsid w:val="0045199F"/>
    <w:rsid w:val="004519D4"/>
    <w:rsid w:val="00451A02"/>
    <w:rsid w:val="00451A47"/>
    <w:rsid w:val="00451AAB"/>
    <w:rsid w:val="00451AAD"/>
    <w:rsid w:val="00451B40"/>
    <w:rsid w:val="00451BFF"/>
    <w:rsid w:val="00451C42"/>
    <w:rsid w:val="00451D84"/>
    <w:rsid w:val="00451DC2"/>
    <w:rsid w:val="00452093"/>
    <w:rsid w:val="004520C6"/>
    <w:rsid w:val="00452381"/>
    <w:rsid w:val="004523B9"/>
    <w:rsid w:val="00452879"/>
    <w:rsid w:val="004528B2"/>
    <w:rsid w:val="00452A1B"/>
    <w:rsid w:val="00452A35"/>
    <w:rsid w:val="00452BB2"/>
    <w:rsid w:val="00452F48"/>
    <w:rsid w:val="00452F9C"/>
    <w:rsid w:val="00452FBA"/>
    <w:rsid w:val="00452FFB"/>
    <w:rsid w:val="00453227"/>
    <w:rsid w:val="0045369B"/>
    <w:rsid w:val="0045375E"/>
    <w:rsid w:val="00453794"/>
    <w:rsid w:val="004537C4"/>
    <w:rsid w:val="00453828"/>
    <w:rsid w:val="0045389C"/>
    <w:rsid w:val="004539B1"/>
    <w:rsid w:val="00453C8A"/>
    <w:rsid w:val="00453CBF"/>
    <w:rsid w:val="0045410B"/>
    <w:rsid w:val="00454364"/>
    <w:rsid w:val="0045436E"/>
    <w:rsid w:val="0045443E"/>
    <w:rsid w:val="004545D9"/>
    <w:rsid w:val="00454728"/>
    <w:rsid w:val="00454738"/>
    <w:rsid w:val="00454AB2"/>
    <w:rsid w:val="00454B66"/>
    <w:rsid w:val="00454C73"/>
    <w:rsid w:val="00454D97"/>
    <w:rsid w:val="00454DBE"/>
    <w:rsid w:val="00454F78"/>
    <w:rsid w:val="0045503C"/>
    <w:rsid w:val="00455058"/>
    <w:rsid w:val="004553F0"/>
    <w:rsid w:val="004554F7"/>
    <w:rsid w:val="00455991"/>
    <w:rsid w:val="00455C16"/>
    <w:rsid w:val="00455C20"/>
    <w:rsid w:val="00455CB8"/>
    <w:rsid w:val="00455DBE"/>
    <w:rsid w:val="004560B0"/>
    <w:rsid w:val="004561DF"/>
    <w:rsid w:val="00456442"/>
    <w:rsid w:val="00456444"/>
    <w:rsid w:val="0045645B"/>
    <w:rsid w:val="004564AA"/>
    <w:rsid w:val="00456812"/>
    <w:rsid w:val="004568B0"/>
    <w:rsid w:val="004568E4"/>
    <w:rsid w:val="00456942"/>
    <w:rsid w:val="00456945"/>
    <w:rsid w:val="004569A9"/>
    <w:rsid w:val="004569AB"/>
    <w:rsid w:val="00456DB9"/>
    <w:rsid w:val="004570E3"/>
    <w:rsid w:val="0045714E"/>
    <w:rsid w:val="00457237"/>
    <w:rsid w:val="00457474"/>
    <w:rsid w:val="0045749A"/>
    <w:rsid w:val="00457573"/>
    <w:rsid w:val="00457690"/>
    <w:rsid w:val="004576A3"/>
    <w:rsid w:val="00457778"/>
    <w:rsid w:val="0045777E"/>
    <w:rsid w:val="004579FC"/>
    <w:rsid w:val="00457A01"/>
    <w:rsid w:val="00457C43"/>
    <w:rsid w:val="00457D9C"/>
    <w:rsid w:val="00457F91"/>
    <w:rsid w:val="0045D8C2"/>
    <w:rsid w:val="0046007A"/>
    <w:rsid w:val="0046009A"/>
    <w:rsid w:val="0046009D"/>
    <w:rsid w:val="004600D3"/>
    <w:rsid w:val="00460156"/>
    <w:rsid w:val="00460172"/>
    <w:rsid w:val="0046027C"/>
    <w:rsid w:val="004602C9"/>
    <w:rsid w:val="004603A1"/>
    <w:rsid w:val="004604B1"/>
    <w:rsid w:val="004605A8"/>
    <w:rsid w:val="00460664"/>
    <w:rsid w:val="004607D2"/>
    <w:rsid w:val="0046083A"/>
    <w:rsid w:val="00460971"/>
    <w:rsid w:val="00460982"/>
    <w:rsid w:val="004609B4"/>
    <w:rsid w:val="00460ADE"/>
    <w:rsid w:val="00460F08"/>
    <w:rsid w:val="00460F11"/>
    <w:rsid w:val="00460F7D"/>
    <w:rsid w:val="0046101F"/>
    <w:rsid w:val="0046110D"/>
    <w:rsid w:val="0046113C"/>
    <w:rsid w:val="0046133E"/>
    <w:rsid w:val="004613A8"/>
    <w:rsid w:val="004618BE"/>
    <w:rsid w:val="00461939"/>
    <w:rsid w:val="004619AC"/>
    <w:rsid w:val="004619CF"/>
    <w:rsid w:val="00461A1C"/>
    <w:rsid w:val="00461A78"/>
    <w:rsid w:val="00461FE8"/>
    <w:rsid w:val="00462039"/>
    <w:rsid w:val="0046229D"/>
    <w:rsid w:val="004622B9"/>
    <w:rsid w:val="00462365"/>
    <w:rsid w:val="0046236C"/>
    <w:rsid w:val="00462435"/>
    <w:rsid w:val="004624E4"/>
    <w:rsid w:val="004625A1"/>
    <w:rsid w:val="0046268E"/>
    <w:rsid w:val="0046279C"/>
    <w:rsid w:val="00462926"/>
    <w:rsid w:val="004629A1"/>
    <w:rsid w:val="00462C8A"/>
    <w:rsid w:val="00462CCB"/>
    <w:rsid w:val="00462D24"/>
    <w:rsid w:val="00462D27"/>
    <w:rsid w:val="00462DC8"/>
    <w:rsid w:val="00462E27"/>
    <w:rsid w:val="00462FC7"/>
    <w:rsid w:val="00462FC9"/>
    <w:rsid w:val="00463093"/>
    <w:rsid w:val="00463282"/>
    <w:rsid w:val="00463302"/>
    <w:rsid w:val="00463393"/>
    <w:rsid w:val="00463402"/>
    <w:rsid w:val="00463405"/>
    <w:rsid w:val="00463539"/>
    <w:rsid w:val="00463642"/>
    <w:rsid w:val="004636C9"/>
    <w:rsid w:val="004636CD"/>
    <w:rsid w:val="00463907"/>
    <w:rsid w:val="00463ABE"/>
    <w:rsid w:val="00463C63"/>
    <w:rsid w:val="00463FA7"/>
    <w:rsid w:val="00464383"/>
    <w:rsid w:val="004644BE"/>
    <w:rsid w:val="00464509"/>
    <w:rsid w:val="0046463F"/>
    <w:rsid w:val="00464750"/>
    <w:rsid w:val="00464877"/>
    <w:rsid w:val="0046490D"/>
    <w:rsid w:val="00464936"/>
    <w:rsid w:val="0046493E"/>
    <w:rsid w:val="00464A82"/>
    <w:rsid w:val="00464AF7"/>
    <w:rsid w:val="00464B6A"/>
    <w:rsid w:val="00464DD2"/>
    <w:rsid w:val="00464DE5"/>
    <w:rsid w:val="00465018"/>
    <w:rsid w:val="00465038"/>
    <w:rsid w:val="0046507E"/>
    <w:rsid w:val="0046531E"/>
    <w:rsid w:val="0046538A"/>
    <w:rsid w:val="0046553F"/>
    <w:rsid w:val="00465665"/>
    <w:rsid w:val="0046573A"/>
    <w:rsid w:val="00465752"/>
    <w:rsid w:val="004657F9"/>
    <w:rsid w:val="004658A9"/>
    <w:rsid w:val="00465926"/>
    <w:rsid w:val="00465AC6"/>
    <w:rsid w:val="00465B19"/>
    <w:rsid w:val="00465C7D"/>
    <w:rsid w:val="00465FA7"/>
    <w:rsid w:val="00466262"/>
    <w:rsid w:val="004663DD"/>
    <w:rsid w:val="0046650E"/>
    <w:rsid w:val="00466514"/>
    <w:rsid w:val="004665C8"/>
    <w:rsid w:val="004667EA"/>
    <w:rsid w:val="00466940"/>
    <w:rsid w:val="00466B39"/>
    <w:rsid w:val="00466B5B"/>
    <w:rsid w:val="00466D4E"/>
    <w:rsid w:val="00466D79"/>
    <w:rsid w:val="00467152"/>
    <w:rsid w:val="00467477"/>
    <w:rsid w:val="00467948"/>
    <w:rsid w:val="00467AEC"/>
    <w:rsid w:val="00467C57"/>
    <w:rsid w:val="00467F99"/>
    <w:rsid w:val="00467FF2"/>
    <w:rsid w:val="004704C8"/>
    <w:rsid w:val="004704CB"/>
    <w:rsid w:val="00470825"/>
    <w:rsid w:val="00470930"/>
    <w:rsid w:val="00470968"/>
    <w:rsid w:val="00470988"/>
    <w:rsid w:val="00470EB5"/>
    <w:rsid w:val="00470EC4"/>
    <w:rsid w:val="00470F4C"/>
    <w:rsid w:val="0047106A"/>
    <w:rsid w:val="00471147"/>
    <w:rsid w:val="004711DE"/>
    <w:rsid w:val="004713D8"/>
    <w:rsid w:val="00471503"/>
    <w:rsid w:val="004715F2"/>
    <w:rsid w:val="00471625"/>
    <w:rsid w:val="00471675"/>
    <w:rsid w:val="00471781"/>
    <w:rsid w:val="004719B3"/>
    <w:rsid w:val="00471ACC"/>
    <w:rsid w:val="00471B14"/>
    <w:rsid w:val="00471B77"/>
    <w:rsid w:val="00471BBD"/>
    <w:rsid w:val="00471E0F"/>
    <w:rsid w:val="00471E5B"/>
    <w:rsid w:val="00471F2E"/>
    <w:rsid w:val="0047217F"/>
    <w:rsid w:val="00472329"/>
    <w:rsid w:val="004726BF"/>
    <w:rsid w:val="00472842"/>
    <w:rsid w:val="00472C0A"/>
    <w:rsid w:val="00472D70"/>
    <w:rsid w:val="00472DAC"/>
    <w:rsid w:val="00472E0F"/>
    <w:rsid w:val="00472E41"/>
    <w:rsid w:val="00472E97"/>
    <w:rsid w:val="00472EF9"/>
    <w:rsid w:val="00473059"/>
    <w:rsid w:val="0047305B"/>
    <w:rsid w:val="004730C9"/>
    <w:rsid w:val="00473135"/>
    <w:rsid w:val="0047366E"/>
    <w:rsid w:val="004736EA"/>
    <w:rsid w:val="00473824"/>
    <w:rsid w:val="00473C3B"/>
    <w:rsid w:val="00473C69"/>
    <w:rsid w:val="00473CDE"/>
    <w:rsid w:val="00473ECA"/>
    <w:rsid w:val="00474017"/>
    <w:rsid w:val="0047402C"/>
    <w:rsid w:val="00474031"/>
    <w:rsid w:val="00474157"/>
    <w:rsid w:val="0047423B"/>
    <w:rsid w:val="00474602"/>
    <w:rsid w:val="0047460A"/>
    <w:rsid w:val="00474ADE"/>
    <w:rsid w:val="00474DA3"/>
    <w:rsid w:val="00474EE5"/>
    <w:rsid w:val="00474F11"/>
    <w:rsid w:val="00474F85"/>
    <w:rsid w:val="004751BE"/>
    <w:rsid w:val="004753EB"/>
    <w:rsid w:val="0047561F"/>
    <w:rsid w:val="0047571E"/>
    <w:rsid w:val="004757D2"/>
    <w:rsid w:val="00475829"/>
    <w:rsid w:val="004758C5"/>
    <w:rsid w:val="004759B2"/>
    <w:rsid w:val="00475C88"/>
    <w:rsid w:val="00475D76"/>
    <w:rsid w:val="00475DF4"/>
    <w:rsid w:val="00475E73"/>
    <w:rsid w:val="00475ECD"/>
    <w:rsid w:val="00475EF1"/>
    <w:rsid w:val="00475FC8"/>
    <w:rsid w:val="00475FD7"/>
    <w:rsid w:val="004760BE"/>
    <w:rsid w:val="004761E2"/>
    <w:rsid w:val="00476258"/>
    <w:rsid w:val="004763E9"/>
    <w:rsid w:val="0047670F"/>
    <w:rsid w:val="00476757"/>
    <w:rsid w:val="00476804"/>
    <w:rsid w:val="00476827"/>
    <w:rsid w:val="00476B5E"/>
    <w:rsid w:val="00476BCD"/>
    <w:rsid w:val="00476C13"/>
    <w:rsid w:val="00476D57"/>
    <w:rsid w:val="00476F57"/>
    <w:rsid w:val="00476F80"/>
    <w:rsid w:val="00476F91"/>
    <w:rsid w:val="0047710D"/>
    <w:rsid w:val="00477145"/>
    <w:rsid w:val="00477260"/>
    <w:rsid w:val="00477288"/>
    <w:rsid w:val="0047757F"/>
    <w:rsid w:val="0047760C"/>
    <w:rsid w:val="0047784F"/>
    <w:rsid w:val="00477995"/>
    <w:rsid w:val="00477A26"/>
    <w:rsid w:val="00477BD3"/>
    <w:rsid w:val="00480240"/>
    <w:rsid w:val="0048047F"/>
    <w:rsid w:val="004805E1"/>
    <w:rsid w:val="00480886"/>
    <w:rsid w:val="00480B69"/>
    <w:rsid w:val="00480B9F"/>
    <w:rsid w:val="00480C29"/>
    <w:rsid w:val="00481055"/>
    <w:rsid w:val="00481059"/>
    <w:rsid w:val="004810C1"/>
    <w:rsid w:val="004810DD"/>
    <w:rsid w:val="00481197"/>
    <w:rsid w:val="004811E2"/>
    <w:rsid w:val="0048127F"/>
    <w:rsid w:val="004817BA"/>
    <w:rsid w:val="004817ED"/>
    <w:rsid w:val="0048182A"/>
    <w:rsid w:val="0048185E"/>
    <w:rsid w:val="0048197F"/>
    <w:rsid w:val="00481BE4"/>
    <w:rsid w:val="00481C2F"/>
    <w:rsid w:val="00481E32"/>
    <w:rsid w:val="00481E5A"/>
    <w:rsid w:val="004822C8"/>
    <w:rsid w:val="004823AD"/>
    <w:rsid w:val="004823E8"/>
    <w:rsid w:val="004824B0"/>
    <w:rsid w:val="004824E4"/>
    <w:rsid w:val="00482599"/>
    <w:rsid w:val="004825BE"/>
    <w:rsid w:val="00482710"/>
    <w:rsid w:val="00482791"/>
    <w:rsid w:val="004828A5"/>
    <w:rsid w:val="004828F9"/>
    <w:rsid w:val="004829CE"/>
    <w:rsid w:val="00482DF5"/>
    <w:rsid w:val="00482DF9"/>
    <w:rsid w:val="00482EA8"/>
    <w:rsid w:val="00482F16"/>
    <w:rsid w:val="00482FDE"/>
    <w:rsid w:val="0048300D"/>
    <w:rsid w:val="00483159"/>
    <w:rsid w:val="004832DE"/>
    <w:rsid w:val="004833B5"/>
    <w:rsid w:val="004834C6"/>
    <w:rsid w:val="004834DE"/>
    <w:rsid w:val="00483933"/>
    <w:rsid w:val="00483B5A"/>
    <w:rsid w:val="00483CC1"/>
    <w:rsid w:val="00483EF2"/>
    <w:rsid w:val="00483F95"/>
    <w:rsid w:val="00483FA5"/>
    <w:rsid w:val="0048408C"/>
    <w:rsid w:val="0048419F"/>
    <w:rsid w:val="004844A3"/>
    <w:rsid w:val="0048453B"/>
    <w:rsid w:val="004845C4"/>
    <w:rsid w:val="00484624"/>
    <w:rsid w:val="0048468C"/>
    <w:rsid w:val="00484757"/>
    <w:rsid w:val="00484DF8"/>
    <w:rsid w:val="00484FB0"/>
    <w:rsid w:val="00485005"/>
    <w:rsid w:val="00485042"/>
    <w:rsid w:val="00485111"/>
    <w:rsid w:val="0048521B"/>
    <w:rsid w:val="004852C7"/>
    <w:rsid w:val="00485671"/>
    <w:rsid w:val="00485678"/>
    <w:rsid w:val="00485975"/>
    <w:rsid w:val="00485A68"/>
    <w:rsid w:val="00485B80"/>
    <w:rsid w:val="00485DCE"/>
    <w:rsid w:val="00485DDC"/>
    <w:rsid w:val="004861C6"/>
    <w:rsid w:val="00486208"/>
    <w:rsid w:val="004864C3"/>
    <w:rsid w:val="00486578"/>
    <w:rsid w:val="004866F0"/>
    <w:rsid w:val="00486745"/>
    <w:rsid w:val="00486756"/>
    <w:rsid w:val="004868FE"/>
    <w:rsid w:val="00486AD8"/>
    <w:rsid w:val="00486B50"/>
    <w:rsid w:val="00486B85"/>
    <w:rsid w:val="00486C71"/>
    <w:rsid w:val="00486E0B"/>
    <w:rsid w:val="00486E61"/>
    <w:rsid w:val="00486E88"/>
    <w:rsid w:val="00486EA2"/>
    <w:rsid w:val="00486F90"/>
    <w:rsid w:val="00487121"/>
    <w:rsid w:val="00487411"/>
    <w:rsid w:val="004874A1"/>
    <w:rsid w:val="00487553"/>
    <w:rsid w:val="00487566"/>
    <w:rsid w:val="004875B2"/>
    <w:rsid w:val="00487626"/>
    <w:rsid w:val="004876E2"/>
    <w:rsid w:val="00487949"/>
    <w:rsid w:val="00487A07"/>
    <w:rsid w:val="00487E11"/>
    <w:rsid w:val="00490071"/>
    <w:rsid w:val="00490076"/>
    <w:rsid w:val="004901E5"/>
    <w:rsid w:val="00490334"/>
    <w:rsid w:val="0049039C"/>
    <w:rsid w:val="004904D5"/>
    <w:rsid w:val="00490548"/>
    <w:rsid w:val="00490848"/>
    <w:rsid w:val="00490863"/>
    <w:rsid w:val="004908C7"/>
    <w:rsid w:val="0049097C"/>
    <w:rsid w:val="00490AA7"/>
    <w:rsid w:val="00490B66"/>
    <w:rsid w:val="00490DA8"/>
    <w:rsid w:val="00490ED6"/>
    <w:rsid w:val="00490FD7"/>
    <w:rsid w:val="004911C0"/>
    <w:rsid w:val="00491216"/>
    <w:rsid w:val="004913E4"/>
    <w:rsid w:val="0049142C"/>
    <w:rsid w:val="0049151B"/>
    <w:rsid w:val="00491591"/>
    <w:rsid w:val="0049179F"/>
    <w:rsid w:val="004919F6"/>
    <w:rsid w:val="00491CAB"/>
    <w:rsid w:val="00491D13"/>
    <w:rsid w:val="00491F4F"/>
    <w:rsid w:val="004924C9"/>
    <w:rsid w:val="0049254C"/>
    <w:rsid w:val="00492552"/>
    <w:rsid w:val="004925C5"/>
    <w:rsid w:val="00492606"/>
    <w:rsid w:val="004926CB"/>
    <w:rsid w:val="00492779"/>
    <w:rsid w:val="00492859"/>
    <w:rsid w:val="0049290D"/>
    <w:rsid w:val="00492BE0"/>
    <w:rsid w:val="00492CA1"/>
    <w:rsid w:val="00492DBA"/>
    <w:rsid w:val="00492EF1"/>
    <w:rsid w:val="00492F10"/>
    <w:rsid w:val="00493043"/>
    <w:rsid w:val="004930D4"/>
    <w:rsid w:val="0049313B"/>
    <w:rsid w:val="00493158"/>
    <w:rsid w:val="004933B2"/>
    <w:rsid w:val="0049359D"/>
    <w:rsid w:val="0049387C"/>
    <w:rsid w:val="00493A3A"/>
    <w:rsid w:val="00493AA4"/>
    <w:rsid w:val="00493ACA"/>
    <w:rsid w:val="00493BFA"/>
    <w:rsid w:val="00493CD4"/>
    <w:rsid w:val="00493ED7"/>
    <w:rsid w:val="00493EF9"/>
    <w:rsid w:val="00493FC0"/>
    <w:rsid w:val="00494171"/>
    <w:rsid w:val="00494191"/>
    <w:rsid w:val="00494319"/>
    <w:rsid w:val="004944F6"/>
    <w:rsid w:val="0049474C"/>
    <w:rsid w:val="004947C3"/>
    <w:rsid w:val="00494813"/>
    <w:rsid w:val="00494815"/>
    <w:rsid w:val="00494ADC"/>
    <w:rsid w:val="00494B4D"/>
    <w:rsid w:val="00494BA6"/>
    <w:rsid w:val="00494CA0"/>
    <w:rsid w:val="00494CDD"/>
    <w:rsid w:val="00494D80"/>
    <w:rsid w:val="00494E0B"/>
    <w:rsid w:val="00494F3E"/>
    <w:rsid w:val="00494F44"/>
    <w:rsid w:val="00494FB1"/>
    <w:rsid w:val="004952E3"/>
    <w:rsid w:val="004952EF"/>
    <w:rsid w:val="0049552C"/>
    <w:rsid w:val="004955F5"/>
    <w:rsid w:val="0049565D"/>
    <w:rsid w:val="00495C2E"/>
    <w:rsid w:val="00495CF6"/>
    <w:rsid w:val="00495DF9"/>
    <w:rsid w:val="00495E07"/>
    <w:rsid w:val="00496008"/>
    <w:rsid w:val="00496161"/>
    <w:rsid w:val="004961D2"/>
    <w:rsid w:val="004962AE"/>
    <w:rsid w:val="004965C4"/>
    <w:rsid w:val="00496626"/>
    <w:rsid w:val="00496730"/>
    <w:rsid w:val="00496975"/>
    <w:rsid w:val="00496D2F"/>
    <w:rsid w:val="00496E9E"/>
    <w:rsid w:val="004971BD"/>
    <w:rsid w:val="004971FA"/>
    <w:rsid w:val="004972D7"/>
    <w:rsid w:val="004972DC"/>
    <w:rsid w:val="00497378"/>
    <w:rsid w:val="0049751E"/>
    <w:rsid w:val="004976D6"/>
    <w:rsid w:val="004979AD"/>
    <w:rsid w:val="00497ACE"/>
    <w:rsid w:val="00497B20"/>
    <w:rsid w:val="00497C97"/>
    <w:rsid w:val="00497E76"/>
    <w:rsid w:val="00497E95"/>
    <w:rsid w:val="00497E9B"/>
    <w:rsid w:val="004A01D8"/>
    <w:rsid w:val="004A0353"/>
    <w:rsid w:val="004A06BE"/>
    <w:rsid w:val="004A06DF"/>
    <w:rsid w:val="004A0860"/>
    <w:rsid w:val="004A08D7"/>
    <w:rsid w:val="004A09A8"/>
    <w:rsid w:val="004A0A00"/>
    <w:rsid w:val="004A0ADF"/>
    <w:rsid w:val="004A0B4E"/>
    <w:rsid w:val="004A0B81"/>
    <w:rsid w:val="004A0C85"/>
    <w:rsid w:val="004A0D1F"/>
    <w:rsid w:val="004A0DCD"/>
    <w:rsid w:val="004A103C"/>
    <w:rsid w:val="004A10F6"/>
    <w:rsid w:val="004A115B"/>
    <w:rsid w:val="004A11AC"/>
    <w:rsid w:val="004A1258"/>
    <w:rsid w:val="004A1401"/>
    <w:rsid w:val="004A148A"/>
    <w:rsid w:val="004A14B3"/>
    <w:rsid w:val="004A16E2"/>
    <w:rsid w:val="004A17D8"/>
    <w:rsid w:val="004A1C14"/>
    <w:rsid w:val="004A1D3D"/>
    <w:rsid w:val="004A1DBD"/>
    <w:rsid w:val="004A1DD7"/>
    <w:rsid w:val="004A1E32"/>
    <w:rsid w:val="004A1EE2"/>
    <w:rsid w:val="004A2084"/>
    <w:rsid w:val="004A21C4"/>
    <w:rsid w:val="004A2333"/>
    <w:rsid w:val="004A24F6"/>
    <w:rsid w:val="004A2514"/>
    <w:rsid w:val="004A26DC"/>
    <w:rsid w:val="004A27D4"/>
    <w:rsid w:val="004A2C0E"/>
    <w:rsid w:val="004A2C48"/>
    <w:rsid w:val="004A2C94"/>
    <w:rsid w:val="004A2D0D"/>
    <w:rsid w:val="004A2E89"/>
    <w:rsid w:val="004A2F6D"/>
    <w:rsid w:val="004A3010"/>
    <w:rsid w:val="004A325E"/>
    <w:rsid w:val="004A339E"/>
    <w:rsid w:val="004A349B"/>
    <w:rsid w:val="004A371E"/>
    <w:rsid w:val="004A3790"/>
    <w:rsid w:val="004A37ED"/>
    <w:rsid w:val="004A380F"/>
    <w:rsid w:val="004A388D"/>
    <w:rsid w:val="004A38E7"/>
    <w:rsid w:val="004A3921"/>
    <w:rsid w:val="004A392C"/>
    <w:rsid w:val="004A3B77"/>
    <w:rsid w:val="004A3F7F"/>
    <w:rsid w:val="004A408F"/>
    <w:rsid w:val="004A40A3"/>
    <w:rsid w:val="004A44F5"/>
    <w:rsid w:val="004A4582"/>
    <w:rsid w:val="004A4841"/>
    <w:rsid w:val="004A48B7"/>
    <w:rsid w:val="004A49B6"/>
    <w:rsid w:val="004A4A66"/>
    <w:rsid w:val="004A4B39"/>
    <w:rsid w:val="004A4BDD"/>
    <w:rsid w:val="004A5026"/>
    <w:rsid w:val="004A51D3"/>
    <w:rsid w:val="004A537D"/>
    <w:rsid w:val="004A537E"/>
    <w:rsid w:val="004A54BF"/>
    <w:rsid w:val="004A5597"/>
    <w:rsid w:val="004A55E4"/>
    <w:rsid w:val="004A565C"/>
    <w:rsid w:val="004A56F9"/>
    <w:rsid w:val="004A5798"/>
    <w:rsid w:val="004A5854"/>
    <w:rsid w:val="004A585B"/>
    <w:rsid w:val="004A5952"/>
    <w:rsid w:val="004A597A"/>
    <w:rsid w:val="004A5A48"/>
    <w:rsid w:val="004A5B44"/>
    <w:rsid w:val="004A6265"/>
    <w:rsid w:val="004A6460"/>
    <w:rsid w:val="004A64F5"/>
    <w:rsid w:val="004A6516"/>
    <w:rsid w:val="004A65C9"/>
    <w:rsid w:val="004A6660"/>
    <w:rsid w:val="004A67D1"/>
    <w:rsid w:val="004A67D8"/>
    <w:rsid w:val="004A6A38"/>
    <w:rsid w:val="004A6A90"/>
    <w:rsid w:val="004A6B17"/>
    <w:rsid w:val="004A6EAC"/>
    <w:rsid w:val="004A6F13"/>
    <w:rsid w:val="004A6F94"/>
    <w:rsid w:val="004A6F9A"/>
    <w:rsid w:val="004A70EA"/>
    <w:rsid w:val="004A7115"/>
    <w:rsid w:val="004A71A7"/>
    <w:rsid w:val="004A71F3"/>
    <w:rsid w:val="004A7300"/>
    <w:rsid w:val="004A7372"/>
    <w:rsid w:val="004A741C"/>
    <w:rsid w:val="004A74E3"/>
    <w:rsid w:val="004A7511"/>
    <w:rsid w:val="004A79C0"/>
    <w:rsid w:val="004A7B62"/>
    <w:rsid w:val="004A7C67"/>
    <w:rsid w:val="004A7CA0"/>
    <w:rsid w:val="004A7D85"/>
    <w:rsid w:val="004A7ED2"/>
    <w:rsid w:val="004A7F42"/>
    <w:rsid w:val="004B0025"/>
    <w:rsid w:val="004B0168"/>
    <w:rsid w:val="004B018C"/>
    <w:rsid w:val="004B018F"/>
    <w:rsid w:val="004B0191"/>
    <w:rsid w:val="004B029B"/>
    <w:rsid w:val="004B03D2"/>
    <w:rsid w:val="004B05BC"/>
    <w:rsid w:val="004B063D"/>
    <w:rsid w:val="004B0686"/>
    <w:rsid w:val="004B0737"/>
    <w:rsid w:val="004B0989"/>
    <w:rsid w:val="004B09F9"/>
    <w:rsid w:val="004B09FB"/>
    <w:rsid w:val="004B0A4A"/>
    <w:rsid w:val="004B0A65"/>
    <w:rsid w:val="004B0A85"/>
    <w:rsid w:val="004B0ACC"/>
    <w:rsid w:val="004B0E2E"/>
    <w:rsid w:val="004B0E8C"/>
    <w:rsid w:val="004B0F6E"/>
    <w:rsid w:val="004B1075"/>
    <w:rsid w:val="004B10EE"/>
    <w:rsid w:val="004B114A"/>
    <w:rsid w:val="004B12A2"/>
    <w:rsid w:val="004B1353"/>
    <w:rsid w:val="004B139A"/>
    <w:rsid w:val="004B13A0"/>
    <w:rsid w:val="004B1598"/>
    <w:rsid w:val="004B172C"/>
    <w:rsid w:val="004B1964"/>
    <w:rsid w:val="004B19D5"/>
    <w:rsid w:val="004B1A23"/>
    <w:rsid w:val="004B1BAC"/>
    <w:rsid w:val="004B1BD2"/>
    <w:rsid w:val="004B1C49"/>
    <w:rsid w:val="004B1D03"/>
    <w:rsid w:val="004B208F"/>
    <w:rsid w:val="004B21D9"/>
    <w:rsid w:val="004B22B4"/>
    <w:rsid w:val="004B23B2"/>
    <w:rsid w:val="004B2404"/>
    <w:rsid w:val="004B2550"/>
    <w:rsid w:val="004B2590"/>
    <w:rsid w:val="004B26EB"/>
    <w:rsid w:val="004B2728"/>
    <w:rsid w:val="004B2AF1"/>
    <w:rsid w:val="004B2D86"/>
    <w:rsid w:val="004B2F51"/>
    <w:rsid w:val="004B2F65"/>
    <w:rsid w:val="004B30E8"/>
    <w:rsid w:val="004B3286"/>
    <w:rsid w:val="004B32F4"/>
    <w:rsid w:val="004B3380"/>
    <w:rsid w:val="004B34CF"/>
    <w:rsid w:val="004B368A"/>
    <w:rsid w:val="004B3773"/>
    <w:rsid w:val="004B3AB1"/>
    <w:rsid w:val="004B3BD9"/>
    <w:rsid w:val="004B3C84"/>
    <w:rsid w:val="004B4061"/>
    <w:rsid w:val="004B40A2"/>
    <w:rsid w:val="004B43B5"/>
    <w:rsid w:val="004B4494"/>
    <w:rsid w:val="004B49F5"/>
    <w:rsid w:val="004B4A10"/>
    <w:rsid w:val="004B4BC3"/>
    <w:rsid w:val="004B4D79"/>
    <w:rsid w:val="004B4EDB"/>
    <w:rsid w:val="004B4EF0"/>
    <w:rsid w:val="004B4F69"/>
    <w:rsid w:val="004B50B5"/>
    <w:rsid w:val="004B515B"/>
    <w:rsid w:val="004B53B8"/>
    <w:rsid w:val="004B5461"/>
    <w:rsid w:val="004B554E"/>
    <w:rsid w:val="004B5788"/>
    <w:rsid w:val="004B592B"/>
    <w:rsid w:val="004B59BC"/>
    <w:rsid w:val="004B5A0D"/>
    <w:rsid w:val="004B5A2F"/>
    <w:rsid w:val="004B5B4E"/>
    <w:rsid w:val="004B5B82"/>
    <w:rsid w:val="004B5DF2"/>
    <w:rsid w:val="004B5FA2"/>
    <w:rsid w:val="004B6239"/>
    <w:rsid w:val="004B630B"/>
    <w:rsid w:val="004B6475"/>
    <w:rsid w:val="004B67B0"/>
    <w:rsid w:val="004B67D2"/>
    <w:rsid w:val="004B6A76"/>
    <w:rsid w:val="004B6B72"/>
    <w:rsid w:val="004B6E9C"/>
    <w:rsid w:val="004B6F00"/>
    <w:rsid w:val="004B7021"/>
    <w:rsid w:val="004B7203"/>
    <w:rsid w:val="004B72B1"/>
    <w:rsid w:val="004B72F7"/>
    <w:rsid w:val="004B731E"/>
    <w:rsid w:val="004B7718"/>
    <w:rsid w:val="004B79C0"/>
    <w:rsid w:val="004B7A9B"/>
    <w:rsid w:val="004B7B21"/>
    <w:rsid w:val="004B7BE8"/>
    <w:rsid w:val="004B7C30"/>
    <w:rsid w:val="004B7F2C"/>
    <w:rsid w:val="004BE68F"/>
    <w:rsid w:val="004C0666"/>
    <w:rsid w:val="004C08AD"/>
    <w:rsid w:val="004C09E6"/>
    <w:rsid w:val="004C0AD9"/>
    <w:rsid w:val="004C0D22"/>
    <w:rsid w:val="004C0DD5"/>
    <w:rsid w:val="004C0E10"/>
    <w:rsid w:val="004C0ED8"/>
    <w:rsid w:val="004C0F48"/>
    <w:rsid w:val="004C0F4D"/>
    <w:rsid w:val="004C1041"/>
    <w:rsid w:val="004C116D"/>
    <w:rsid w:val="004C1399"/>
    <w:rsid w:val="004C1772"/>
    <w:rsid w:val="004C177F"/>
    <w:rsid w:val="004C191A"/>
    <w:rsid w:val="004C1981"/>
    <w:rsid w:val="004C19AC"/>
    <w:rsid w:val="004C1C19"/>
    <w:rsid w:val="004C1C8E"/>
    <w:rsid w:val="004C1CCF"/>
    <w:rsid w:val="004C1F04"/>
    <w:rsid w:val="004C201B"/>
    <w:rsid w:val="004C214B"/>
    <w:rsid w:val="004C2182"/>
    <w:rsid w:val="004C22CA"/>
    <w:rsid w:val="004C22D0"/>
    <w:rsid w:val="004C2388"/>
    <w:rsid w:val="004C241C"/>
    <w:rsid w:val="004C2467"/>
    <w:rsid w:val="004C2578"/>
    <w:rsid w:val="004C268B"/>
    <w:rsid w:val="004C2766"/>
    <w:rsid w:val="004C283B"/>
    <w:rsid w:val="004C28E5"/>
    <w:rsid w:val="004C297F"/>
    <w:rsid w:val="004C2A44"/>
    <w:rsid w:val="004C2BDC"/>
    <w:rsid w:val="004C2E1E"/>
    <w:rsid w:val="004C3131"/>
    <w:rsid w:val="004C33A2"/>
    <w:rsid w:val="004C34D1"/>
    <w:rsid w:val="004C35F0"/>
    <w:rsid w:val="004C3683"/>
    <w:rsid w:val="004C38B5"/>
    <w:rsid w:val="004C39EE"/>
    <w:rsid w:val="004C3EB4"/>
    <w:rsid w:val="004C3EFB"/>
    <w:rsid w:val="004C3F32"/>
    <w:rsid w:val="004C3F8A"/>
    <w:rsid w:val="004C41B1"/>
    <w:rsid w:val="004C4303"/>
    <w:rsid w:val="004C44F2"/>
    <w:rsid w:val="004C4613"/>
    <w:rsid w:val="004C47F0"/>
    <w:rsid w:val="004C4825"/>
    <w:rsid w:val="004C4855"/>
    <w:rsid w:val="004C4978"/>
    <w:rsid w:val="004C4BF6"/>
    <w:rsid w:val="004C4E34"/>
    <w:rsid w:val="004C4EAA"/>
    <w:rsid w:val="004C4EFD"/>
    <w:rsid w:val="004C505F"/>
    <w:rsid w:val="004C508C"/>
    <w:rsid w:val="004C5181"/>
    <w:rsid w:val="004C53FF"/>
    <w:rsid w:val="004C5526"/>
    <w:rsid w:val="004C563D"/>
    <w:rsid w:val="004C5651"/>
    <w:rsid w:val="004C58D6"/>
    <w:rsid w:val="004C5928"/>
    <w:rsid w:val="004C5993"/>
    <w:rsid w:val="004C59D2"/>
    <w:rsid w:val="004C5A4B"/>
    <w:rsid w:val="004C5AB6"/>
    <w:rsid w:val="004C5ADB"/>
    <w:rsid w:val="004C5D3C"/>
    <w:rsid w:val="004C5D92"/>
    <w:rsid w:val="004C6156"/>
    <w:rsid w:val="004C618B"/>
    <w:rsid w:val="004C61ED"/>
    <w:rsid w:val="004C62A2"/>
    <w:rsid w:val="004C6310"/>
    <w:rsid w:val="004C631A"/>
    <w:rsid w:val="004C63FE"/>
    <w:rsid w:val="004C66FA"/>
    <w:rsid w:val="004C69E9"/>
    <w:rsid w:val="004C6A4F"/>
    <w:rsid w:val="004C6AF2"/>
    <w:rsid w:val="004C6AFA"/>
    <w:rsid w:val="004C6BF7"/>
    <w:rsid w:val="004C6D45"/>
    <w:rsid w:val="004C6F23"/>
    <w:rsid w:val="004C717C"/>
    <w:rsid w:val="004C718B"/>
    <w:rsid w:val="004C7275"/>
    <w:rsid w:val="004C7277"/>
    <w:rsid w:val="004C73C8"/>
    <w:rsid w:val="004C75E4"/>
    <w:rsid w:val="004C7BA2"/>
    <w:rsid w:val="004C7BD7"/>
    <w:rsid w:val="004C7D2C"/>
    <w:rsid w:val="004C7E52"/>
    <w:rsid w:val="004C7EF4"/>
    <w:rsid w:val="004C7FE5"/>
    <w:rsid w:val="004D02AB"/>
    <w:rsid w:val="004D0468"/>
    <w:rsid w:val="004D04E0"/>
    <w:rsid w:val="004D05B0"/>
    <w:rsid w:val="004D05D1"/>
    <w:rsid w:val="004D0737"/>
    <w:rsid w:val="004D07A1"/>
    <w:rsid w:val="004D07E0"/>
    <w:rsid w:val="004D0A15"/>
    <w:rsid w:val="004D0AA1"/>
    <w:rsid w:val="004D0C09"/>
    <w:rsid w:val="004D0E21"/>
    <w:rsid w:val="004D0E9F"/>
    <w:rsid w:val="004D1186"/>
    <w:rsid w:val="004D149E"/>
    <w:rsid w:val="004D150D"/>
    <w:rsid w:val="004D1580"/>
    <w:rsid w:val="004D1772"/>
    <w:rsid w:val="004D17A8"/>
    <w:rsid w:val="004D1841"/>
    <w:rsid w:val="004D187B"/>
    <w:rsid w:val="004D1889"/>
    <w:rsid w:val="004D1BD6"/>
    <w:rsid w:val="004D1C5B"/>
    <w:rsid w:val="004D1E6F"/>
    <w:rsid w:val="004D21D4"/>
    <w:rsid w:val="004D2326"/>
    <w:rsid w:val="004D2360"/>
    <w:rsid w:val="004D260F"/>
    <w:rsid w:val="004D2672"/>
    <w:rsid w:val="004D28B1"/>
    <w:rsid w:val="004D2925"/>
    <w:rsid w:val="004D2A79"/>
    <w:rsid w:val="004D2A7D"/>
    <w:rsid w:val="004D2ACA"/>
    <w:rsid w:val="004D2B36"/>
    <w:rsid w:val="004D2B6E"/>
    <w:rsid w:val="004D2EBE"/>
    <w:rsid w:val="004D32B2"/>
    <w:rsid w:val="004D3416"/>
    <w:rsid w:val="004D377D"/>
    <w:rsid w:val="004D38D4"/>
    <w:rsid w:val="004D38D7"/>
    <w:rsid w:val="004D3977"/>
    <w:rsid w:val="004D3BBA"/>
    <w:rsid w:val="004D3D05"/>
    <w:rsid w:val="004D3DAA"/>
    <w:rsid w:val="004D3DE3"/>
    <w:rsid w:val="004D40D0"/>
    <w:rsid w:val="004D414C"/>
    <w:rsid w:val="004D4385"/>
    <w:rsid w:val="004D4525"/>
    <w:rsid w:val="004D4764"/>
    <w:rsid w:val="004D4860"/>
    <w:rsid w:val="004D4876"/>
    <w:rsid w:val="004D49D1"/>
    <w:rsid w:val="004D49FA"/>
    <w:rsid w:val="004D4B1E"/>
    <w:rsid w:val="004D4D32"/>
    <w:rsid w:val="004D4D66"/>
    <w:rsid w:val="004D502C"/>
    <w:rsid w:val="004D5105"/>
    <w:rsid w:val="004D5175"/>
    <w:rsid w:val="004D5290"/>
    <w:rsid w:val="004D536E"/>
    <w:rsid w:val="004D542E"/>
    <w:rsid w:val="004D5828"/>
    <w:rsid w:val="004D59F4"/>
    <w:rsid w:val="004D5AB0"/>
    <w:rsid w:val="004D5D08"/>
    <w:rsid w:val="004D6011"/>
    <w:rsid w:val="004D6086"/>
    <w:rsid w:val="004D6088"/>
    <w:rsid w:val="004D6394"/>
    <w:rsid w:val="004D63B7"/>
    <w:rsid w:val="004D6450"/>
    <w:rsid w:val="004D6553"/>
    <w:rsid w:val="004D65A9"/>
    <w:rsid w:val="004D6641"/>
    <w:rsid w:val="004D6652"/>
    <w:rsid w:val="004D669D"/>
    <w:rsid w:val="004D6701"/>
    <w:rsid w:val="004D676D"/>
    <w:rsid w:val="004D6809"/>
    <w:rsid w:val="004D6862"/>
    <w:rsid w:val="004D688F"/>
    <w:rsid w:val="004D69C3"/>
    <w:rsid w:val="004D6A6E"/>
    <w:rsid w:val="004D6F53"/>
    <w:rsid w:val="004D70C1"/>
    <w:rsid w:val="004D715C"/>
    <w:rsid w:val="004D7299"/>
    <w:rsid w:val="004D73C1"/>
    <w:rsid w:val="004D73DC"/>
    <w:rsid w:val="004D7503"/>
    <w:rsid w:val="004D7655"/>
    <w:rsid w:val="004D76FC"/>
    <w:rsid w:val="004D781C"/>
    <w:rsid w:val="004D7A5A"/>
    <w:rsid w:val="004D7B95"/>
    <w:rsid w:val="004D7BB2"/>
    <w:rsid w:val="004D7D38"/>
    <w:rsid w:val="004D7E42"/>
    <w:rsid w:val="004D7E54"/>
    <w:rsid w:val="004D7F02"/>
    <w:rsid w:val="004D7FBE"/>
    <w:rsid w:val="004E00D0"/>
    <w:rsid w:val="004E0151"/>
    <w:rsid w:val="004E024F"/>
    <w:rsid w:val="004E0429"/>
    <w:rsid w:val="004E0589"/>
    <w:rsid w:val="004E0669"/>
    <w:rsid w:val="004E06E8"/>
    <w:rsid w:val="004E0762"/>
    <w:rsid w:val="004E07A9"/>
    <w:rsid w:val="004E08AC"/>
    <w:rsid w:val="004E09DC"/>
    <w:rsid w:val="004E0A1A"/>
    <w:rsid w:val="004E0A64"/>
    <w:rsid w:val="004E0A99"/>
    <w:rsid w:val="004E0D30"/>
    <w:rsid w:val="004E0DAB"/>
    <w:rsid w:val="004E0EB5"/>
    <w:rsid w:val="004E0F01"/>
    <w:rsid w:val="004E1058"/>
    <w:rsid w:val="004E1375"/>
    <w:rsid w:val="004E14A1"/>
    <w:rsid w:val="004E154D"/>
    <w:rsid w:val="004E1591"/>
    <w:rsid w:val="004E161A"/>
    <w:rsid w:val="004E161C"/>
    <w:rsid w:val="004E17AB"/>
    <w:rsid w:val="004E18B9"/>
    <w:rsid w:val="004E1917"/>
    <w:rsid w:val="004E19BF"/>
    <w:rsid w:val="004E19D5"/>
    <w:rsid w:val="004E1AD1"/>
    <w:rsid w:val="004E1BAA"/>
    <w:rsid w:val="004E1C54"/>
    <w:rsid w:val="004E1D59"/>
    <w:rsid w:val="004E1DC4"/>
    <w:rsid w:val="004E1F22"/>
    <w:rsid w:val="004E209B"/>
    <w:rsid w:val="004E20BE"/>
    <w:rsid w:val="004E2171"/>
    <w:rsid w:val="004E2204"/>
    <w:rsid w:val="004E233C"/>
    <w:rsid w:val="004E2386"/>
    <w:rsid w:val="004E253E"/>
    <w:rsid w:val="004E2626"/>
    <w:rsid w:val="004E26B4"/>
    <w:rsid w:val="004E27FB"/>
    <w:rsid w:val="004E282C"/>
    <w:rsid w:val="004E28A8"/>
    <w:rsid w:val="004E28E3"/>
    <w:rsid w:val="004E28E8"/>
    <w:rsid w:val="004E2963"/>
    <w:rsid w:val="004E29AB"/>
    <w:rsid w:val="004E2B21"/>
    <w:rsid w:val="004E2B97"/>
    <w:rsid w:val="004E2BFD"/>
    <w:rsid w:val="004E2E7E"/>
    <w:rsid w:val="004E2F30"/>
    <w:rsid w:val="004E3208"/>
    <w:rsid w:val="004E3280"/>
    <w:rsid w:val="004E337C"/>
    <w:rsid w:val="004E387A"/>
    <w:rsid w:val="004E3930"/>
    <w:rsid w:val="004E39E0"/>
    <w:rsid w:val="004E3B2E"/>
    <w:rsid w:val="004E3BF3"/>
    <w:rsid w:val="004E3C34"/>
    <w:rsid w:val="004E3CD8"/>
    <w:rsid w:val="004E3D08"/>
    <w:rsid w:val="004E3DE4"/>
    <w:rsid w:val="004E413C"/>
    <w:rsid w:val="004E416B"/>
    <w:rsid w:val="004E44F9"/>
    <w:rsid w:val="004E4679"/>
    <w:rsid w:val="004E47D1"/>
    <w:rsid w:val="004E486F"/>
    <w:rsid w:val="004E4A27"/>
    <w:rsid w:val="004E4A37"/>
    <w:rsid w:val="004E4C61"/>
    <w:rsid w:val="004E4C9D"/>
    <w:rsid w:val="004E4F2E"/>
    <w:rsid w:val="004E4FE1"/>
    <w:rsid w:val="004E51C2"/>
    <w:rsid w:val="004E52BB"/>
    <w:rsid w:val="004E5375"/>
    <w:rsid w:val="004E53F1"/>
    <w:rsid w:val="004E55BE"/>
    <w:rsid w:val="004E58EA"/>
    <w:rsid w:val="004E5B09"/>
    <w:rsid w:val="004E5B46"/>
    <w:rsid w:val="004E5B55"/>
    <w:rsid w:val="004E5BA2"/>
    <w:rsid w:val="004E5BD1"/>
    <w:rsid w:val="004E5DBC"/>
    <w:rsid w:val="004E5FB0"/>
    <w:rsid w:val="004E6644"/>
    <w:rsid w:val="004E6702"/>
    <w:rsid w:val="004E6706"/>
    <w:rsid w:val="004E680E"/>
    <w:rsid w:val="004E68B5"/>
    <w:rsid w:val="004E69CE"/>
    <w:rsid w:val="004E6A29"/>
    <w:rsid w:val="004E6B48"/>
    <w:rsid w:val="004E6B7F"/>
    <w:rsid w:val="004E6F66"/>
    <w:rsid w:val="004E6F89"/>
    <w:rsid w:val="004E70CB"/>
    <w:rsid w:val="004E70CF"/>
    <w:rsid w:val="004E71B1"/>
    <w:rsid w:val="004E7515"/>
    <w:rsid w:val="004E759D"/>
    <w:rsid w:val="004E78A4"/>
    <w:rsid w:val="004E78FC"/>
    <w:rsid w:val="004E7A19"/>
    <w:rsid w:val="004E7A25"/>
    <w:rsid w:val="004E7A69"/>
    <w:rsid w:val="004E7AD1"/>
    <w:rsid w:val="004E7B54"/>
    <w:rsid w:val="004E7C95"/>
    <w:rsid w:val="004E7CDA"/>
    <w:rsid w:val="004E7D3C"/>
    <w:rsid w:val="004E7DF3"/>
    <w:rsid w:val="004E7DFE"/>
    <w:rsid w:val="004E7E5D"/>
    <w:rsid w:val="004E7EB8"/>
    <w:rsid w:val="004E7F76"/>
    <w:rsid w:val="004E7F7B"/>
    <w:rsid w:val="004F000E"/>
    <w:rsid w:val="004F0015"/>
    <w:rsid w:val="004F005F"/>
    <w:rsid w:val="004F00BF"/>
    <w:rsid w:val="004F00C5"/>
    <w:rsid w:val="004F01C8"/>
    <w:rsid w:val="004F0341"/>
    <w:rsid w:val="004F034C"/>
    <w:rsid w:val="004F03C4"/>
    <w:rsid w:val="004F041C"/>
    <w:rsid w:val="004F042C"/>
    <w:rsid w:val="004F053F"/>
    <w:rsid w:val="004F0819"/>
    <w:rsid w:val="004F0B04"/>
    <w:rsid w:val="004F0B99"/>
    <w:rsid w:val="004F0D18"/>
    <w:rsid w:val="004F0DB4"/>
    <w:rsid w:val="004F0DDB"/>
    <w:rsid w:val="004F0E46"/>
    <w:rsid w:val="004F0F52"/>
    <w:rsid w:val="004F0F6E"/>
    <w:rsid w:val="004F111B"/>
    <w:rsid w:val="004F1173"/>
    <w:rsid w:val="004F119D"/>
    <w:rsid w:val="004F1256"/>
    <w:rsid w:val="004F12B0"/>
    <w:rsid w:val="004F1304"/>
    <w:rsid w:val="004F1345"/>
    <w:rsid w:val="004F14EF"/>
    <w:rsid w:val="004F15A2"/>
    <w:rsid w:val="004F16B5"/>
    <w:rsid w:val="004F17A8"/>
    <w:rsid w:val="004F17F2"/>
    <w:rsid w:val="004F19A1"/>
    <w:rsid w:val="004F1DD4"/>
    <w:rsid w:val="004F1E2F"/>
    <w:rsid w:val="004F204B"/>
    <w:rsid w:val="004F2340"/>
    <w:rsid w:val="004F2386"/>
    <w:rsid w:val="004F256E"/>
    <w:rsid w:val="004F276D"/>
    <w:rsid w:val="004F27E9"/>
    <w:rsid w:val="004F280C"/>
    <w:rsid w:val="004F2925"/>
    <w:rsid w:val="004F2961"/>
    <w:rsid w:val="004F29AF"/>
    <w:rsid w:val="004F29EE"/>
    <w:rsid w:val="004F2AE2"/>
    <w:rsid w:val="004F2B3E"/>
    <w:rsid w:val="004F2C03"/>
    <w:rsid w:val="004F2C7B"/>
    <w:rsid w:val="004F2D39"/>
    <w:rsid w:val="004F2D89"/>
    <w:rsid w:val="004F2D95"/>
    <w:rsid w:val="004F2DB0"/>
    <w:rsid w:val="004F2EC2"/>
    <w:rsid w:val="004F2ED4"/>
    <w:rsid w:val="004F3140"/>
    <w:rsid w:val="004F3157"/>
    <w:rsid w:val="004F31B2"/>
    <w:rsid w:val="004F31DB"/>
    <w:rsid w:val="004F31E3"/>
    <w:rsid w:val="004F321B"/>
    <w:rsid w:val="004F3465"/>
    <w:rsid w:val="004F34FE"/>
    <w:rsid w:val="004F368C"/>
    <w:rsid w:val="004F3731"/>
    <w:rsid w:val="004F386D"/>
    <w:rsid w:val="004F39DD"/>
    <w:rsid w:val="004F3A71"/>
    <w:rsid w:val="004F3AF4"/>
    <w:rsid w:val="004F3D02"/>
    <w:rsid w:val="004F3DDE"/>
    <w:rsid w:val="004F3F4C"/>
    <w:rsid w:val="004F3F9B"/>
    <w:rsid w:val="004F3FA1"/>
    <w:rsid w:val="004F3FAA"/>
    <w:rsid w:val="004F4098"/>
    <w:rsid w:val="004F40F6"/>
    <w:rsid w:val="004F41DA"/>
    <w:rsid w:val="004F4308"/>
    <w:rsid w:val="004F46A2"/>
    <w:rsid w:val="004F484D"/>
    <w:rsid w:val="004F48BC"/>
    <w:rsid w:val="004F4B59"/>
    <w:rsid w:val="004F4B94"/>
    <w:rsid w:val="004F4CB9"/>
    <w:rsid w:val="004F4E4A"/>
    <w:rsid w:val="004F5044"/>
    <w:rsid w:val="004F53DD"/>
    <w:rsid w:val="004F54DF"/>
    <w:rsid w:val="004F54E7"/>
    <w:rsid w:val="004F5512"/>
    <w:rsid w:val="004F5526"/>
    <w:rsid w:val="004F55D4"/>
    <w:rsid w:val="004F5651"/>
    <w:rsid w:val="004F5797"/>
    <w:rsid w:val="004F579B"/>
    <w:rsid w:val="004F57BA"/>
    <w:rsid w:val="004F5951"/>
    <w:rsid w:val="004F5997"/>
    <w:rsid w:val="004F5A35"/>
    <w:rsid w:val="004F5A83"/>
    <w:rsid w:val="004F5D52"/>
    <w:rsid w:val="004F5E2D"/>
    <w:rsid w:val="004F5EA7"/>
    <w:rsid w:val="004F5F71"/>
    <w:rsid w:val="004F6013"/>
    <w:rsid w:val="004F6072"/>
    <w:rsid w:val="004F62AB"/>
    <w:rsid w:val="004F63A1"/>
    <w:rsid w:val="004F6494"/>
    <w:rsid w:val="004F6559"/>
    <w:rsid w:val="004F6702"/>
    <w:rsid w:val="004F6739"/>
    <w:rsid w:val="004F67BF"/>
    <w:rsid w:val="004F690F"/>
    <w:rsid w:val="004F6A15"/>
    <w:rsid w:val="004F6D6D"/>
    <w:rsid w:val="004F6D9F"/>
    <w:rsid w:val="004F6E57"/>
    <w:rsid w:val="004F6EDF"/>
    <w:rsid w:val="004F6F5E"/>
    <w:rsid w:val="004F6FE2"/>
    <w:rsid w:val="004F70E4"/>
    <w:rsid w:val="004F7249"/>
    <w:rsid w:val="004F72F5"/>
    <w:rsid w:val="004F7322"/>
    <w:rsid w:val="004F73ED"/>
    <w:rsid w:val="004F73FA"/>
    <w:rsid w:val="004F74C2"/>
    <w:rsid w:val="004F75D5"/>
    <w:rsid w:val="004F75ED"/>
    <w:rsid w:val="004F781C"/>
    <w:rsid w:val="004F79B7"/>
    <w:rsid w:val="004F7C06"/>
    <w:rsid w:val="004F7C4B"/>
    <w:rsid w:val="004F7D00"/>
    <w:rsid w:val="004F7FC8"/>
    <w:rsid w:val="004F7FE9"/>
    <w:rsid w:val="004F7FFD"/>
    <w:rsid w:val="00500048"/>
    <w:rsid w:val="005000EF"/>
    <w:rsid w:val="005000FB"/>
    <w:rsid w:val="005001F8"/>
    <w:rsid w:val="005002A8"/>
    <w:rsid w:val="00500421"/>
    <w:rsid w:val="00500469"/>
    <w:rsid w:val="005004CD"/>
    <w:rsid w:val="005004EE"/>
    <w:rsid w:val="0050071A"/>
    <w:rsid w:val="00500938"/>
    <w:rsid w:val="00500C55"/>
    <w:rsid w:val="00500F0B"/>
    <w:rsid w:val="00500FD0"/>
    <w:rsid w:val="005011D5"/>
    <w:rsid w:val="005013AA"/>
    <w:rsid w:val="0050142F"/>
    <w:rsid w:val="0050152A"/>
    <w:rsid w:val="005016C9"/>
    <w:rsid w:val="00501752"/>
    <w:rsid w:val="005017DE"/>
    <w:rsid w:val="005017E0"/>
    <w:rsid w:val="00501AAB"/>
    <w:rsid w:val="00501D6D"/>
    <w:rsid w:val="00502127"/>
    <w:rsid w:val="005022A9"/>
    <w:rsid w:val="00502321"/>
    <w:rsid w:val="005023D6"/>
    <w:rsid w:val="005024EA"/>
    <w:rsid w:val="00502668"/>
    <w:rsid w:val="0050278A"/>
    <w:rsid w:val="005027C2"/>
    <w:rsid w:val="0050280F"/>
    <w:rsid w:val="00502972"/>
    <w:rsid w:val="00502999"/>
    <w:rsid w:val="00502ADF"/>
    <w:rsid w:val="00502BAB"/>
    <w:rsid w:val="00502D42"/>
    <w:rsid w:val="00503312"/>
    <w:rsid w:val="005034A6"/>
    <w:rsid w:val="00503554"/>
    <w:rsid w:val="005038DB"/>
    <w:rsid w:val="00503983"/>
    <w:rsid w:val="00503A35"/>
    <w:rsid w:val="00503C8B"/>
    <w:rsid w:val="00503E1F"/>
    <w:rsid w:val="00503ED3"/>
    <w:rsid w:val="00503F33"/>
    <w:rsid w:val="005040AC"/>
    <w:rsid w:val="0050413B"/>
    <w:rsid w:val="00504404"/>
    <w:rsid w:val="0050449C"/>
    <w:rsid w:val="005045FE"/>
    <w:rsid w:val="005046C8"/>
    <w:rsid w:val="00504A08"/>
    <w:rsid w:val="00504BE9"/>
    <w:rsid w:val="00504CEA"/>
    <w:rsid w:val="00504DBE"/>
    <w:rsid w:val="00504E61"/>
    <w:rsid w:val="00504F6E"/>
    <w:rsid w:val="00504F96"/>
    <w:rsid w:val="00505024"/>
    <w:rsid w:val="00505134"/>
    <w:rsid w:val="005051CF"/>
    <w:rsid w:val="0050542D"/>
    <w:rsid w:val="005054E1"/>
    <w:rsid w:val="005056E7"/>
    <w:rsid w:val="00505796"/>
    <w:rsid w:val="005058D8"/>
    <w:rsid w:val="005059A3"/>
    <w:rsid w:val="00505A1D"/>
    <w:rsid w:val="00505A68"/>
    <w:rsid w:val="00505F76"/>
    <w:rsid w:val="0050609E"/>
    <w:rsid w:val="005060A8"/>
    <w:rsid w:val="0050620E"/>
    <w:rsid w:val="005062CE"/>
    <w:rsid w:val="005065D8"/>
    <w:rsid w:val="005068BE"/>
    <w:rsid w:val="0050694D"/>
    <w:rsid w:val="005069C5"/>
    <w:rsid w:val="00506B0F"/>
    <w:rsid w:val="00506C72"/>
    <w:rsid w:val="00506C9F"/>
    <w:rsid w:val="00506D16"/>
    <w:rsid w:val="00506D17"/>
    <w:rsid w:val="00506E0C"/>
    <w:rsid w:val="00506EBF"/>
    <w:rsid w:val="00506FB0"/>
    <w:rsid w:val="00506FFA"/>
    <w:rsid w:val="00507046"/>
    <w:rsid w:val="0050718B"/>
    <w:rsid w:val="0050729A"/>
    <w:rsid w:val="005073F4"/>
    <w:rsid w:val="005075BA"/>
    <w:rsid w:val="00507784"/>
    <w:rsid w:val="005077E9"/>
    <w:rsid w:val="00507872"/>
    <w:rsid w:val="00507A16"/>
    <w:rsid w:val="00507A99"/>
    <w:rsid w:val="00507AE2"/>
    <w:rsid w:val="00507E2B"/>
    <w:rsid w:val="00507E86"/>
    <w:rsid w:val="00507ECA"/>
    <w:rsid w:val="00507F6F"/>
    <w:rsid w:val="0051022F"/>
    <w:rsid w:val="00510320"/>
    <w:rsid w:val="0051039E"/>
    <w:rsid w:val="00510452"/>
    <w:rsid w:val="005105BF"/>
    <w:rsid w:val="00510613"/>
    <w:rsid w:val="00510730"/>
    <w:rsid w:val="005107E1"/>
    <w:rsid w:val="0051084A"/>
    <w:rsid w:val="005108F3"/>
    <w:rsid w:val="005109DB"/>
    <w:rsid w:val="00510A2C"/>
    <w:rsid w:val="00510C53"/>
    <w:rsid w:val="00510CB7"/>
    <w:rsid w:val="00510CE0"/>
    <w:rsid w:val="00510E6A"/>
    <w:rsid w:val="00510FA0"/>
    <w:rsid w:val="0051105A"/>
    <w:rsid w:val="0051126C"/>
    <w:rsid w:val="00511718"/>
    <w:rsid w:val="00511896"/>
    <w:rsid w:val="005118B1"/>
    <w:rsid w:val="00512060"/>
    <w:rsid w:val="005120BA"/>
    <w:rsid w:val="00512209"/>
    <w:rsid w:val="00512218"/>
    <w:rsid w:val="00512609"/>
    <w:rsid w:val="0051272A"/>
    <w:rsid w:val="0051280B"/>
    <w:rsid w:val="00512B63"/>
    <w:rsid w:val="00512CD7"/>
    <w:rsid w:val="00512D47"/>
    <w:rsid w:val="00512E34"/>
    <w:rsid w:val="00512E59"/>
    <w:rsid w:val="00512EA0"/>
    <w:rsid w:val="00512EBF"/>
    <w:rsid w:val="00512F56"/>
    <w:rsid w:val="00513168"/>
    <w:rsid w:val="0051326A"/>
    <w:rsid w:val="00513381"/>
    <w:rsid w:val="005133A6"/>
    <w:rsid w:val="0051340E"/>
    <w:rsid w:val="00513576"/>
    <w:rsid w:val="00513621"/>
    <w:rsid w:val="00513734"/>
    <w:rsid w:val="00513791"/>
    <w:rsid w:val="0051383D"/>
    <w:rsid w:val="00513953"/>
    <w:rsid w:val="00513A22"/>
    <w:rsid w:val="00513A5F"/>
    <w:rsid w:val="00513A7C"/>
    <w:rsid w:val="00513A89"/>
    <w:rsid w:val="00513BC1"/>
    <w:rsid w:val="00513E4C"/>
    <w:rsid w:val="00513EB0"/>
    <w:rsid w:val="00513F58"/>
    <w:rsid w:val="00514391"/>
    <w:rsid w:val="00514921"/>
    <w:rsid w:val="0051492C"/>
    <w:rsid w:val="00514A73"/>
    <w:rsid w:val="00514ADD"/>
    <w:rsid w:val="00514D78"/>
    <w:rsid w:val="00514DB0"/>
    <w:rsid w:val="00514ED1"/>
    <w:rsid w:val="00515014"/>
    <w:rsid w:val="0051503F"/>
    <w:rsid w:val="0051511E"/>
    <w:rsid w:val="00515173"/>
    <w:rsid w:val="005152D5"/>
    <w:rsid w:val="0051539A"/>
    <w:rsid w:val="00515499"/>
    <w:rsid w:val="005154C1"/>
    <w:rsid w:val="005159B0"/>
    <w:rsid w:val="00515B62"/>
    <w:rsid w:val="00515C4B"/>
    <w:rsid w:val="00515DB3"/>
    <w:rsid w:val="00515DD3"/>
    <w:rsid w:val="00515E17"/>
    <w:rsid w:val="00515E2C"/>
    <w:rsid w:val="00515F4D"/>
    <w:rsid w:val="005160AD"/>
    <w:rsid w:val="005161F5"/>
    <w:rsid w:val="0051621B"/>
    <w:rsid w:val="005163F6"/>
    <w:rsid w:val="00516430"/>
    <w:rsid w:val="005164B4"/>
    <w:rsid w:val="005164C2"/>
    <w:rsid w:val="00516574"/>
    <w:rsid w:val="0051660B"/>
    <w:rsid w:val="0051660C"/>
    <w:rsid w:val="00516677"/>
    <w:rsid w:val="00516B56"/>
    <w:rsid w:val="00516B85"/>
    <w:rsid w:val="00516C63"/>
    <w:rsid w:val="00516D3E"/>
    <w:rsid w:val="00516F13"/>
    <w:rsid w:val="00516F55"/>
    <w:rsid w:val="005171A5"/>
    <w:rsid w:val="00517229"/>
    <w:rsid w:val="0051749E"/>
    <w:rsid w:val="0051751E"/>
    <w:rsid w:val="005175AB"/>
    <w:rsid w:val="00517753"/>
    <w:rsid w:val="00517B43"/>
    <w:rsid w:val="00517B46"/>
    <w:rsid w:val="00517B97"/>
    <w:rsid w:val="00517BC0"/>
    <w:rsid w:val="00517BE8"/>
    <w:rsid w:val="00517E8C"/>
    <w:rsid w:val="00520064"/>
    <w:rsid w:val="00520208"/>
    <w:rsid w:val="005202E3"/>
    <w:rsid w:val="00520653"/>
    <w:rsid w:val="00520690"/>
    <w:rsid w:val="0052081E"/>
    <w:rsid w:val="005208B0"/>
    <w:rsid w:val="005209BA"/>
    <w:rsid w:val="00520A0A"/>
    <w:rsid w:val="00520AF2"/>
    <w:rsid w:val="00520B62"/>
    <w:rsid w:val="00520D4D"/>
    <w:rsid w:val="00520D5B"/>
    <w:rsid w:val="00520D67"/>
    <w:rsid w:val="00520E36"/>
    <w:rsid w:val="00520F03"/>
    <w:rsid w:val="005210F9"/>
    <w:rsid w:val="00521158"/>
    <w:rsid w:val="005211B2"/>
    <w:rsid w:val="005211CE"/>
    <w:rsid w:val="00521283"/>
    <w:rsid w:val="00521369"/>
    <w:rsid w:val="00521518"/>
    <w:rsid w:val="005216E7"/>
    <w:rsid w:val="00521729"/>
    <w:rsid w:val="00521798"/>
    <w:rsid w:val="005217B8"/>
    <w:rsid w:val="005217D8"/>
    <w:rsid w:val="005218AE"/>
    <w:rsid w:val="005219A7"/>
    <w:rsid w:val="00521A63"/>
    <w:rsid w:val="00521B83"/>
    <w:rsid w:val="00521B8D"/>
    <w:rsid w:val="00521CAE"/>
    <w:rsid w:val="00521E0E"/>
    <w:rsid w:val="0052203B"/>
    <w:rsid w:val="005221FC"/>
    <w:rsid w:val="005222F8"/>
    <w:rsid w:val="005223CE"/>
    <w:rsid w:val="005224A6"/>
    <w:rsid w:val="0052271B"/>
    <w:rsid w:val="00522D16"/>
    <w:rsid w:val="00522D5A"/>
    <w:rsid w:val="00522E60"/>
    <w:rsid w:val="00523132"/>
    <w:rsid w:val="005233D5"/>
    <w:rsid w:val="005236AC"/>
    <w:rsid w:val="005236FB"/>
    <w:rsid w:val="00523770"/>
    <w:rsid w:val="005238B9"/>
    <w:rsid w:val="00523BBC"/>
    <w:rsid w:val="00523D08"/>
    <w:rsid w:val="00523DC7"/>
    <w:rsid w:val="00523DFA"/>
    <w:rsid w:val="00523E16"/>
    <w:rsid w:val="00523EA3"/>
    <w:rsid w:val="00523EF7"/>
    <w:rsid w:val="00523F0F"/>
    <w:rsid w:val="00523F41"/>
    <w:rsid w:val="00523F78"/>
    <w:rsid w:val="00524109"/>
    <w:rsid w:val="005243B1"/>
    <w:rsid w:val="0052458E"/>
    <w:rsid w:val="0052462D"/>
    <w:rsid w:val="00524631"/>
    <w:rsid w:val="00524676"/>
    <w:rsid w:val="00524919"/>
    <w:rsid w:val="00524B41"/>
    <w:rsid w:val="00524E25"/>
    <w:rsid w:val="00524FBD"/>
    <w:rsid w:val="0052506E"/>
    <w:rsid w:val="0052512D"/>
    <w:rsid w:val="00525279"/>
    <w:rsid w:val="0052537A"/>
    <w:rsid w:val="00525768"/>
    <w:rsid w:val="00525929"/>
    <w:rsid w:val="0052598A"/>
    <w:rsid w:val="005259FD"/>
    <w:rsid w:val="00525AB2"/>
    <w:rsid w:val="00525AB6"/>
    <w:rsid w:val="00525BDE"/>
    <w:rsid w:val="00525CA9"/>
    <w:rsid w:val="00525ECA"/>
    <w:rsid w:val="00525EE6"/>
    <w:rsid w:val="00525F2C"/>
    <w:rsid w:val="00525F72"/>
    <w:rsid w:val="00525FF2"/>
    <w:rsid w:val="005260CC"/>
    <w:rsid w:val="00526175"/>
    <w:rsid w:val="005262AE"/>
    <w:rsid w:val="00526778"/>
    <w:rsid w:val="005268A9"/>
    <w:rsid w:val="00526955"/>
    <w:rsid w:val="00526960"/>
    <w:rsid w:val="00526996"/>
    <w:rsid w:val="00526A14"/>
    <w:rsid w:val="00526BDB"/>
    <w:rsid w:val="00526BDE"/>
    <w:rsid w:val="00526C31"/>
    <w:rsid w:val="00526D07"/>
    <w:rsid w:val="00526D9A"/>
    <w:rsid w:val="00526F07"/>
    <w:rsid w:val="00526F42"/>
    <w:rsid w:val="00526F8D"/>
    <w:rsid w:val="00527120"/>
    <w:rsid w:val="005272EF"/>
    <w:rsid w:val="005273C7"/>
    <w:rsid w:val="00527655"/>
    <w:rsid w:val="005277D4"/>
    <w:rsid w:val="00527A0C"/>
    <w:rsid w:val="00527C64"/>
    <w:rsid w:val="00527D15"/>
    <w:rsid w:val="00527E06"/>
    <w:rsid w:val="00527F06"/>
    <w:rsid w:val="00527F08"/>
    <w:rsid w:val="00527F29"/>
    <w:rsid w:val="00527F58"/>
    <w:rsid w:val="00527FFC"/>
    <w:rsid w:val="00529BBD"/>
    <w:rsid w:val="005300B0"/>
    <w:rsid w:val="005301D1"/>
    <w:rsid w:val="005303E7"/>
    <w:rsid w:val="00530447"/>
    <w:rsid w:val="00530750"/>
    <w:rsid w:val="0053075A"/>
    <w:rsid w:val="00530858"/>
    <w:rsid w:val="005308DC"/>
    <w:rsid w:val="005309FE"/>
    <w:rsid w:val="00530B1F"/>
    <w:rsid w:val="00530BDE"/>
    <w:rsid w:val="00530E08"/>
    <w:rsid w:val="00530E83"/>
    <w:rsid w:val="00530FDC"/>
    <w:rsid w:val="00531024"/>
    <w:rsid w:val="00531028"/>
    <w:rsid w:val="005310C4"/>
    <w:rsid w:val="0053130E"/>
    <w:rsid w:val="00531537"/>
    <w:rsid w:val="005315A0"/>
    <w:rsid w:val="00531660"/>
    <w:rsid w:val="005316A9"/>
    <w:rsid w:val="0053189F"/>
    <w:rsid w:val="00531A34"/>
    <w:rsid w:val="00531B9B"/>
    <w:rsid w:val="00531C0F"/>
    <w:rsid w:val="00531D22"/>
    <w:rsid w:val="00531E21"/>
    <w:rsid w:val="005320E9"/>
    <w:rsid w:val="005322A3"/>
    <w:rsid w:val="005322FD"/>
    <w:rsid w:val="00532462"/>
    <w:rsid w:val="0053246F"/>
    <w:rsid w:val="00532495"/>
    <w:rsid w:val="00532784"/>
    <w:rsid w:val="00532801"/>
    <w:rsid w:val="00532D65"/>
    <w:rsid w:val="00532DBE"/>
    <w:rsid w:val="00532DDE"/>
    <w:rsid w:val="00532EF7"/>
    <w:rsid w:val="00533039"/>
    <w:rsid w:val="00533127"/>
    <w:rsid w:val="00533238"/>
    <w:rsid w:val="005332DD"/>
    <w:rsid w:val="005332F8"/>
    <w:rsid w:val="00533326"/>
    <w:rsid w:val="0053352E"/>
    <w:rsid w:val="0053395C"/>
    <w:rsid w:val="005339F0"/>
    <w:rsid w:val="00533B6A"/>
    <w:rsid w:val="00533B80"/>
    <w:rsid w:val="00533CFD"/>
    <w:rsid w:val="00533FE4"/>
    <w:rsid w:val="0053426B"/>
    <w:rsid w:val="005342C4"/>
    <w:rsid w:val="00534396"/>
    <w:rsid w:val="00534406"/>
    <w:rsid w:val="00534448"/>
    <w:rsid w:val="00534680"/>
    <w:rsid w:val="005346B6"/>
    <w:rsid w:val="005346CC"/>
    <w:rsid w:val="005346EE"/>
    <w:rsid w:val="005347B8"/>
    <w:rsid w:val="0053484C"/>
    <w:rsid w:val="00534BD1"/>
    <w:rsid w:val="00534C0A"/>
    <w:rsid w:val="00534C50"/>
    <w:rsid w:val="00534CF4"/>
    <w:rsid w:val="00534D69"/>
    <w:rsid w:val="00534EB4"/>
    <w:rsid w:val="00534EE6"/>
    <w:rsid w:val="00534F57"/>
    <w:rsid w:val="00534FF8"/>
    <w:rsid w:val="00535045"/>
    <w:rsid w:val="005350BF"/>
    <w:rsid w:val="005350E1"/>
    <w:rsid w:val="00535302"/>
    <w:rsid w:val="005353A3"/>
    <w:rsid w:val="0053545E"/>
    <w:rsid w:val="0053548B"/>
    <w:rsid w:val="0053549C"/>
    <w:rsid w:val="005354A4"/>
    <w:rsid w:val="00535584"/>
    <w:rsid w:val="005356A3"/>
    <w:rsid w:val="005357E3"/>
    <w:rsid w:val="00535B68"/>
    <w:rsid w:val="00535CC5"/>
    <w:rsid w:val="00535E13"/>
    <w:rsid w:val="00535E41"/>
    <w:rsid w:val="00535E93"/>
    <w:rsid w:val="0053600B"/>
    <w:rsid w:val="005361DC"/>
    <w:rsid w:val="00536499"/>
    <w:rsid w:val="00536519"/>
    <w:rsid w:val="00536526"/>
    <w:rsid w:val="00536548"/>
    <w:rsid w:val="00536729"/>
    <w:rsid w:val="0053685D"/>
    <w:rsid w:val="005368C9"/>
    <w:rsid w:val="00536A5F"/>
    <w:rsid w:val="00536AD4"/>
    <w:rsid w:val="00536B02"/>
    <w:rsid w:val="00536B27"/>
    <w:rsid w:val="00536C44"/>
    <w:rsid w:val="00536D50"/>
    <w:rsid w:val="00536D5E"/>
    <w:rsid w:val="00536D97"/>
    <w:rsid w:val="00536E4E"/>
    <w:rsid w:val="00536E60"/>
    <w:rsid w:val="00536E7D"/>
    <w:rsid w:val="00536E80"/>
    <w:rsid w:val="0053713C"/>
    <w:rsid w:val="00537166"/>
    <w:rsid w:val="00537242"/>
    <w:rsid w:val="005372A5"/>
    <w:rsid w:val="005372AF"/>
    <w:rsid w:val="00537488"/>
    <w:rsid w:val="005374BF"/>
    <w:rsid w:val="00537584"/>
    <w:rsid w:val="00537598"/>
    <w:rsid w:val="00537637"/>
    <w:rsid w:val="00537768"/>
    <w:rsid w:val="0053778F"/>
    <w:rsid w:val="00537844"/>
    <w:rsid w:val="00537FDB"/>
    <w:rsid w:val="0054001E"/>
    <w:rsid w:val="00540111"/>
    <w:rsid w:val="005401D3"/>
    <w:rsid w:val="00540210"/>
    <w:rsid w:val="005402AA"/>
    <w:rsid w:val="0054048C"/>
    <w:rsid w:val="005405E1"/>
    <w:rsid w:val="00540664"/>
    <w:rsid w:val="00540755"/>
    <w:rsid w:val="00540769"/>
    <w:rsid w:val="00540836"/>
    <w:rsid w:val="005409F6"/>
    <w:rsid w:val="00540C7D"/>
    <w:rsid w:val="00540D72"/>
    <w:rsid w:val="00540FD0"/>
    <w:rsid w:val="00541055"/>
    <w:rsid w:val="005411FA"/>
    <w:rsid w:val="0054123F"/>
    <w:rsid w:val="0054125F"/>
    <w:rsid w:val="005413CB"/>
    <w:rsid w:val="00541409"/>
    <w:rsid w:val="0054171F"/>
    <w:rsid w:val="0054196C"/>
    <w:rsid w:val="00541AAE"/>
    <w:rsid w:val="00541C7E"/>
    <w:rsid w:val="00541EE5"/>
    <w:rsid w:val="00542208"/>
    <w:rsid w:val="00542259"/>
    <w:rsid w:val="005422DB"/>
    <w:rsid w:val="005423A8"/>
    <w:rsid w:val="005423C6"/>
    <w:rsid w:val="00542470"/>
    <w:rsid w:val="0054248B"/>
    <w:rsid w:val="005424B6"/>
    <w:rsid w:val="00542518"/>
    <w:rsid w:val="005426CB"/>
    <w:rsid w:val="005427EF"/>
    <w:rsid w:val="00542920"/>
    <w:rsid w:val="0054298F"/>
    <w:rsid w:val="00542AE0"/>
    <w:rsid w:val="00542C67"/>
    <w:rsid w:val="00542CC2"/>
    <w:rsid w:val="00542D49"/>
    <w:rsid w:val="00542DA5"/>
    <w:rsid w:val="00542E6C"/>
    <w:rsid w:val="00542F33"/>
    <w:rsid w:val="00542F84"/>
    <w:rsid w:val="00542FCB"/>
    <w:rsid w:val="00543076"/>
    <w:rsid w:val="00543324"/>
    <w:rsid w:val="00543389"/>
    <w:rsid w:val="005433E6"/>
    <w:rsid w:val="005434E8"/>
    <w:rsid w:val="005436ED"/>
    <w:rsid w:val="005437BA"/>
    <w:rsid w:val="0054389D"/>
    <w:rsid w:val="00543931"/>
    <w:rsid w:val="005439D5"/>
    <w:rsid w:val="00543AD2"/>
    <w:rsid w:val="00543ADF"/>
    <w:rsid w:val="00543AFF"/>
    <w:rsid w:val="00543BD5"/>
    <w:rsid w:val="00543D97"/>
    <w:rsid w:val="00543E44"/>
    <w:rsid w:val="00543E5F"/>
    <w:rsid w:val="00543FA8"/>
    <w:rsid w:val="00544099"/>
    <w:rsid w:val="005443C6"/>
    <w:rsid w:val="0054455D"/>
    <w:rsid w:val="005446C5"/>
    <w:rsid w:val="00544758"/>
    <w:rsid w:val="005447D4"/>
    <w:rsid w:val="005449C9"/>
    <w:rsid w:val="00544A86"/>
    <w:rsid w:val="00544C84"/>
    <w:rsid w:val="00544E24"/>
    <w:rsid w:val="00544F00"/>
    <w:rsid w:val="00544F96"/>
    <w:rsid w:val="00545156"/>
    <w:rsid w:val="005452E9"/>
    <w:rsid w:val="00545395"/>
    <w:rsid w:val="00545493"/>
    <w:rsid w:val="005454C0"/>
    <w:rsid w:val="00545CEB"/>
    <w:rsid w:val="00545D4A"/>
    <w:rsid w:val="00545DB8"/>
    <w:rsid w:val="00545EE3"/>
    <w:rsid w:val="00545F07"/>
    <w:rsid w:val="00545FF6"/>
    <w:rsid w:val="00546022"/>
    <w:rsid w:val="00546395"/>
    <w:rsid w:val="005463F3"/>
    <w:rsid w:val="0054653B"/>
    <w:rsid w:val="00546549"/>
    <w:rsid w:val="005465B5"/>
    <w:rsid w:val="005466B6"/>
    <w:rsid w:val="005466C8"/>
    <w:rsid w:val="00546A03"/>
    <w:rsid w:val="00546C38"/>
    <w:rsid w:val="005472D5"/>
    <w:rsid w:val="00547354"/>
    <w:rsid w:val="005473CF"/>
    <w:rsid w:val="00547529"/>
    <w:rsid w:val="00547568"/>
    <w:rsid w:val="00547778"/>
    <w:rsid w:val="0054777B"/>
    <w:rsid w:val="0054777D"/>
    <w:rsid w:val="005477FB"/>
    <w:rsid w:val="0054782D"/>
    <w:rsid w:val="00547895"/>
    <w:rsid w:val="00547CF7"/>
    <w:rsid w:val="00547D79"/>
    <w:rsid w:val="00547EC5"/>
    <w:rsid w:val="005502AC"/>
    <w:rsid w:val="00550349"/>
    <w:rsid w:val="00550417"/>
    <w:rsid w:val="0055041C"/>
    <w:rsid w:val="00550427"/>
    <w:rsid w:val="00550535"/>
    <w:rsid w:val="005506D7"/>
    <w:rsid w:val="005506E0"/>
    <w:rsid w:val="00550757"/>
    <w:rsid w:val="005508C0"/>
    <w:rsid w:val="005508F3"/>
    <w:rsid w:val="00550BA1"/>
    <w:rsid w:val="00550BC4"/>
    <w:rsid w:val="00550D14"/>
    <w:rsid w:val="00550F07"/>
    <w:rsid w:val="005511AA"/>
    <w:rsid w:val="00551414"/>
    <w:rsid w:val="00551439"/>
    <w:rsid w:val="005515EA"/>
    <w:rsid w:val="00551B0A"/>
    <w:rsid w:val="00551B22"/>
    <w:rsid w:val="00551B4E"/>
    <w:rsid w:val="00551C59"/>
    <w:rsid w:val="00551CC2"/>
    <w:rsid w:val="00551CD6"/>
    <w:rsid w:val="00551E94"/>
    <w:rsid w:val="00552045"/>
    <w:rsid w:val="00552082"/>
    <w:rsid w:val="0055218A"/>
    <w:rsid w:val="00552210"/>
    <w:rsid w:val="005522C1"/>
    <w:rsid w:val="00552343"/>
    <w:rsid w:val="005523E3"/>
    <w:rsid w:val="00552963"/>
    <w:rsid w:val="005529C8"/>
    <w:rsid w:val="00552A94"/>
    <w:rsid w:val="00552A9B"/>
    <w:rsid w:val="00552AB8"/>
    <w:rsid w:val="00552AFA"/>
    <w:rsid w:val="00552B80"/>
    <w:rsid w:val="00552C07"/>
    <w:rsid w:val="00552C88"/>
    <w:rsid w:val="00552CAE"/>
    <w:rsid w:val="00552D2D"/>
    <w:rsid w:val="00552EE0"/>
    <w:rsid w:val="00552EEA"/>
    <w:rsid w:val="00552EF2"/>
    <w:rsid w:val="005533EA"/>
    <w:rsid w:val="005534CC"/>
    <w:rsid w:val="005534F7"/>
    <w:rsid w:val="0055355B"/>
    <w:rsid w:val="00553579"/>
    <w:rsid w:val="005536BC"/>
    <w:rsid w:val="005536C5"/>
    <w:rsid w:val="005538BC"/>
    <w:rsid w:val="0055390E"/>
    <w:rsid w:val="0055391C"/>
    <w:rsid w:val="00553B34"/>
    <w:rsid w:val="00553B42"/>
    <w:rsid w:val="00553B6A"/>
    <w:rsid w:val="00553C41"/>
    <w:rsid w:val="00553C86"/>
    <w:rsid w:val="00554007"/>
    <w:rsid w:val="005541E2"/>
    <w:rsid w:val="00554254"/>
    <w:rsid w:val="005543F7"/>
    <w:rsid w:val="0055449C"/>
    <w:rsid w:val="005545F6"/>
    <w:rsid w:val="005546EF"/>
    <w:rsid w:val="005547AF"/>
    <w:rsid w:val="0055480D"/>
    <w:rsid w:val="00554A85"/>
    <w:rsid w:val="00554C29"/>
    <w:rsid w:val="00554D90"/>
    <w:rsid w:val="00554F3C"/>
    <w:rsid w:val="00554F3E"/>
    <w:rsid w:val="00554F82"/>
    <w:rsid w:val="00555070"/>
    <w:rsid w:val="00555271"/>
    <w:rsid w:val="00555513"/>
    <w:rsid w:val="00555575"/>
    <w:rsid w:val="0055581C"/>
    <w:rsid w:val="00555976"/>
    <w:rsid w:val="00555A69"/>
    <w:rsid w:val="00555B79"/>
    <w:rsid w:val="00555BAA"/>
    <w:rsid w:val="00555C3A"/>
    <w:rsid w:val="00555D81"/>
    <w:rsid w:val="00555DDA"/>
    <w:rsid w:val="00555EAB"/>
    <w:rsid w:val="00556019"/>
    <w:rsid w:val="00556320"/>
    <w:rsid w:val="005563B2"/>
    <w:rsid w:val="0055686F"/>
    <w:rsid w:val="00556A00"/>
    <w:rsid w:val="00556ADF"/>
    <w:rsid w:val="00556B36"/>
    <w:rsid w:val="00556B51"/>
    <w:rsid w:val="00556B86"/>
    <w:rsid w:val="00556CAA"/>
    <w:rsid w:val="00556ED4"/>
    <w:rsid w:val="005570E3"/>
    <w:rsid w:val="0055716B"/>
    <w:rsid w:val="0055720A"/>
    <w:rsid w:val="005573CD"/>
    <w:rsid w:val="005573DF"/>
    <w:rsid w:val="00557534"/>
    <w:rsid w:val="005576D0"/>
    <w:rsid w:val="00557748"/>
    <w:rsid w:val="00557995"/>
    <w:rsid w:val="005579D3"/>
    <w:rsid w:val="005579FE"/>
    <w:rsid w:val="00557A11"/>
    <w:rsid w:val="00557C8C"/>
    <w:rsid w:val="00557E61"/>
    <w:rsid w:val="00557F1B"/>
    <w:rsid w:val="00557F58"/>
    <w:rsid w:val="00560066"/>
    <w:rsid w:val="0056006B"/>
    <w:rsid w:val="00560122"/>
    <w:rsid w:val="00560126"/>
    <w:rsid w:val="0056015D"/>
    <w:rsid w:val="005602BE"/>
    <w:rsid w:val="00560335"/>
    <w:rsid w:val="00560354"/>
    <w:rsid w:val="00560584"/>
    <w:rsid w:val="00560967"/>
    <w:rsid w:val="0056097E"/>
    <w:rsid w:val="00560BF7"/>
    <w:rsid w:val="00560D25"/>
    <w:rsid w:val="00561488"/>
    <w:rsid w:val="00561500"/>
    <w:rsid w:val="005617B9"/>
    <w:rsid w:val="005619AA"/>
    <w:rsid w:val="005619EE"/>
    <w:rsid w:val="00561A1E"/>
    <w:rsid w:val="00561A5E"/>
    <w:rsid w:val="00561B75"/>
    <w:rsid w:val="00561B76"/>
    <w:rsid w:val="00561BD0"/>
    <w:rsid w:val="00561C2C"/>
    <w:rsid w:val="00561DA5"/>
    <w:rsid w:val="00561E5E"/>
    <w:rsid w:val="00561F39"/>
    <w:rsid w:val="00561FA2"/>
    <w:rsid w:val="00561FCA"/>
    <w:rsid w:val="00561FFD"/>
    <w:rsid w:val="00562025"/>
    <w:rsid w:val="00562269"/>
    <w:rsid w:val="0056226D"/>
    <w:rsid w:val="0056228A"/>
    <w:rsid w:val="005622B9"/>
    <w:rsid w:val="0056249D"/>
    <w:rsid w:val="005624FD"/>
    <w:rsid w:val="00562528"/>
    <w:rsid w:val="005625F0"/>
    <w:rsid w:val="00562775"/>
    <w:rsid w:val="00563072"/>
    <w:rsid w:val="005630E7"/>
    <w:rsid w:val="005631FF"/>
    <w:rsid w:val="005633FD"/>
    <w:rsid w:val="0056340D"/>
    <w:rsid w:val="005634F1"/>
    <w:rsid w:val="005635F8"/>
    <w:rsid w:val="005636B3"/>
    <w:rsid w:val="005639F3"/>
    <w:rsid w:val="00563A4E"/>
    <w:rsid w:val="00563C20"/>
    <w:rsid w:val="00563CA0"/>
    <w:rsid w:val="00563D7B"/>
    <w:rsid w:val="00563E90"/>
    <w:rsid w:val="0056400C"/>
    <w:rsid w:val="00564196"/>
    <w:rsid w:val="005643D9"/>
    <w:rsid w:val="0056440B"/>
    <w:rsid w:val="00564433"/>
    <w:rsid w:val="005644D1"/>
    <w:rsid w:val="00564650"/>
    <w:rsid w:val="005648E4"/>
    <w:rsid w:val="005649FE"/>
    <w:rsid w:val="00564A66"/>
    <w:rsid w:val="00564A76"/>
    <w:rsid w:val="00564BD8"/>
    <w:rsid w:val="00564CAD"/>
    <w:rsid w:val="00564D5A"/>
    <w:rsid w:val="00564E16"/>
    <w:rsid w:val="00564F16"/>
    <w:rsid w:val="005650F0"/>
    <w:rsid w:val="00565252"/>
    <w:rsid w:val="00565276"/>
    <w:rsid w:val="005652FD"/>
    <w:rsid w:val="00565498"/>
    <w:rsid w:val="00565606"/>
    <w:rsid w:val="0056567B"/>
    <w:rsid w:val="005656D9"/>
    <w:rsid w:val="0056580B"/>
    <w:rsid w:val="00565A2E"/>
    <w:rsid w:val="00565AA3"/>
    <w:rsid w:val="00565BBD"/>
    <w:rsid w:val="00565BBF"/>
    <w:rsid w:val="00565D41"/>
    <w:rsid w:val="00565E97"/>
    <w:rsid w:val="00565F53"/>
    <w:rsid w:val="005660D0"/>
    <w:rsid w:val="0056610B"/>
    <w:rsid w:val="0056617D"/>
    <w:rsid w:val="00566255"/>
    <w:rsid w:val="005662E6"/>
    <w:rsid w:val="00566370"/>
    <w:rsid w:val="00566411"/>
    <w:rsid w:val="005664AA"/>
    <w:rsid w:val="005665D2"/>
    <w:rsid w:val="005666A8"/>
    <w:rsid w:val="00566C12"/>
    <w:rsid w:val="00566C8E"/>
    <w:rsid w:val="00566D1A"/>
    <w:rsid w:val="00566F57"/>
    <w:rsid w:val="0056702B"/>
    <w:rsid w:val="0056712F"/>
    <w:rsid w:val="0056718D"/>
    <w:rsid w:val="005671BC"/>
    <w:rsid w:val="00567267"/>
    <w:rsid w:val="00567309"/>
    <w:rsid w:val="005673F2"/>
    <w:rsid w:val="0056744D"/>
    <w:rsid w:val="0056745B"/>
    <w:rsid w:val="00567799"/>
    <w:rsid w:val="0056789A"/>
    <w:rsid w:val="005678B0"/>
    <w:rsid w:val="00567996"/>
    <w:rsid w:val="00567AE2"/>
    <w:rsid w:val="00567B7C"/>
    <w:rsid w:val="00567EE6"/>
    <w:rsid w:val="0057002F"/>
    <w:rsid w:val="00570112"/>
    <w:rsid w:val="00570191"/>
    <w:rsid w:val="0057019E"/>
    <w:rsid w:val="005702C4"/>
    <w:rsid w:val="00570327"/>
    <w:rsid w:val="005704BA"/>
    <w:rsid w:val="0057064C"/>
    <w:rsid w:val="005706A9"/>
    <w:rsid w:val="00570796"/>
    <w:rsid w:val="005707A3"/>
    <w:rsid w:val="00570822"/>
    <w:rsid w:val="00570E6F"/>
    <w:rsid w:val="00570F17"/>
    <w:rsid w:val="00570FB4"/>
    <w:rsid w:val="00571349"/>
    <w:rsid w:val="005713CF"/>
    <w:rsid w:val="005716C3"/>
    <w:rsid w:val="0057181C"/>
    <w:rsid w:val="00571929"/>
    <w:rsid w:val="0057193F"/>
    <w:rsid w:val="00571A65"/>
    <w:rsid w:val="00571D4B"/>
    <w:rsid w:val="00571EAD"/>
    <w:rsid w:val="00571EC8"/>
    <w:rsid w:val="005720C4"/>
    <w:rsid w:val="0057213D"/>
    <w:rsid w:val="00572247"/>
    <w:rsid w:val="0057230A"/>
    <w:rsid w:val="00572417"/>
    <w:rsid w:val="005724A0"/>
    <w:rsid w:val="00572570"/>
    <w:rsid w:val="0057261C"/>
    <w:rsid w:val="0057270D"/>
    <w:rsid w:val="00572779"/>
    <w:rsid w:val="005727F5"/>
    <w:rsid w:val="00572846"/>
    <w:rsid w:val="00572863"/>
    <w:rsid w:val="005728AC"/>
    <w:rsid w:val="00572966"/>
    <w:rsid w:val="005729F4"/>
    <w:rsid w:val="00572A1F"/>
    <w:rsid w:val="00572C01"/>
    <w:rsid w:val="00572CD0"/>
    <w:rsid w:val="00572D76"/>
    <w:rsid w:val="00572E3B"/>
    <w:rsid w:val="00572EA7"/>
    <w:rsid w:val="00573089"/>
    <w:rsid w:val="00573205"/>
    <w:rsid w:val="00573236"/>
    <w:rsid w:val="005732CF"/>
    <w:rsid w:val="005735D7"/>
    <w:rsid w:val="005738A1"/>
    <w:rsid w:val="00573A43"/>
    <w:rsid w:val="00573BA1"/>
    <w:rsid w:val="00573DD2"/>
    <w:rsid w:val="005740B8"/>
    <w:rsid w:val="005741BA"/>
    <w:rsid w:val="005741C4"/>
    <w:rsid w:val="005743C5"/>
    <w:rsid w:val="0057448E"/>
    <w:rsid w:val="00574555"/>
    <w:rsid w:val="0057470D"/>
    <w:rsid w:val="0057484C"/>
    <w:rsid w:val="00574858"/>
    <w:rsid w:val="00574889"/>
    <w:rsid w:val="0057489E"/>
    <w:rsid w:val="005748DF"/>
    <w:rsid w:val="00574921"/>
    <w:rsid w:val="00574AB9"/>
    <w:rsid w:val="00574BFD"/>
    <w:rsid w:val="00574C49"/>
    <w:rsid w:val="00574DD1"/>
    <w:rsid w:val="00574EA2"/>
    <w:rsid w:val="00574FB1"/>
    <w:rsid w:val="00574FD4"/>
    <w:rsid w:val="00575006"/>
    <w:rsid w:val="005753A5"/>
    <w:rsid w:val="0057549F"/>
    <w:rsid w:val="0057569F"/>
    <w:rsid w:val="0057591C"/>
    <w:rsid w:val="00575A79"/>
    <w:rsid w:val="00575E07"/>
    <w:rsid w:val="00575F81"/>
    <w:rsid w:val="0057605C"/>
    <w:rsid w:val="005760C3"/>
    <w:rsid w:val="0057617E"/>
    <w:rsid w:val="00576244"/>
    <w:rsid w:val="00576455"/>
    <w:rsid w:val="0057648E"/>
    <w:rsid w:val="00576959"/>
    <w:rsid w:val="00576A75"/>
    <w:rsid w:val="00576D68"/>
    <w:rsid w:val="00576F0D"/>
    <w:rsid w:val="00576FEF"/>
    <w:rsid w:val="005772AA"/>
    <w:rsid w:val="00577723"/>
    <w:rsid w:val="005777CE"/>
    <w:rsid w:val="005778AB"/>
    <w:rsid w:val="005779EA"/>
    <w:rsid w:val="00577ADA"/>
    <w:rsid w:val="00577B11"/>
    <w:rsid w:val="00577C43"/>
    <w:rsid w:val="00577E07"/>
    <w:rsid w:val="005800CE"/>
    <w:rsid w:val="00580203"/>
    <w:rsid w:val="0058024A"/>
    <w:rsid w:val="00580293"/>
    <w:rsid w:val="00580329"/>
    <w:rsid w:val="0058035B"/>
    <w:rsid w:val="005803AF"/>
    <w:rsid w:val="005805C6"/>
    <w:rsid w:val="00580737"/>
    <w:rsid w:val="005807B3"/>
    <w:rsid w:val="00580ABA"/>
    <w:rsid w:val="00580C11"/>
    <w:rsid w:val="00580D18"/>
    <w:rsid w:val="00580D89"/>
    <w:rsid w:val="00580E05"/>
    <w:rsid w:val="00580F84"/>
    <w:rsid w:val="005812DB"/>
    <w:rsid w:val="0058149D"/>
    <w:rsid w:val="00581555"/>
    <w:rsid w:val="0058162E"/>
    <w:rsid w:val="005816BB"/>
    <w:rsid w:val="005817F9"/>
    <w:rsid w:val="005818D9"/>
    <w:rsid w:val="005818FD"/>
    <w:rsid w:val="005819F0"/>
    <w:rsid w:val="00581ADA"/>
    <w:rsid w:val="00581AF4"/>
    <w:rsid w:val="00581BD2"/>
    <w:rsid w:val="00581C4B"/>
    <w:rsid w:val="00581D45"/>
    <w:rsid w:val="00581E5C"/>
    <w:rsid w:val="00581E8F"/>
    <w:rsid w:val="00581FA9"/>
    <w:rsid w:val="00582177"/>
    <w:rsid w:val="005821A4"/>
    <w:rsid w:val="005821FB"/>
    <w:rsid w:val="00582240"/>
    <w:rsid w:val="00582244"/>
    <w:rsid w:val="00582296"/>
    <w:rsid w:val="005822D9"/>
    <w:rsid w:val="005822E1"/>
    <w:rsid w:val="0058233D"/>
    <w:rsid w:val="00582388"/>
    <w:rsid w:val="005823F4"/>
    <w:rsid w:val="005824D7"/>
    <w:rsid w:val="0058276A"/>
    <w:rsid w:val="00582797"/>
    <w:rsid w:val="005828D6"/>
    <w:rsid w:val="00582BBE"/>
    <w:rsid w:val="00582C77"/>
    <w:rsid w:val="00582CA1"/>
    <w:rsid w:val="00582DF2"/>
    <w:rsid w:val="00582EFB"/>
    <w:rsid w:val="00582F5C"/>
    <w:rsid w:val="00582FE8"/>
    <w:rsid w:val="00583329"/>
    <w:rsid w:val="005833ED"/>
    <w:rsid w:val="005837B1"/>
    <w:rsid w:val="00583992"/>
    <w:rsid w:val="00583B56"/>
    <w:rsid w:val="00583D00"/>
    <w:rsid w:val="00583E1C"/>
    <w:rsid w:val="00583ED5"/>
    <w:rsid w:val="00584047"/>
    <w:rsid w:val="00584138"/>
    <w:rsid w:val="005841B3"/>
    <w:rsid w:val="005841F8"/>
    <w:rsid w:val="00584233"/>
    <w:rsid w:val="0058441E"/>
    <w:rsid w:val="00584468"/>
    <w:rsid w:val="00584563"/>
    <w:rsid w:val="00584697"/>
    <w:rsid w:val="0058476E"/>
    <w:rsid w:val="0058496B"/>
    <w:rsid w:val="005849BF"/>
    <w:rsid w:val="00584C2F"/>
    <w:rsid w:val="00584C89"/>
    <w:rsid w:val="00584CBA"/>
    <w:rsid w:val="00584D1E"/>
    <w:rsid w:val="00584DD8"/>
    <w:rsid w:val="00584E6D"/>
    <w:rsid w:val="00584E78"/>
    <w:rsid w:val="00584F75"/>
    <w:rsid w:val="00584F7C"/>
    <w:rsid w:val="00585000"/>
    <w:rsid w:val="00585053"/>
    <w:rsid w:val="0058508C"/>
    <w:rsid w:val="005850F2"/>
    <w:rsid w:val="00585166"/>
    <w:rsid w:val="0058517C"/>
    <w:rsid w:val="00585183"/>
    <w:rsid w:val="00585291"/>
    <w:rsid w:val="005852CB"/>
    <w:rsid w:val="00585361"/>
    <w:rsid w:val="005855BC"/>
    <w:rsid w:val="005855C0"/>
    <w:rsid w:val="005855EA"/>
    <w:rsid w:val="0058592C"/>
    <w:rsid w:val="00585998"/>
    <w:rsid w:val="005859F0"/>
    <w:rsid w:val="00585D5F"/>
    <w:rsid w:val="00585E23"/>
    <w:rsid w:val="00585F09"/>
    <w:rsid w:val="00585F25"/>
    <w:rsid w:val="0058608A"/>
    <w:rsid w:val="005860D3"/>
    <w:rsid w:val="0058628C"/>
    <w:rsid w:val="0058630A"/>
    <w:rsid w:val="00586503"/>
    <w:rsid w:val="00586569"/>
    <w:rsid w:val="0058657A"/>
    <w:rsid w:val="0058662E"/>
    <w:rsid w:val="00586690"/>
    <w:rsid w:val="005866DC"/>
    <w:rsid w:val="00586940"/>
    <w:rsid w:val="00586B67"/>
    <w:rsid w:val="00586BBE"/>
    <w:rsid w:val="00586BF8"/>
    <w:rsid w:val="00586C00"/>
    <w:rsid w:val="00587039"/>
    <w:rsid w:val="00587105"/>
    <w:rsid w:val="005872E9"/>
    <w:rsid w:val="00587405"/>
    <w:rsid w:val="0058746D"/>
    <w:rsid w:val="00587496"/>
    <w:rsid w:val="0058751D"/>
    <w:rsid w:val="00587C89"/>
    <w:rsid w:val="00587D4F"/>
    <w:rsid w:val="00587FAF"/>
    <w:rsid w:val="005902BC"/>
    <w:rsid w:val="005903AE"/>
    <w:rsid w:val="0059040B"/>
    <w:rsid w:val="0059041E"/>
    <w:rsid w:val="0059055C"/>
    <w:rsid w:val="0059082A"/>
    <w:rsid w:val="00590AFF"/>
    <w:rsid w:val="00590BAD"/>
    <w:rsid w:val="00590BB8"/>
    <w:rsid w:val="00590CB8"/>
    <w:rsid w:val="00590D2C"/>
    <w:rsid w:val="00590E2B"/>
    <w:rsid w:val="00590EE9"/>
    <w:rsid w:val="00590F83"/>
    <w:rsid w:val="005910FC"/>
    <w:rsid w:val="0059129B"/>
    <w:rsid w:val="005913B3"/>
    <w:rsid w:val="0059140E"/>
    <w:rsid w:val="00591490"/>
    <w:rsid w:val="005914C0"/>
    <w:rsid w:val="005917D3"/>
    <w:rsid w:val="00591A49"/>
    <w:rsid w:val="005920E8"/>
    <w:rsid w:val="00592160"/>
    <w:rsid w:val="005921C1"/>
    <w:rsid w:val="00592223"/>
    <w:rsid w:val="00592229"/>
    <w:rsid w:val="0059232E"/>
    <w:rsid w:val="005923AF"/>
    <w:rsid w:val="0059262B"/>
    <w:rsid w:val="00592685"/>
    <w:rsid w:val="005926F5"/>
    <w:rsid w:val="0059272F"/>
    <w:rsid w:val="00592811"/>
    <w:rsid w:val="00592ACB"/>
    <w:rsid w:val="00592B56"/>
    <w:rsid w:val="00592BBA"/>
    <w:rsid w:val="0059301D"/>
    <w:rsid w:val="005930E0"/>
    <w:rsid w:val="005930FC"/>
    <w:rsid w:val="005931A8"/>
    <w:rsid w:val="00593313"/>
    <w:rsid w:val="00593570"/>
    <w:rsid w:val="00593602"/>
    <w:rsid w:val="00593651"/>
    <w:rsid w:val="005936B1"/>
    <w:rsid w:val="005936F6"/>
    <w:rsid w:val="005937F0"/>
    <w:rsid w:val="00593964"/>
    <w:rsid w:val="00593AAC"/>
    <w:rsid w:val="00593E3A"/>
    <w:rsid w:val="00593E3E"/>
    <w:rsid w:val="0059400A"/>
    <w:rsid w:val="00594108"/>
    <w:rsid w:val="0059418B"/>
    <w:rsid w:val="00594195"/>
    <w:rsid w:val="005941E4"/>
    <w:rsid w:val="0059449B"/>
    <w:rsid w:val="00594575"/>
    <w:rsid w:val="0059460B"/>
    <w:rsid w:val="00594740"/>
    <w:rsid w:val="00594869"/>
    <w:rsid w:val="00594991"/>
    <w:rsid w:val="005949DA"/>
    <w:rsid w:val="00594CCE"/>
    <w:rsid w:val="00594E7A"/>
    <w:rsid w:val="0059507D"/>
    <w:rsid w:val="005954D2"/>
    <w:rsid w:val="00595533"/>
    <w:rsid w:val="00595702"/>
    <w:rsid w:val="005958BA"/>
    <w:rsid w:val="005959F0"/>
    <w:rsid w:val="00595C78"/>
    <w:rsid w:val="00595CCE"/>
    <w:rsid w:val="00595E32"/>
    <w:rsid w:val="00596289"/>
    <w:rsid w:val="005964D0"/>
    <w:rsid w:val="005968D4"/>
    <w:rsid w:val="005969A6"/>
    <w:rsid w:val="00596A0A"/>
    <w:rsid w:val="00596B0D"/>
    <w:rsid w:val="00596B6B"/>
    <w:rsid w:val="00596D02"/>
    <w:rsid w:val="00596DAC"/>
    <w:rsid w:val="00596ECB"/>
    <w:rsid w:val="00596F9F"/>
    <w:rsid w:val="0059723B"/>
    <w:rsid w:val="00597306"/>
    <w:rsid w:val="0059752E"/>
    <w:rsid w:val="00597602"/>
    <w:rsid w:val="00597659"/>
    <w:rsid w:val="00597717"/>
    <w:rsid w:val="005979EE"/>
    <w:rsid w:val="00597B7D"/>
    <w:rsid w:val="00597C08"/>
    <w:rsid w:val="00597CFF"/>
    <w:rsid w:val="00597D55"/>
    <w:rsid w:val="00597DEB"/>
    <w:rsid w:val="00597E00"/>
    <w:rsid w:val="005A0005"/>
    <w:rsid w:val="005A011C"/>
    <w:rsid w:val="005A0249"/>
    <w:rsid w:val="005A024F"/>
    <w:rsid w:val="005A02C7"/>
    <w:rsid w:val="005A03CF"/>
    <w:rsid w:val="005A04B2"/>
    <w:rsid w:val="005A05E2"/>
    <w:rsid w:val="005A0653"/>
    <w:rsid w:val="005A079F"/>
    <w:rsid w:val="005A07B0"/>
    <w:rsid w:val="005A0843"/>
    <w:rsid w:val="005A09E0"/>
    <w:rsid w:val="005A0B4D"/>
    <w:rsid w:val="005A0B92"/>
    <w:rsid w:val="005A0C6F"/>
    <w:rsid w:val="005A0C70"/>
    <w:rsid w:val="005A0C89"/>
    <w:rsid w:val="005A0EBC"/>
    <w:rsid w:val="005A113C"/>
    <w:rsid w:val="005A14B4"/>
    <w:rsid w:val="005A14F2"/>
    <w:rsid w:val="005A184A"/>
    <w:rsid w:val="005A1BA9"/>
    <w:rsid w:val="005A1D5A"/>
    <w:rsid w:val="005A2130"/>
    <w:rsid w:val="005A257E"/>
    <w:rsid w:val="005A2622"/>
    <w:rsid w:val="005A268C"/>
    <w:rsid w:val="005A2A6E"/>
    <w:rsid w:val="005A2A95"/>
    <w:rsid w:val="005A2B0C"/>
    <w:rsid w:val="005A2B34"/>
    <w:rsid w:val="005A2D24"/>
    <w:rsid w:val="005A2E6C"/>
    <w:rsid w:val="005A2EA4"/>
    <w:rsid w:val="005A3094"/>
    <w:rsid w:val="005A3267"/>
    <w:rsid w:val="005A3364"/>
    <w:rsid w:val="005A3529"/>
    <w:rsid w:val="005A35BA"/>
    <w:rsid w:val="005A3676"/>
    <w:rsid w:val="005A36E5"/>
    <w:rsid w:val="005A37A9"/>
    <w:rsid w:val="005A38CF"/>
    <w:rsid w:val="005A39FE"/>
    <w:rsid w:val="005A3C9D"/>
    <w:rsid w:val="005A3CE0"/>
    <w:rsid w:val="005A3D93"/>
    <w:rsid w:val="005A3F51"/>
    <w:rsid w:val="005A3FE4"/>
    <w:rsid w:val="005A40C3"/>
    <w:rsid w:val="005A4118"/>
    <w:rsid w:val="005A41BA"/>
    <w:rsid w:val="005A420A"/>
    <w:rsid w:val="005A4389"/>
    <w:rsid w:val="005A4447"/>
    <w:rsid w:val="005A44D8"/>
    <w:rsid w:val="005A45F4"/>
    <w:rsid w:val="005A46B7"/>
    <w:rsid w:val="005A46D7"/>
    <w:rsid w:val="005A47E6"/>
    <w:rsid w:val="005A4876"/>
    <w:rsid w:val="005A48BA"/>
    <w:rsid w:val="005A49AA"/>
    <w:rsid w:val="005A4A70"/>
    <w:rsid w:val="005A4B02"/>
    <w:rsid w:val="005A4B15"/>
    <w:rsid w:val="005A4BF6"/>
    <w:rsid w:val="005A4C20"/>
    <w:rsid w:val="005A4C97"/>
    <w:rsid w:val="005A4CA5"/>
    <w:rsid w:val="005A4CDB"/>
    <w:rsid w:val="005A4DF7"/>
    <w:rsid w:val="005A5049"/>
    <w:rsid w:val="005A5222"/>
    <w:rsid w:val="005A522E"/>
    <w:rsid w:val="005A552C"/>
    <w:rsid w:val="005A55CE"/>
    <w:rsid w:val="005A5623"/>
    <w:rsid w:val="005A56EA"/>
    <w:rsid w:val="005A5712"/>
    <w:rsid w:val="005A594A"/>
    <w:rsid w:val="005A594E"/>
    <w:rsid w:val="005A59B2"/>
    <w:rsid w:val="005A5B4D"/>
    <w:rsid w:val="005A5D31"/>
    <w:rsid w:val="005A5D9A"/>
    <w:rsid w:val="005A5DF4"/>
    <w:rsid w:val="005A5EF3"/>
    <w:rsid w:val="005A61D5"/>
    <w:rsid w:val="005A66FB"/>
    <w:rsid w:val="005A682F"/>
    <w:rsid w:val="005A68E8"/>
    <w:rsid w:val="005A6908"/>
    <w:rsid w:val="005A6B2D"/>
    <w:rsid w:val="005A6C71"/>
    <w:rsid w:val="005A6EC2"/>
    <w:rsid w:val="005A70E9"/>
    <w:rsid w:val="005A7141"/>
    <w:rsid w:val="005A7236"/>
    <w:rsid w:val="005A7271"/>
    <w:rsid w:val="005A72EE"/>
    <w:rsid w:val="005A755E"/>
    <w:rsid w:val="005A7643"/>
    <w:rsid w:val="005A7753"/>
    <w:rsid w:val="005A7A81"/>
    <w:rsid w:val="005A7B52"/>
    <w:rsid w:val="005A7C2A"/>
    <w:rsid w:val="005A7C97"/>
    <w:rsid w:val="005A7CC8"/>
    <w:rsid w:val="005A7E95"/>
    <w:rsid w:val="005A7F8C"/>
    <w:rsid w:val="005A7FA6"/>
    <w:rsid w:val="005B00D2"/>
    <w:rsid w:val="005B01F9"/>
    <w:rsid w:val="005B04DC"/>
    <w:rsid w:val="005B05B2"/>
    <w:rsid w:val="005B05CE"/>
    <w:rsid w:val="005B0654"/>
    <w:rsid w:val="005B069F"/>
    <w:rsid w:val="005B06DA"/>
    <w:rsid w:val="005B08D6"/>
    <w:rsid w:val="005B0970"/>
    <w:rsid w:val="005B09FF"/>
    <w:rsid w:val="005B0A37"/>
    <w:rsid w:val="005B0AC9"/>
    <w:rsid w:val="005B0E06"/>
    <w:rsid w:val="005B1084"/>
    <w:rsid w:val="005B10D3"/>
    <w:rsid w:val="005B13F2"/>
    <w:rsid w:val="005B1442"/>
    <w:rsid w:val="005B1464"/>
    <w:rsid w:val="005B14D2"/>
    <w:rsid w:val="005B159C"/>
    <w:rsid w:val="005B1AF6"/>
    <w:rsid w:val="005B1C67"/>
    <w:rsid w:val="005B1E16"/>
    <w:rsid w:val="005B1E18"/>
    <w:rsid w:val="005B1EAE"/>
    <w:rsid w:val="005B1EE0"/>
    <w:rsid w:val="005B200C"/>
    <w:rsid w:val="005B20EF"/>
    <w:rsid w:val="005B241C"/>
    <w:rsid w:val="005B2471"/>
    <w:rsid w:val="005B252B"/>
    <w:rsid w:val="005B2857"/>
    <w:rsid w:val="005B2C28"/>
    <w:rsid w:val="005B2D4C"/>
    <w:rsid w:val="005B2DD3"/>
    <w:rsid w:val="005B2ED0"/>
    <w:rsid w:val="005B2F97"/>
    <w:rsid w:val="005B30C4"/>
    <w:rsid w:val="005B34B6"/>
    <w:rsid w:val="005B3712"/>
    <w:rsid w:val="005B386A"/>
    <w:rsid w:val="005B3907"/>
    <w:rsid w:val="005B39DC"/>
    <w:rsid w:val="005B3B78"/>
    <w:rsid w:val="005B3BBD"/>
    <w:rsid w:val="005B3BCF"/>
    <w:rsid w:val="005B3F97"/>
    <w:rsid w:val="005B4078"/>
    <w:rsid w:val="005B4196"/>
    <w:rsid w:val="005B41BE"/>
    <w:rsid w:val="005B42D9"/>
    <w:rsid w:val="005B4550"/>
    <w:rsid w:val="005B4AD5"/>
    <w:rsid w:val="005B4AD7"/>
    <w:rsid w:val="005B4B27"/>
    <w:rsid w:val="005B4DCE"/>
    <w:rsid w:val="005B4FCF"/>
    <w:rsid w:val="005B5037"/>
    <w:rsid w:val="005B5088"/>
    <w:rsid w:val="005B50E0"/>
    <w:rsid w:val="005B51CF"/>
    <w:rsid w:val="005B52C1"/>
    <w:rsid w:val="005B536E"/>
    <w:rsid w:val="005B53B4"/>
    <w:rsid w:val="005B5502"/>
    <w:rsid w:val="005B559D"/>
    <w:rsid w:val="005B56D8"/>
    <w:rsid w:val="005B57C9"/>
    <w:rsid w:val="005B5853"/>
    <w:rsid w:val="005B5A8F"/>
    <w:rsid w:val="005B5B44"/>
    <w:rsid w:val="005B5CCF"/>
    <w:rsid w:val="005B5F17"/>
    <w:rsid w:val="005B61D6"/>
    <w:rsid w:val="005B63B3"/>
    <w:rsid w:val="005B65DE"/>
    <w:rsid w:val="005B65FD"/>
    <w:rsid w:val="005B6744"/>
    <w:rsid w:val="005B6766"/>
    <w:rsid w:val="005B6A18"/>
    <w:rsid w:val="005B6AA0"/>
    <w:rsid w:val="005B6B28"/>
    <w:rsid w:val="005B6FD4"/>
    <w:rsid w:val="005B700C"/>
    <w:rsid w:val="005B7084"/>
    <w:rsid w:val="005B7145"/>
    <w:rsid w:val="005B7481"/>
    <w:rsid w:val="005B754D"/>
    <w:rsid w:val="005B7704"/>
    <w:rsid w:val="005B77A7"/>
    <w:rsid w:val="005B78E2"/>
    <w:rsid w:val="005B79F4"/>
    <w:rsid w:val="005B7C83"/>
    <w:rsid w:val="005B7E78"/>
    <w:rsid w:val="005C00C5"/>
    <w:rsid w:val="005C02A4"/>
    <w:rsid w:val="005C030A"/>
    <w:rsid w:val="005C049B"/>
    <w:rsid w:val="005C0668"/>
    <w:rsid w:val="005C0731"/>
    <w:rsid w:val="005C09C8"/>
    <w:rsid w:val="005C0C4A"/>
    <w:rsid w:val="005C0F54"/>
    <w:rsid w:val="005C10B4"/>
    <w:rsid w:val="005C1327"/>
    <w:rsid w:val="005C1350"/>
    <w:rsid w:val="005C137E"/>
    <w:rsid w:val="005C1599"/>
    <w:rsid w:val="005C1866"/>
    <w:rsid w:val="005C1A2A"/>
    <w:rsid w:val="005C1C68"/>
    <w:rsid w:val="005C1C76"/>
    <w:rsid w:val="005C1DD0"/>
    <w:rsid w:val="005C1DF9"/>
    <w:rsid w:val="005C1EAE"/>
    <w:rsid w:val="005C1FF1"/>
    <w:rsid w:val="005C217D"/>
    <w:rsid w:val="005C2232"/>
    <w:rsid w:val="005C23E5"/>
    <w:rsid w:val="005C24CA"/>
    <w:rsid w:val="005C267E"/>
    <w:rsid w:val="005C27B8"/>
    <w:rsid w:val="005C2A28"/>
    <w:rsid w:val="005C2BAE"/>
    <w:rsid w:val="005C2C2F"/>
    <w:rsid w:val="005C2D11"/>
    <w:rsid w:val="005C2E0C"/>
    <w:rsid w:val="005C2FDE"/>
    <w:rsid w:val="005C300C"/>
    <w:rsid w:val="005C32A5"/>
    <w:rsid w:val="005C32D0"/>
    <w:rsid w:val="005C33E6"/>
    <w:rsid w:val="005C36A4"/>
    <w:rsid w:val="005C37E9"/>
    <w:rsid w:val="005C3800"/>
    <w:rsid w:val="005C3A06"/>
    <w:rsid w:val="005C3BC8"/>
    <w:rsid w:val="005C3C18"/>
    <w:rsid w:val="005C3C68"/>
    <w:rsid w:val="005C3C97"/>
    <w:rsid w:val="005C3CE8"/>
    <w:rsid w:val="005C3F8D"/>
    <w:rsid w:val="005C3FED"/>
    <w:rsid w:val="005C400C"/>
    <w:rsid w:val="005C416B"/>
    <w:rsid w:val="005C41C1"/>
    <w:rsid w:val="005C42B4"/>
    <w:rsid w:val="005C43FB"/>
    <w:rsid w:val="005C47CD"/>
    <w:rsid w:val="005C4E33"/>
    <w:rsid w:val="005C4E7C"/>
    <w:rsid w:val="005C5128"/>
    <w:rsid w:val="005C5291"/>
    <w:rsid w:val="005C53B6"/>
    <w:rsid w:val="005C53FD"/>
    <w:rsid w:val="005C5679"/>
    <w:rsid w:val="005C56B9"/>
    <w:rsid w:val="005C56F1"/>
    <w:rsid w:val="005C57F6"/>
    <w:rsid w:val="005C5A92"/>
    <w:rsid w:val="005C5B66"/>
    <w:rsid w:val="005C5B7C"/>
    <w:rsid w:val="005C5BE2"/>
    <w:rsid w:val="005C5C39"/>
    <w:rsid w:val="005C5EE5"/>
    <w:rsid w:val="005C6296"/>
    <w:rsid w:val="005C644E"/>
    <w:rsid w:val="005C649D"/>
    <w:rsid w:val="005C65B8"/>
    <w:rsid w:val="005C6696"/>
    <w:rsid w:val="005C6783"/>
    <w:rsid w:val="005C69BE"/>
    <w:rsid w:val="005C69DB"/>
    <w:rsid w:val="005C6AFF"/>
    <w:rsid w:val="005C6C1D"/>
    <w:rsid w:val="005C6D42"/>
    <w:rsid w:val="005C6D7D"/>
    <w:rsid w:val="005C6D9B"/>
    <w:rsid w:val="005C6DDA"/>
    <w:rsid w:val="005C6FEE"/>
    <w:rsid w:val="005C7179"/>
    <w:rsid w:val="005C7227"/>
    <w:rsid w:val="005C7342"/>
    <w:rsid w:val="005C74EC"/>
    <w:rsid w:val="005C76B5"/>
    <w:rsid w:val="005C77BE"/>
    <w:rsid w:val="005C7A95"/>
    <w:rsid w:val="005C7B14"/>
    <w:rsid w:val="005C7BF3"/>
    <w:rsid w:val="005C7CE9"/>
    <w:rsid w:val="005C7CEC"/>
    <w:rsid w:val="005C7D84"/>
    <w:rsid w:val="005C7E45"/>
    <w:rsid w:val="005C7F38"/>
    <w:rsid w:val="005D0093"/>
    <w:rsid w:val="005D00E3"/>
    <w:rsid w:val="005D02D4"/>
    <w:rsid w:val="005D0392"/>
    <w:rsid w:val="005D0557"/>
    <w:rsid w:val="005D063C"/>
    <w:rsid w:val="005D06F9"/>
    <w:rsid w:val="005D0859"/>
    <w:rsid w:val="005D08B7"/>
    <w:rsid w:val="005D08C9"/>
    <w:rsid w:val="005D0AFD"/>
    <w:rsid w:val="005D0C85"/>
    <w:rsid w:val="005D0DC0"/>
    <w:rsid w:val="005D0EC0"/>
    <w:rsid w:val="005D0F73"/>
    <w:rsid w:val="005D1077"/>
    <w:rsid w:val="005D13F4"/>
    <w:rsid w:val="005D146D"/>
    <w:rsid w:val="005D15F5"/>
    <w:rsid w:val="005D1701"/>
    <w:rsid w:val="005D17A7"/>
    <w:rsid w:val="005D17D2"/>
    <w:rsid w:val="005D1A34"/>
    <w:rsid w:val="005D1A37"/>
    <w:rsid w:val="005D1C12"/>
    <w:rsid w:val="005D1C56"/>
    <w:rsid w:val="005D1D7C"/>
    <w:rsid w:val="005D1DB2"/>
    <w:rsid w:val="005D1E31"/>
    <w:rsid w:val="005D21D3"/>
    <w:rsid w:val="005D230F"/>
    <w:rsid w:val="005D266A"/>
    <w:rsid w:val="005D2765"/>
    <w:rsid w:val="005D27F5"/>
    <w:rsid w:val="005D29D0"/>
    <w:rsid w:val="005D2A5E"/>
    <w:rsid w:val="005D2A7F"/>
    <w:rsid w:val="005D2A9B"/>
    <w:rsid w:val="005D2AA1"/>
    <w:rsid w:val="005D2AD4"/>
    <w:rsid w:val="005D2C1B"/>
    <w:rsid w:val="005D2D8C"/>
    <w:rsid w:val="005D300F"/>
    <w:rsid w:val="005D30BE"/>
    <w:rsid w:val="005D31B6"/>
    <w:rsid w:val="005D31B8"/>
    <w:rsid w:val="005D31FA"/>
    <w:rsid w:val="005D327B"/>
    <w:rsid w:val="005D3388"/>
    <w:rsid w:val="005D3468"/>
    <w:rsid w:val="005D354D"/>
    <w:rsid w:val="005D3655"/>
    <w:rsid w:val="005D36ED"/>
    <w:rsid w:val="005D3952"/>
    <w:rsid w:val="005D398C"/>
    <w:rsid w:val="005D3AC1"/>
    <w:rsid w:val="005D3B86"/>
    <w:rsid w:val="005D3D56"/>
    <w:rsid w:val="005D3D6F"/>
    <w:rsid w:val="005D3DFE"/>
    <w:rsid w:val="005D4034"/>
    <w:rsid w:val="005D4137"/>
    <w:rsid w:val="005D4169"/>
    <w:rsid w:val="005D41D7"/>
    <w:rsid w:val="005D429C"/>
    <w:rsid w:val="005D441D"/>
    <w:rsid w:val="005D45D6"/>
    <w:rsid w:val="005D4643"/>
    <w:rsid w:val="005D48C8"/>
    <w:rsid w:val="005D4AFE"/>
    <w:rsid w:val="005D4B5B"/>
    <w:rsid w:val="005D4C1A"/>
    <w:rsid w:val="005D4CF4"/>
    <w:rsid w:val="005D4D66"/>
    <w:rsid w:val="005D4F7C"/>
    <w:rsid w:val="005D508B"/>
    <w:rsid w:val="005D5184"/>
    <w:rsid w:val="005D53EE"/>
    <w:rsid w:val="005D55AC"/>
    <w:rsid w:val="005D58CF"/>
    <w:rsid w:val="005D5A16"/>
    <w:rsid w:val="005D5AC2"/>
    <w:rsid w:val="005D5B8D"/>
    <w:rsid w:val="005D5BA8"/>
    <w:rsid w:val="005D5BAB"/>
    <w:rsid w:val="005D5D96"/>
    <w:rsid w:val="005D5DDF"/>
    <w:rsid w:val="005D5FDF"/>
    <w:rsid w:val="005D6082"/>
    <w:rsid w:val="005D6985"/>
    <w:rsid w:val="005D6AAF"/>
    <w:rsid w:val="005D6AFE"/>
    <w:rsid w:val="005D6B84"/>
    <w:rsid w:val="005D6C19"/>
    <w:rsid w:val="005D6C1A"/>
    <w:rsid w:val="005D6CDC"/>
    <w:rsid w:val="005D6EB1"/>
    <w:rsid w:val="005D6ECF"/>
    <w:rsid w:val="005D6F4D"/>
    <w:rsid w:val="005D6FCF"/>
    <w:rsid w:val="005D6FFD"/>
    <w:rsid w:val="005D7237"/>
    <w:rsid w:val="005D7288"/>
    <w:rsid w:val="005D7320"/>
    <w:rsid w:val="005D7359"/>
    <w:rsid w:val="005D73FE"/>
    <w:rsid w:val="005D740B"/>
    <w:rsid w:val="005D7418"/>
    <w:rsid w:val="005D7704"/>
    <w:rsid w:val="005D7783"/>
    <w:rsid w:val="005D7904"/>
    <w:rsid w:val="005D7969"/>
    <w:rsid w:val="005D7A1C"/>
    <w:rsid w:val="005D7A29"/>
    <w:rsid w:val="005D7AA6"/>
    <w:rsid w:val="005D7AF9"/>
    <w:rsid w:val="005D7C97"/>
    <w:rsid w:val="005E00CC"/>
    <w:rsid w:val="005E0121"/>
    <w:rsid w:val="005E0230"/>
    <w:rsid w:val="005E0313"/>
    <w:rsid w:val="005E0374"/>
    <w:rsid w:val="005E03CC"/>
    <w:rsid w:val="005E04A9"/>
    <w:rsid w:val="005E056B"/>
    <w:rsid w:val="005E0605"/>
    <w:rsid w:val="005E0792"/>
    <w:rsid w:val="005E0873"/>
    <w:rsid w:val="005E0C52"/>
    <w:rsid w:val="005E0C8A"/>
    <w:rsid w:val="005E0CA7"/>
    <w:rsid w:val="005E0E9E"/>
    <w:rsid w:val="005E12F3"/>
    <w:rsid w:val="005E1303"/>
    <w:rsid w:val="005E1417"/>
    <w:rsid w:val="005E151E"/>
    <w:rsid w:val="005E1568"/>
    <w:rsid w:val="005E1573"/>
    <w:rsid w:val="005E166C"/>
    <w:rsid w:val="005E167E"/>
    <w:rsid w:val="005E1720"/>
    <w:rsid w:val="005E1774"/>
    <w:rsid w:val="005E190B"/>
    <w:rsid w:val="005E191F"/>
    <w:rsid w:val="005E1B91"/>
    <w:rsid w:val="005E1BA2"/>
    <w:rsid w:val="005E1E24"/>
    <w:rsid w:val="005E1E65"/>
    <w:rsid w:val="005E1FCB"/>
    <w:rsid w:val="005E2059"/>
    <w:rsid w:val="005E2151"/>
    <w:rsid w:val="005E221E"/>
    <w:rsid w:val="005E2243"/>
    <w:rsid w:val="005E22B2"/>
    <w:rsid w:val="005E2445"/>
    <w:rsid w:val="005E25EE"/>
    <w:rsid w:val="005E25FF"/>
    <w:rsid w:val="005E28B0"/>
    <w:rsid w:val="005E294B"/>
    <w:rsid w:val="005E29A5"/>
    <w:rsid w:val="005E2A27"/>
    <w:rsid w:val="005E2A4E"/>
    <w:rsid w:val="005E2D02"/>
    <w:rsid w:val="005E2DC5"/>
    <w:rsid w:val="005E2E6C"/>
    <w:rsid w:val="005E30CD"/>
    <w:rsid w:val="005E3859"/>
    <w:rsid w:val="005E3A22"/>
    <w:rsid w:val="005E3D67"/>
    <w:rsid w:val="005E3DA8"/>
    <w:rsid w:val="005E3EC7"/>
    <w:rsid w:val="005E3EE8"/>
    <w:rsid w:val="005E3FAE"/>
    <w:rsid w:val="005E3FD0"/>
    <w:rsid w:val="005E404F"/>
    <w:rsid w:val="005E428D"/>
    <w:rsid w:val="005E42A7"/>
    <w:rsid w:val="005E4326"/>
    <w:rsid w:val="005E449D"/>
    <w:rsid w:val="005E451D"/>
    <w:rsid w:val="005E45BB"/>
    <w:rsid w:val="005E47E1"/>
    <w:rsid w:val="005E47E6"/>
    <w:rsid w:val="005E4C32"/>
    <w:rsid w:val="005E4F00"/>
    <w:rsid w:val="005E5063"/>
    <w:rsid w:val="005E519A"/>
    <w:rsid w:val="005E52DF"/>
    <w:rsid w:val="005E55B6"/>
    <w:rsid w:val="005E55BE"/>
    <w:rsid w:val="005E5705"/>
    <w:rsid w:val="005E57F3"/>
    <w:rsid w:val="005E588C"/>
    <w:rsid w:val="005E5B59"/>
    <w:rsid w:val="005E5B63"/>
    <w:rsid w:val="005E5BEB"/>
    <w:rsid w:val="005E5C59"/>
    <w:rsid w:val="005E5F62"/>
    <w:rsid w:val="005E5FA4"/>
    <w:rsid w:val="005E5FC4"/>
    <w:rsid w:val="005E61EA"/>
    <w:rsid w:val="005E6246"/>
    <w:rsid w:val="005E62D8"/>
    <w:rsid w:val="005E6325"/>
    <w:rsid w:val="005E68CB"/>
    <w:rsid w:val="005E6B61"/>
    <w:rsid w:val="005E6C0F"/>
    <w:rsid w:val="005E6D5C"/>
    <w:rsid w:val="005E6E25"/>
    <w:rsid w:val="005E6E37"/>
    <w:rsid w:val="005E6F64"/>
    <w:rsid w:val="005E7076"/>
    <w:rsid w:val="005E7588"/>
    <w:rsid w:val="005E774A"/>
    <w:rsid w:val="005E78D4"/>
    <w:rsid w:val="005E79B4"/>
    <w:rsid w:val="005E79E6"/>
    <w:rsid w:val="005E7DCC"/>
    <w:rsid w:val="005E7F16"/>
    <w:rsid w:val="005F00BE"/>
    <w:rsid w:val="005F0171"/>
    <w:rsid w:val="005F04A9"/>
    <w:rsid w:val="005F04F9"/>
    <w:rsid w:val="005F0590"/>
    <w:rsid w:val="005F0613"/>
    <w:rsid w:val="005F0726"/>
    <w:rsid w:val="005F0749"/>
    <w:rsid w:val="005F07A9"/>
    <w:rsid w:val="005F08F9"/>
    <w:rsid w:val="005F09CB"/>
    <w:rsid w:val="005F0BF0"/>
    <w:rsid w:val="005F0D25"/>
    <w:rsid w:val="005F0ECE"/>
    <w:rsid w:val="005F0F9B"/>
    <w:rsid w:val="005F105C"/>
    <w:rsid w:val="005F1170"/>
    <w:rsid w:val="005F119C"/>
    <w:rsid w:val="005F122D"/>
    <w:rsid w:val="005F130E"/>
    <w:rsid w:val="005F144B"/>
    <w:rsid w:val="005F158D"/>
    <w:rsid w:val="005F1759"/>
    <w:rsid w:val="005F18CF"/>
    <w:rsid w:val="005F1A84"/>
    <w:rsid w:val="005F1AFA"/>
    <w:rsid w:val="005F1BFA"/>
    <w:rsid w:val="005F1C94"/>
    <w:rsid w:val="005F1CC3"/>
    <w:rsid w:val="005F1DEE"/>
    <w:rsid w:val="005F1E51"/>
    <w:rsid w:val="005F1E9A"/>
    <w:rsid w:val="005F1FBF"/>
    <w:rsid w:val="005F206C"/>
    <w:rsid w:val="005F2174"/>
    <w:rsid w:val="005F218C"/>
    <w:rsid w:val="005F2379"/>
    <w:rsid w:val="005F243F"/>
    <w:rsid w:val="005F2455"/>
    <w:rsid w:val="005F25A6"/>
    <w:rsid w:val="005F25B3"/>
    <w:rsid w:val="005F25B9"/>
    <w:rsid w:val="005F26CD"/>
    <w:rsid w:val="005F28CA"/>
    <w:rsid w:val="005F28F6"/>
    <w:rsid w:val="005F28FC"/>
    <w:rsid w:val="005F290B"/>
    <w:rsid w:val="005F291E"/>
    <w:rsid w:val="005F2A98"/>
    <w:rsid w:val="005F2C54"/>
    <w:rsid w:val="005F2C64"/>
    <w:rsid w:val="005F2CC4"/>
    <w:rsid w:val="005F2E73"/>
    <w:rsid w:val="005F2FFA"/>
    <w:rsid w:val="005F3003"/>
    <w:rsid w:val="005F3496"/>
    <w:rsid w:val="005F34FC"/>
    <w:rsid w:val="005F3539"/>
    <w:rsid w:val="005F3545"/>
    <w:rsid w:val="005F3595"/>
    <w:rsid w:val="005F37DB"/>
    <w:rsid w:val="005F3992"/>
    <w:rsid w:val="005F3A1D"/>
    <w:rsid w:val="005F3C2B"/>
    <w:rsid w:val="005F3C35"/>
    <w:rsid w:val="005F3EF3"/>
    <w:rsid w:val="005F423A"/>
    <w:rsid w:val="005F423C"/>
    <w:rsid w:val="005F4253"/>
    <w:rsid w:val="005F4271"/>
    <w:rsid w:val="005F4370"/>
    <w:rsid w:val="005F43AA"/>
    <w:rsid w:val="005F44C5"/>
    <w:rsid w:val="005F46A6"/>
    <w:rsid w:val="005F4829"/>
    <w:rsid w:val="005F48E2"/>
    <w:rsid w:val="005F4927"/>
    <w:rsid w:val="005F4A65"/>
    <w:rsid w:val="005F4A75"/>
    <w:rsid w:val="005F4AE2"/>
    <w:rsid w:val="005F4B54"/>
    <w:rsid w:val="005F4C80"/>
    <w:rsid w:val="005F4D4A"/>
    <w:rsid w:val="005F4E3C"/>
    <w:rsid w:val="005F4F5F"/>
    <w:rsid w:val="005F5103"/>
    <w:rsid w:val="005F51F6"/>
    <w:rsid w:val="005F5228"/>
    <w:rsid w:val="005F5320"/>
    <w:rsid w:val="005F5344"/>
    <w:rsid w:val="005F5371"/>
    <w:rsid w:val="005F54D4"/>
    <w:rsid w:val="005F5582"/>
    <w:rsid w:val="005F59D6"/>
    <w:rsid w:val="005F5A5D"/>
    <w:rsid w:val="005F5ADB"/>
    <w:rsid w:val="005F5B06"/>
    <w:rsid w:val="005F5E22"/>
    <w:rsid w:val="005F5F5B"/>
    <w:rsid w:val="005F5F74"/>
    <w:rsid w:val="005F62A4"/>
    <w:rsid w:val="005F6319"/>
    <w:rsid w:val="005F6412"/>
    <w:rsid w:val="005F65E0"/>
    <w:rsid w:val="005F6721"/>
    <w:rsid w:val="005F6784"/>
    <w:rsid w:val="005F67F9"/>
    <w:rsid w:val="005F6860"/>
    <w:rsid w:val="005F68F2"/>
    <w:rsid w:val="005F694E"/>
    <w:rsid w:val="005F6A51"/>
    <w:rsid w:val="005F6AF2"/>
    <w:rsid w:val="005F6B1C"/>
    <w:rsid w:val="005F6B3B"/>
    <w:rsid w:val="005F6CFB"/>
    <w:rsid w:val="005F6D39"/>
    <w:rsid w:val="005F6E2F"/>
    <w:rsid w:val="005F7148"/>
    <w:rsid w:val="005F72D6"/>
    <w:rsid w:val="005F73CE"/>
    <w:rsid w:val="005F76B3"/>
    <w:rsid w:val="005F787B"/>
    <w:rsid w:val="005F78B9"/>
    <w:rsid w:val="005F7985"/>
    <w:rsid w:val="005F7A68"/>
    <w:rsid w:val="005F7B81"/>
    <w:rsid w:val="00600010"/>
    <w:rsid w:val="00600071"/>
    <w:rsid w:val="006000C2"/>
    <w:rsid w:val="0060013F"/>
    <w:rsid w:val="006001D8"/>
    <w:rsid w:val="00600380"/>
    <w:rsid w:val="00600708"/>
    <w:rsid w:val="0060070E"/>
    <w:rsid w:val="006007C9"/>
    <w:rsid w:val="006007F7"/>
    <w:rsid w:val="006007FE"/>
    <w:rsid w:val="00600820"/>
    <w:rsid w:val="0060090B"/>
    <w:rsid w:val="00600D4C"/>
    <w:rsid w:val="006010B6"/>
    <w:rsid w:val="0060113C"/>
    <w:rsid w:val="00601159"/>
    <w:rsid w:val="006011C5"/>
    <w:rsid w:val="00601208"/>
    <w:rsid w:val="00601424"/>
    <w:rsid w:val="006015A1"/>
    <w:rsid w:val="006016B0"/>
    <w:rsid w:val="006016B8"/>
    <w:rsid w:val="00601718"/>
    <w:rsid w:val="00601869"/>
    <w:rsid w:val="006018BA"/>
    <w:rsid w:val="006019E2"/>
    <w:rsid w:val="00601E12"/>
    <w:rsid w:val="006021FF"/>
    <w:rsid w:val="00602225"/>
    <w:rsid w:val="0060226D"/>
    <w:rsid w:val="006023DA"/>
    <w:rsid w:val="00602599"/>
    <w:rsid w:val="00602710"/>
    <w:rsid w:val="00602731"/>
    <w:rsid w:val="0060291F"/>
    <w:rsid w:val="00602938"/>
    <w:rsid w:val="006029A3"/>
    <w:rsid w:val="00602A5B"/>
    <w:rsid w:val="00602D49"/>
    <w:rsid w:val="00602D73"/>
    <w:rsid w:val="00602D9E"/>
    <w:rsid w:val="00602E63"/>
    <w:rsid w:val="006030AE"/>
    <w:rsid w:val="0060315E"/>
    <w:rsid w:val="00603372"/>
    <w:rsid w:val="006034F7"/>
    <w:rsid w:val="006036BC"/>
    <w:rsid w:val="00603782"/>
    <w:rsid w:val="006037DC"/>
    <w:rsid w:val="006038DA"/>
    <w:rsid w:val="0060396F"/>
    <w:rsid w:val="006039A8"/>
    <w:rsid w:val="006039EB"/>
    <w:rsid w:val="00603B58"/>
    <w:rsid w:val="00604565"/>
    <w:rsid w:val="006047C2"/>
    <w:rsid w:val="0060494C"/>
    <w:rsid w:val="0060498C"/>
    <w:rsid w:val="00604A03"/>
    <w:rsid w:val="00604B69"/>
    <w:rsid w:val="00604CC2"/>
    <w:rsid w:val="00604D57"/>
    <w:rsid w:val="00605048"/>
    <w:rsid w:val="0060518D"/>
    <w:rsid w:val="00605345"/>
    <w:rsid w:val="00605356"/>
    <w:rsid w:val="00605394"/>
    <w:rsid w:val="00605480"/>
    <w:rsid w:val="00605537"/>
    <w:rsid w:val="00605602"/>
    <w:rsid w:val="0060561A"/>
    <w:rsid w:val="006056ED"/>
    <w:rsid w:val="006057E9"/>
    <w:rsid w:val="006059E9"/>
    <w:rsid w:val="00605D4A"/>
    <w:rsid w:val="00605DA1"/>
    <w:rsid w:val="00606209"/>
    <w:rsid w:val="006062F2"/>
    <w:rsid w:val="006064FE"/>
    <w:rsid w:val="0060686D"/>
    <w:rsid w:val="00606933"/>
    <w:rsid w:val="00606E7B"/>
    <w:rsid w:val="00606FF0"/>
    <w:rsid w:val="0060704B"/>
    <w:rsid w:val="00607087"/>
    <w:rsid w:val="0060713E"/>
    <w:rsid w:val="006072A4"/>
    <w:rsid w:val="006073A4"/>
    <w:rsid w:val="00607438"/>
    <w:rsid w:val="00607455"/>
    <w:rsid w:val="006075D8"/>
    <w:rsid w:val="006076E7"/>
    <w:rsid w:val="006077CB"/>
    <w:rsid w:val="00607826"/>
    <w:rsid w:val="0060784B"/>
    <w:rsid w:val="00607864"/>
    <w:rsid w:val="00607945"/>
    <w:rsid w:val="006079AE"/>
    <w:rsid w:val="00607A1B"/>
    <w:rsid w:val="00607AC4"/>
    <w:rsid w:val="00607BFE"/>
    <w:rsid w:val="00607E8D"/>
    <w:rsid w:val="0061008C"/>
    <w:rsid w:val="006100C6"/>
    <w:rsid w:val="0061010C"/>
    <w:rsid w:val="00610157"/>
    <w:rsid w:val="00610161"/>
    <w:rsid w:val="006103E6"/>
    <w:rsid w:val="0061055D"/>
    <w:rsid w:val="00610566"/>
    <w:rsid w:val="0061072B"/>
    <w:rsid w:val="00610B8B"/>
    <w:rsid w:val="00610DF5"/>
    <w:rsid w:val="00610FB3"/>
    <w:rsid w:val="00610FBA"/>
    <w:rsid w:val="006110A7"/>
    <w:rsid w:val="0061116C"/>
    <w:rsid w:val="006111D3"/>
    <w:rsid w:val="0061134D"/>
    <w:rsid w:val="00611561"/>
    <w:rsid w:val="006115F5"/>
    <w:rsid w:val="0061160D"/>
    <w:rsid w:val="00611697"/>
    <w:rsid w:val="006117A4"/>
    <w:rsid w:val="006117BE"/>
    <w:rsid w:val="0061184B"/>
    <w:rsid w:val="006118F0"/>
    <w:rsid w:val="006119A1"/>
    <w:rsid w:val="00611BEC"/>
    <w:rsid w:val="00611EA9"/>
    <w:rsid w:val="0061212F"/>
    <w:rsid w:val="0061218C"/>
    <w:rsid w:val="0061221F"/>
    <w:rsid w:val="00612487"/>
    <w:rsid w:val="006125F2"/>
    <w:rsid w:val="0061286B"/>
    <w:rsid w:val="00612B4A"/>
    <w:rsid w:val="00612DCD"/>
    <w:rsid w:val="00612EAC"/>
    <w:rsid w:val="00612F79"/>
    <w:rsid w:val="00612FD1"/>
    <w:rsid w:val="0061309D"/>
    <w:rsid w:val="006130EB"/>
    <w:rsid w:val="0061313B"/>
    <w:rsid w:val="0061346F"/>
    <w:rsid w:val="006134BA"/>
    <w:rsid w:val="00613536"/>
    <w:rsid w:val="0061359B"/>
    <w:rsid w:val="006135B3"/>
    <w:rsid w:val="00613678"/>
    <w:rsid w:val="006136BC"/>
    <w:rsid w:val="00613841"/>
    <w:rsid w:val="00613855"/>
    <w:rsid w:val="006139E4"/>
    <w:rsid w:val="00613A08"/>
    <w:rsid w:val="00613A49"/>
    <w:rsid w:val="00613A9E"/>
    <w:rsid w:val="00613BC9"/>
    <w:rsid w:val="00613BF8"/>
    <w:rsid w:val="00613CBF"/>
    <w:rsid w:val="00614114"/>
    <w:rsid w:val="00614127"/>
    <w:rsid w:val="00614200"/>
    <w:rsid w:val="0061426E"/>
    <w:rsid w:val="006143C8"/>
    <w:rsid w:val="00614617"/>
    <w:rsid w:val="00614649"/>
    <w:rsid w:val="006146D2"/>
    <w:rsid w:val="006146F8"/>
    <w:rsid w:val="00614749"/>
    <w:rsid w:val="006149B6"/>
    <w:rsid w:val="00614A0F"/>
    <w:rsid w:val="00614DF3"/>
    <w:rsid w:val="0061531B"/>
    <w:rsid w:val="00615354"/>
    <w:rsid w:val="0061538C"/>
    <w:rsid w:val="0061538D"/>
    <w:rsid w:val="006153ED"/>
    <w:rsid w:val="006154F5"/>
    <w:rsid w:val="00615584"/>
    <w:rsid w:val="006155D1"/>
    <w:rsid w:val="0061560F"/>
    <w:rsid w:val="00615666"/>
    <w:rsid w:val="00615776"/>
    <w:rsid w:val="00615788"/>
    <w:rsid w:val="006157B2"/>
    <w:rsid w:val="0061587A"/>
    <w:rsid w:val="006158AB"/>
    <w:rsid w:val="006159E0"/>
    <w:rsid w:val="00615A40"/>
    <w:rsid w:val="00615AA1"/>
    <w:rsid w:val="00615AA2"/>
    <w:rsid w:val="00615C6A"/>
    <w:rsid w:val="006160B3"/>
    <w:rsid w:val="006161BB"/>
    <w:rsid w:val="00616218"/>
    <w:rsid w:val="006162FE"/>
    <w:rsid w:val="0061633B"/>
    <w:rsid w:val="006163F8"/>
    <w:rsid w:val="006164DE"/>
    <w:rsid w:val="006165B0"/>
    <w:rsid w:val="0061660E"/>
    <w:rsid w:val="0061668E"/>
    <w:rsid w:val="006167AB"/>
    <w:rsid w:val="00616964"/>
    <w:rsid w:val="006169B4"/>
    <w:rsid w:val="00616B43"/>
    <w:rsid w:val="00616D1F"/>
    <w:rsid w:val="00616E4F"/>
    <w:rsid w:val="00616ED0"/>
    <w:rsid w:val="00616F05"/>
    <w:rsid w:val="00616FA2"/>
    <w:rsid w:val="006170B7"/>
    <w:rsid w:val="00617168"/>
    <w:rsid w:val="006171F4"/>
    <w:rsid w:val="00617221"/>
    <w:rsid w:val="0061733E"/>
    <w:rsid w:val="00617493"/>
    <w:rsid w:val="00617606"/>
    <w:rsid w:val="00617663"/>
    <w:rsid w:val="00617670"/>
    <w:rsid w:val="0061788D"/>
    <w:rsid w:val="00617964"/>
    <w:rsid w:val="006179FA"/>
    <w:rsid w:val="00617A01"/>
    <w:rsid w:val="00617A44"/>
    <w:rsid w:val="00617C6C"/>
    <w:rsid w:val="00617D48"/>
    <w:rsid w:val="00617D4F"/>
    <w:rsid w:val="00617E6F"/>
    <w:rsid w:val="0062020D"/>
    <w:rsid w:val="006204A5"/>
    <w:rsid w:val="006205CE"/>
    <w:rsid w:val="006206E6"/>
    <w:rsid w:val="0062070C"/>
    <w:rsid w:val="0062086E"/>
    <w:rsid w:val="006208B3"/>
    <w:rsid w:val="00620921"/>
    <w:rsid w:val="0062099E"/>
    <w:rsid w:val="00620A0C"/>
    <w:rsid w:val="00620E62"/>
    <w:rsid w:val="00620E70"/>
    <w:rsid w:val="00620EAE"/>
    <w:rsid w:val="00620FA6"/>
    <w:rsid w:val="006212A0"/>
    <w:rsid w:val="006212F9"/>
    <w:rsid w:val="0062162D"/>
    <w:rsid w:val="0062180F"/>
    <w:rsid w:val="006219C2"/>
    <w:rsid w:val="00621D2B"/>
    <w:rsid w:val="00621DFD"/>
    <w:rsid w:val="00621E7F"/>
    <w:rsid w:val="00621FCD"/>
    <w:rsid w:val="00622062"/>
    <w:rsid w:val="006221A6"/>
    <w:rsid w:val="00622761"/>
    <w:rsid w:val="00622763"/>
    <w:rsid w:val="00622968"/>
    <w:rsid w:val="00622E2F"/>
    <w:rsid w:val="00622FC1"/>
    <w:rsid w:val="00622FD9"/>
    <w:rsid w:val="00623147"/>
    <w:rsid w:val="0062316F"/>
    <w:rsid w:val="00623216"/>
    <w:rsid w:val="00623277"/>
    <w:rsid w:val="00623777"/>
    <w:rsid w:val="00623795"/>
    <w:rsid w:val="00623B09"/>
    <w:rsid w:val="00623B56"/>
    <w:rsid w:val="00623BFE"/>
    <w:rsid w:val="00623C10"/>
    <w:rsid w:val="00623DEF"/>
    <w:rsid w:val="00623FE7"/>
    <w:rsid w:val="00623FFE"/>
    <w:rsid w:val="0062407C"/>
    <w:rsid w:val="0062412B"/>
    <w:rsid w:val="00624288"/>
    <w:rsid w:val="00624383"/>
    <w:rsid w:val="0062459F"/>
    <w:rsid w:val="006245EB"/>
    <w:rsid w:val="00624700"/>
    <w:rsid w:val="006249ED"/>
    <w:rsid w:val="00624B94"/>
    <w:rsid w:val="00624E29"/>
    <w:rsid w:val="00624E94"/>
    <w:rsid w:val="00624EE7"/>
    <w:rsid w:val="00624F1D"/>
    <w:rsid w:val="00624FBF"/>
    <w:rsid w:val="00625207"/>
    <w:rsid w:val="00625209"/>
    <w:rsid w:val="006252A3"/>
    <w:rsid w:val="006252A9"/>
    <w:rsid w:val="006252C1"/>
    <w:rsid w:val="0062535C"/>
    <w:rsid w:val="006254BC"/>
    <w:rsid w:val="006254CE"/>
    <w:rsid w:val="00625598"/>
    <w:rsid w:val="00625727"/>
    <w:rsid w:val="00625738"/>
    <w:rsid w:val="00625996"/>
    <w:rsid w:val="006259E6"/>
    <w:rsid w:val="00625D95"/>
    <w:rsid w:val="00626398"/>
    <w:rsid w:val="00626443"/>
    <w:rsid w:val="00626462"/>
    <w:rsid w:val="0062671C"/>
    <w:rsid w:val="00626793"/>
    <w:rsid w:val="00626803"/>
    <w:rsid w:val="006269DE"/>
    <w:rsid w:val="00626AE3"/>
    <w:rsid w:val="00626B1E"/>
    <w:rsid w:val="00626B43"/>
    <w:rsid w:val="00626BB1"/>
    <w:rsid w:val="00626BBF"/>
    <w:rsid w:val="00626C98"/>
    <w:rsid w:val="00626F2B"/>
    <w:rsid w:val="00626F9F"/>
    <w:rsid w:val="0062740E"/>
    <w:rsid w:val="0062758B"/>
    <w:rsid w:val="0062773A"/>
    <w:rsid w:val="0062787E"/>
    <w:rsid w:val="006278F5"/>
    <w:rsid w:val="00627906"/>
    <w:rsid w:val="00627C2B"/>
    <w:rsid w:val="00627C76"/>
    <w:rsid w:val="00627CCA"/>
    <w:rsid w:val="00627E6B"/>
    <w:rsid w:val="00627E77"/>
    <w:rsid w:val="00627F4D"/>
    <w:rsid w:val="00630109"/>
    <w:rsid w:val="00630178"/>
    <w:rsid w:val="006301C5"/>
    <w:rsid w:val="00630248"/>
    <w:rsid w:val="0063037F"/>
    <w:rsid w:val="00630477"/>
    <w:rsid w:val="00630504"/>
    <w:rsid w:val="00630763"/>
    <w:rsid w:val="00630813"/>
    <w:rsid w:val="006308C5"/>
    <w:rsid w:val="00630A9D"/>
    <w:rsid w:val="00630B32"/>
    <w:rsid w:val="00630D70"/>
    <w:rsid w:val="00630F44"/>
    <w:rsid w:val="006310A3"/>
    <w:rsid w:val="0063111A"/>
    <w:rsid w:val="0063123C"/>
    <w:rsid w:val="006313EE"/>
    <w:rsid w:val="00631508"/>
    <w:rsid w:val="00631524"/>
    <w:rsid w:val="00631569"/>
    <w:rsid w:val="006316B1"/>
    <w:rsid w:val="00631821"/>
    <w:rsid w:val="0063183A"/>
    <w:rsid w:val="006318B3"/>
    <w:rsid w:val="00631CE8"/>
    <w:rsid w:val="00631D0C"/>
    <w:rsid w:val="00631E6D"/>
    <w:rsid w:val="00631EED"/>
    <w:rsid w:val="00631F3C"/>
    <w:rsid w:val="006321C8"/>
    <w:rsid w:val="00632221"/>
    <w:rsid w:val="006322DF"/>
    <w:rsid w:val="0063238B"/>
    <w:rsid w:val="006323A8"/>
    <w:rsid w:val="006323BA"/>
    <w:rsid w:val="006323E6"/>
    <w:rsid w:val="00632406"/>
    <w:rsid w:val="006325FF"/>
    <w:rsid w:val="006327A5"/>
    <w:rsid w:val="006327E1"/>
    <w:rsid w:val="00632A40"/>
    <w:rsid w:val="00632AC6"/>
    <w:rsid w:val="00632B68"/>
    <w:rsid w:val="00632B7C"/>
    <w:rsid w:val="00632BB0"/>
    <w:rsid w:val="00632FD9"/>
    <w:rsid w:val="00632FF4"/>
    <w:rsid w:val="00632FF7"/>
    <w:rsid w:val="006334C8"/>
    <w:rsid w:val="006337E2"/>
    <w:rsid w:val="0063383B"/>
    <w:rsid w:val="00633981"/>
    <w:rsid w:val="006339D8"/>
    <w:rsid w:val="00633A3F"/>
    <w:rsid w:val="00633AF5"/>
    <w:rsid w:val="00633E4B"/>
    <w:rsid w:val="0063404A"/>
    <w:rsid w:val="006341B1"/>
    <w:rsid w:val="006341BD"/>
    <w:rsid w:val="006341E3"/>
    <w:rsid w:val="006342F9"/>
    <w:rsid w:val="006344C5"/>
    <w:rsid w:val="0063483C"/>
    <w:rsid w:val="00634F00"/>
    <w:rsid w:val="00634FF4"/>
    <w:rsid w:val="0063508B"/>
    <w:rsid w:val="00635102"/>
    <w:rsid w:val="00635221"/>
    <w:rsid w:val="00635477"/>
    <w:rsid w:val="00635507"/>
    <w:rsid w:val="00635580"/>
    <w:rsid w:val="006355C2"/>
    <w:rsid w:val="006356FB"/>
    <w:rsid w:val="00635784"/>
    <w:rsid w:val="006357BB"/>
    <w:rsid w:val="00635919"/>
    <w:rsid w:val="00635A39"/>
    <w:rsid w:val="00635A83"/>
    <w:rsid w:val="00635A9F"/>
    <w:rsid w:val="00635B02"/>
    <w:rsid w:val="00635B10"/>
    <w:rsid w:val="00635B77"/>
    <w:rsid w:val="00635BEA"/>
    <w:rsid w:val="00635CF5"/>
    <w:rsid w:val="00635D12"/>
    <w:rsid w:val="00635D2C"/>
    <w:rsid w:val="00635DE9"/>
    <w:rsid w:val="00635E1E"/>
    <w:rsid w:val="00635F26"/>
    <w:rsid w:val="00635FC1"/>
    <w:rsid w:val="0063606D"/>
    <w:rsid w:val="00636159"/>
    <w:rsid w:val="006361A9"/>
    <w:rsid w:val="00636300"/>
    <w:rsid w:val="006363D8"/>
    <w:rsid w:val="00636457"/>
    <w:rsid w:val="006364D8"/>
    <w:rsid w:val="00636525"/>
    <w:rsid w:val="00636619"/>
    <w:rsid w:val="00636621"/>
    <w:rsid w:val="0063662E"/>
    <w:rsid w:val="0063664B"/>
    <w:rsid w:val="00636669"/>
    <w:rsid w:val="006366E2"/>
    <w:rsid w:val="006367B0"/>
    <w:rsid w:val="00636870"/>
    <w:rsid w:val="00636962"/>
    <w:rsid w:val="00636B93"/>
    <w:rsid w:val="00636C5A"/>
    <w:rsid w:val="00636D50"/>
    <w:rsid w:val="00636DAF"/>
    <w:rsid w:val="00636DB2"/>
    <w:rsid w:val="00637050"/>
    <w:rsid w:val="00637818"/>
    <w:rsid w:val="006378D6"/>
    <w:rsid w:val="00637906"/>
    <w:rsid w:val="00637950"/>
    <w:rsid w:val="00637C9B"/>
    <w:rsid w:val="00637CA5"/>
    <w:rsid w:val="00637D90"/>
    <w:rsid w:val="0064000B"/>
    <w:rsid w:val="00640086"/>
    <w:rsid w:val="0064009B"/>
    <w:rsid w:val="0064013D"/>
    <w:rsid w:val="0064014A"/>
    <w:rsid w:val="0064034C"/>
    <w:rsid w:val="006403D2"/>
    <w:rsid w:val="00640629"/>
    <w:rsid w:val="0064062D"/>
    <w:rsid w:val="00640638"/>
    <w:rsid w:val="0064078D"/>
    <w:rsid w:val="006407B9"/>
    <w:rsid w:val="0064086F"/>
    <w:rsid w:val="006409BA"/>
    <w:rsid w:val="00640C0A"/>
    <w:rsid w:val="00640C17"/>
    <w:rsid w:val="00640C7C"/>
    <w:rsid w:val="00640CE1"/>
    <w:rsid w:val="00640D14"/>
    <w:rsid w:val="00640D2A"/>
    <w:rsid w:val="00640F4B"/>
    <w:rsid w:val="00641041"/>
    <w:rsid w:val="006411D6"/>
    <w:rsid w:val="00641252"/>
    <w:rsid w:val="0064147C"/>
    <w:rsid w:val="006415AC"/>
    <w:rsid w:val="0064168B"/>
    <w:rsid w:val="00641750"/>
    <w:rsid w:val="00641986"/>
    <w:rsid w:val="00641B52"/>
    <w:rsid w:val="00641B83"/>
    <w:rsid w:val="00641BF9"/>
    <w:rsid w:val="00641D8A"/>
    <w:rsid w:val="00641E44"/>
    <w:rsid w:val="00641EED"/>
    <w:rsid w:val="00641F74"/>
    <w:rsid w:val="00641FEB"/>
    <w:rsid w:val="0064228C"/>
    <w:rsid w:val="006422F3"/>
    <w:rsid w:val="00642303"/>
    <w:rsid w:val="00642358"/>
    <w:rsid w:val="0064237D"/>
    <w:rsid w:val="0064240D"/>
    <w:rsid w:val="0064248E"/>
    <w:rsid w:val="006425BF"/>
    <w:rsid w:val="006426AD"/>
    <w:rsid w:val="0064286D"/>
    <w:rsid w:val="0064287F"/>
    <w:rsid w:val="006428C6"/>
    <w:rsid w:val="006428CD"/>
    <w:rsid w:val="0064297B"/>
    <w:rsid w:val="00642C32"/>
    <w:rsid w:val="00642C72"/>
    <w:rsid w:val="00642E5F"/>
    <w:rsid w:val="0064327E"/>
    <w:rsid w:val="006432DC"/>
    <w:rsid w:val="0064362B"/>
    <w:rsid w:val="00643657"/>
    <w:rsid w:val="00643686"/>
    <w:rsid w:val="0064374D"/>
    <w:rsid w:val="00643850"/>
    <w:rsid w:val="006439C6"/>
    <w:rsid w:val="00643B7F"/>
    <w:rsid w:val="00643C70"/>
    <w:rsid w:val="00643CB8"/>
    <w:rsid w:val="00643D8A"/>
    <w:rsid w:val="006440AD"/>
    <w:rsid w:val="00644377"/>
    <w:rsid w:val="006446A4"/>
    <w:rsid w:val="006446B5"/>
    <w:rsid w:val="0064499D"/>
    <w:rsid w:val="00644A2A"/>
    <w:rsid w:val="00644C70"/>
    <w:rsid w:val="00644F1F"/>
    <w:rsid w:val="00644F5B"/>
    <w:rsid w:val="00644F64"/>
    <w:rsid w:val="00644FFB"/>
    <w:rsid w:val="006450ED"/>
    <w:rsid w:val="006451CE"/>
    <w:rsid w:val="00645243"/>
    <w:rsid w:val="00645396"/>
    <w:rsid w:val="006454D6"/>
    <w:rsid w:val="00645582"/>
    <w:rsid w:val="006458EA"/>
    <w:rsid w:val="00645A84"/>
    <w:rsid w:val="00645A9C"/>
    <w:rsid w:val="00645E2D"/>
    <w:rsid w:val="00645E3A"/>
    <w:rsid w:val="00645FAF"/>
    <w:rsid w:val="006461CF"/>
    <w:rsid w:val="006462C6"/>
    <w:rsid w:val="006463CC"/>
    <w:rsid w:val="006466C2"/>
    <w:rsid w:val="00646792"/>
    <w:rsid w:val="00646795"/>
    <w:rsid w:val="006468E7"/>
    <w:rsid w:val="00646904"/>
    <w:rsid w:val="00646963"/>
    <w:rsid w:val="006469B6"/>
    <w:rsid w:val="00646A59"/>
    <w:rsid w:val="00646D98"/>
    <w:rsid w:val="00646FAB"/>
    <w:rsid w:val="006471AB"/>
    <w:rsid w:val="00647333"/>
    <w:rsid w:val="006473BA"/>
    <w:rsid w:val="006474E6"/>
    <w:rsid w:val="00647547"/>
    <w:rsid w:val="00647701"/>
    <w:rsid w:val="00647867"/>
    <w:rsid w:val="006478AA"/>
    <w:rsid w:val="00647A69"/>
    <w:rsid w:val="00647ABE"/>
    <w:rsid w:val="00647ACC"/>
    <w:rsid w:val="00647C53"/>
    <w:rsid w:val="00647CDB"/>
    <w:rsid w:val="006500F4"/>
    <w:rsid w:val="00650133"/>
    <w:rsid w:val="006501DF"/>
    <w:rsid w:val="006505C0"/>
    <w:rsid w:val="0065083C"/>
    <w:rsid w:val="00650926"/>
    <w:rsid w:val="006509E1"/>
    <w:rsid w:val="00650E4F"/>
    <w:rsid w:val="00651058"/>
    <w:rsid w:val="006510F9"/>
    <w:rsid w:val="006511ED"/>
    <w:rsid w:val="0065129B"/>
    <w:rsid w:val="00651430"/>
    <w:rsid w:val="00651436"/>
    <w:rsid w:val="0065158F"/>
    <w:rsid w:val="00651758"/>
    <w:rsid w:val="006517C8"/>
    <w:rsid w:val="00651818"/>
    <w:rsid w:val="006518AB"/>
    <w:rsid w:val="00651BD2"/>
    <w:rsid w:val="00651C27"/>
    <w:rsid w:val="00651D76"/>
    <w:rsid w:val="00651E14"/>
    <w:rsid w:val="00651F5C"/>
    <w:rsid w:val="00652062"/>
    <w:rsid w:val="00652184"/>
    <w:rsid w:val="006521DA"/>
    <w:rsid w:val="0065229A"/>
    <w:rsid w:val="00652402"/>
    <w:rsid w:val="00652511"/>
    <w:rsid w:val="006525BB"/>
    <w:rsid w:val="006525BD"/>
    <w:rsid w:val="0065268A"/>
    <w:rsid w:val="0065276F"/>
    <w:rsid w:val="006527EC"/>
    <w:rsid w:val="0065293C"/>
    <w:rsid w:val="006529B2"/>
    <w:rsid w:val="006529E9"/>
    <w:rsid w:val="006529F1"/>
    <w:rsid w:val="00652AF4"/>
    <w:rsid w:val="00652B47"/>
    <w:rsid w:val="00652BBD"/>
    <w:rsid w:val="00652BC9"/>
    <w:rsid w:val="00652C3A"/>
    <w:rsid w:val="00652D07"/>
    <w:rsid w:val="00652D7D"/>
    <w:rsid w:val="00652E0A"/>
    <w:rsid w:val="00652E3F"/>
    <w:rsid w:val="00652EA6"/>
    <w:rsid w:val="0065314C"/>
    <w:rsid w:val="006532C0"/>
    <w:rsid w:val="00653354"/>
    <w:rsid w:val="006533C8"/>
    <w:rsid w:val="00653449"/>
    <w:rsid w:val="0065345B"/>
    <w:rsid w:val="00653562"/>
    <w:rsid w:val="0065383E"/>
    <w:rsid w:val="00653A06"/>
    <w:rsid w:val="00653B3F"/>
    <w:rsid w:val="00653B82"/>
    <w:rsid w:val="00653F1C"/>
    <w:rsid w:val="00654166"/>
    <w:rsid w:val="006541C3"/>
    <w:rsid w:val="00654455"/>
    <w:rsid w:val="0065451F"/>
    <w:rsid w:val="00654585"/>
    <w:rsid w:val="00654656"/>
    <w:rsid w:val="00654682"/>
    <w:rsid w:val="00654710"/>
    <w:rsid w:val="00654856"/>
    <w:rsid w:val="00654AC4"/>
    <w:rsid w:val="00654BEB"/>
    <w:rsid w:val="00654C33"/>
    <w:rsid w:val="00654E24"/>
    <w:rsid w:val="00655120"/>
    <w:rsid w:val="006551AB"/>
    <w:rsid w:val="00655234"/>
    <w:rsid w:val="00655249"/>
    <w:rsid w:val="0065532F"/>
    <w:rsid w:val="00655330"/>
    <w:rsid w:val="006554FA"/>
    <w:rsid w:val="00655564"/>
    <w:rsid w:val="0065556B"/>
    <w:rsid w:val="006555A7"/>
    <w:rsid w:val="006555A8"/>
    <w:rsid w:val="006555E6"/>
    <w:rsid w:val="006555F1"/>
    <w:rsid w:val="00655640"/>
    <w:rsid w:val="006556F3"/>
    <w:rsid w:val="0065572B"/>
    <w:rsid w:val="00655BB7"/>
    <w:rsid w:val="00655BFB"/>
    <w:rsid w:val="006560BF"/>
    <w:rsid w:val="0065618B"/>
    <w:rsid w:val="006561CB"/>
    <w:rsid w:val="00656489"/>
    <w:rsid w:val="00656549"/>
    <w:rsid w:val="006565DF"/>
    <w:rsid w:val="00656897"/>
    <w:rsid w:val="00656A93"/>
    <w:rsid w:val="00656DB7"/>
    <w:rsid w:val="00656EEB"/>
    <w:rsid w:val="00656F0D"/>
    <w:rsid w:val="00656F19"/>
    <w:rsid w:val="00657073"/>
    <w:rsid w:val="0065737D"/>
    <w:rsid w:val="00657736"/>
    <w:rsid w:val="00657795"/>
    <w:rsid w:val="00657948"/>
    <w:rsid w:val="00657AD1"/>
    <w:rsid w:val="00657AFA"/>
    <w:rsid w:val="00657C27"/>
    <w:rsid w:val="00657CC2"/>
    <w:rsid w:val="00657CD8"/>
    <w:rsid w:val="00657D03"/>
    <w:rsid w:val="00657E01"/>
    <w:rsid w:val="00657F7B"/>
    <w:rsid w:val="0066014F"/>
    <w:rsid w:val="00660158"/>
    <w:rsid w:val="006602EC"/>
    <w:rsid w:val="00660300"/>
    <w:rsid w:val="006605E2"/>
    <w:rsid w:val="00660623"/>
    <w:rsid w:val="006606C5"/>
    <w:rsid w:val="006606E7"/>
    <w:rsid w:val="006607BF"/>
    <w:rsid w:val="00660872"/>
    <w:rsid w:val="00660895"/>
    <w:rsid w:val="006609F6"/>
    <w:rsid w:val="00660E01"/>
    <w:rsid w:val="00660ECE"/>
    <w:rsid w:val="00660F6F"/>
    <w:rsid w:val="00661077"/>
    <w:rsid w:val="0066138F"/>
    <w:rsid w:val="006614AB"/>
    <w:rsid w:val="006615E3"/>
    <w:rsid w:val="006617D7"/>
    <w:rsid w:val="006618E3"/>
    <w:rsid w:val="006619EA"/>
    <w:rsid w:val="00661BDD"/>
    <w:rsid w:val="00661C8A"/>
    <w:rsid w:val="00661CB6"/>
    <w:rsid w:val="00661E2D"/>
    <w:rsid w:val="00661E7F"/>
    <w:rsid w:val="00661E8F"/>
    <w:rsid w:val="00661FB0"/>
    <w:rsid w:val="006620A4"/>
    <w:rsid w:val="00662144"/>
    <w:rsid w:val="006621CD"/>
    <w:rsid w:val="0066252C"/>
    <w:rsid w:val="00662566"/>
    <w:rsid w:val="0066269F"/>
    <w:rsid w:val="006626C7"/>
    <w:rsid w:val="006628F2"/>
    <w:rsid w:val="00662997"/>
    <w:rsid w:val="00662AA2"/>
    <w:rsid w:val="00662B66"/>
    <w:rsid w:val="00662BAB"/>
    <w:rsid w:val="00662CB2"/>
    <w:rsid w:val="00662EC5"/>
    <w:rsid w:val="00662F1E"/>
    <w:rsid w:val="00663073"/>
    <w:rsid w:val="006630D1"/>
    <w:rsid w:val="006631EF"/>
    <w:rsid w:val="00663636"/>
    <w:rsid w:val="00663712"/>
    <w:rsid w:val="0066379C"/>
    <w:rsid w:val="00663846"/>
    <w:rsid w:val="006638B9"/>
    <w:rsid w:val="00663909"/>
    <w:rsid w:val="00663B92"/>
    <w:rsid w:val="00663DCA"/>
    <w:rsid w:val="00663F85"/>
    <w:rsid w:val="00663FB1"/>
    <w:rsid w:val="0066403F"/>
    <w:rsid w:val="00664047"/>
    <w:rsid w:val="00664175"/>
    <w:rsid w:val="00664179"/>
    <w:rsid w:val="0066419E"/>
    <w:rsid w:val="00664258"/>
    <w:rsid w:val="00664325"/>
    <w:rsid w:val="00664454"/>
    <w:rsid w:val="0066447A"/>
    <w:rsid w:val="0066447C"/>
    <w:rsid w:val="00664554"/>
    <w:rsid w:val="006647C0"/>
    <w:rsid w:val="00664B62"/>
    <w:rsid w:val="00664E2C"/>
    <w:rsid w:val="00664FE8"/>
    <w:rsid w:val="00665009"/>
    <w:rsid w:val="0066514D"/>
    <w:rsid w:val="00665455"/>
    <w:rsid w:val="006654E4"/>
    <w:rsid w:val="00665556"/>
    <w:rsid w:val="00665667"/>
    <w:rsid w:val="00665702"/>
    <w:rsid w:val="00665879"/>
    <w:rsid w:val="00665975"/>
    <w:rsid w:val="00665B62"/>
    <w:rsid w:val="006660EF"/>
    <w:rsid w:val="00666114"/>
    <w:rsid w:val="00666195"/>
    <w:rsid w:val="006663D4"/>
    <w:rsid w:val="006663EC"/>
    <w:rsid w:val="0066640A"/>
    <w:rsid w:val="00666414"/>
    <w:rsid w:val="006664F6"/>
    <w:rsid w:val="00666884"/>
    <w:rsid w:val="0066697F"/>
    <w:rsid w:val="006669D6"/>
    <w:rsid w:val="00666A53"/>
    <w:rsid w:val="00666B9A"/>
    <w:rsid w:val="00666C0B"/>
    <w:rsid w:val="00666D04"/>
    <w:rsid w:val="0066723A"/>
    <w:rsid w:val="0066725B"/>
    <w:rsid w:val="0066754B"/>
    <w:rsid w:val="00667994"/>
    <w:rsid w:val="006679E3"/>
    <w:rsid w:val="00667B44"/>
    <w:rsid w:val="00667C2D"/>
    <w:rsid w:val="00667C61"/>
    <w:rsid w:val="00667E32"/>
    <w:rsid w:val="00667EBB"/>
    <w:rsid w:val="0066D2D4"/>
    <w:rsid w:val="0067005C"/>
    <w:rsid w:val="006701E3"/>
    <w:rsid w:val="00670386"/>
    <w:rsid w:val="006704B6"/>
    <w:rsid w:val="0067055D"/>
    <w:rsid w:val="00670800"/>
    <w:rsid w:val="0067088D"/>
    <w:rsid w:val="006708A6"/>
    <w:rsid w:val="00670A48"/>
    <w:rsid w:val="00670CB9"/>
    <w:rsid w:val="00670DBE"/>
    <w:rsid w:val="00670DD9"/>
    <w:rsid w:val="00670E16"/>
    <w:rsid w:val="00670E7B"/>
    <w:rsid w:val="00670EC2"/>
    <w:rsid w:val="00670F09"/>
    <w:rsid w:val="00670F96"/>
    <w:rsid w:val="006710D4"/>
    <w:rsid w:val="006711E6"/>
    <w:rsid w:val="006712D4"/>
    <w:rsid w:val="00671366"/>
    <w:rsid w:val="006714D9"/>
    <w:rsid w:val="00671661"/>
    <w:rsid w:val="00671666"/>
    <w:rsid w:val="0067181A"/>
    <w:rsid w:val="0067192A"/>
    <w:rsid w:val="006719D9"/>
    <w:rsid w:val="00671A0C"/>
    <w:rsid w:val="00671AAE"/>
    <w:rsid w:val="00671B88"/>
    <w:rsid w:val="00671CCC"/>
    <w:rsid w:val="00671D06"/>
    <w:rsid w:val="00671E96"/>
    <w:rsid w:val="00671ED1"/>
    <w:rsid w:val="006720ED"/>
    <w:rsid w:val="006721FF"/>
    <w:rsid w:val="00672261"/>
    <w:rsid w:val="0067243C"/>
    <w:rsid w:val="0067249F"/>
    <w:rsid w:val="006724EA"/>
    <w:rsid w:val="0067256F"/>
    <w:rsid w:val="006726C0"/>
    <w:rsid w:val="006727E5"/>
    <w:rsid w:val="00672B38"/>
    <w:rsid w:val="00672B8C"/>
    <w:rsid w:val="00672E13"/>
    <w:rsid w:val="00672E42"/>
    <w:rsid w:val="00672FF3"/>
    <w:rsid w:val="006732A4"/>
    <w:rsid w:val="0067338B"/>
    <w:rsid w:val="006736CB"/>
    <w:rsid w:val="006737CC"/>
    <w:rsid w:val="00673810"/>
    <w:rsid w:val="006738EB"/>
    <w:rsid w:val="00673A29"/>
    <w:rsid w:val="00673BFF"/>
    <w:rsid w:val="00673DE8"/>
    <w:rsid w:val="00673E8C"/>
    <w:rsid w:val="00674049"/>
    <w:rsid w:val="006746DD"/>
    <w:rsid w:val="006748CB"/>
    <w:rsid w:val="00674924"/>
    <w:rsid w:val="00674A61"/>
    <w:rsid w:val="00674AB5"/>
    <w:rsid w:val="00674CE5"/>
    <w:rsid w:val="00674F16"/>
    <w:rsid w:val="00674F9F"/>
    <w:rsid w:val="00674FD7"/>
    <w:rsid w:val="00675337"/>
    <w:rsid w:val="0067534C"/>
    <w:rsid w:val="00675356"/>
    <w:rsid w:val="00675442"/>
    <w:rsid w:val="006754AA"/>
    <w:rsid w:val="00675527"/>
    <w:rsid w:val="0067578D"/>
    <w:rsid w:val="00675801"/>
    <w:rsid w:val="00675826"/>
    <w:rsid w:val="006759B4"/>
    <w:rsid w:val="006759E1"/>
    <w:rsid w:val="00675A55"/>
    <w:rsid w:val="00675A65"/>
    <w:rsid w:val="00675B4C"/>
    <w:rsid w:val="00675B63"/>
    <w:rsid w:val="00675CA8"/>
    <w:rsid w:val="00675CEE"/>
    <w:rsid w:val="00675D2D"/>
    <w:rsid w:val="00675D43"/>
    <w:rsid w:val="00675D62"/>
    <w:rsid w:val="00675E38"/>
    <w:rsid w:val="0067601F"/>
    <w:rsid w:val="006760D6"/>
    <w:rsid w:val="006761EE"/>
    <w:rsid w:val="006761FA"/>
    <w:rsid w:val="00676475"/>
    <w:rsid w:val="0067649E"/>
    <w:rsid w:val="00676708"/>
    <w:rsid w:val="006768F2"/>
    <w:rsid w:val="0067695D"/>
    <w:rsid w:val="00676A67"/>
    <w:rsid w:val="00676AC5"/>
    <w:rsid w:val="00676C09"/>
    <w:rsid w:val="00676C85"/>
    <w:rsid w:val="00676EA0"/>
    <w:rsid w:val="00676EA2"/>
    <w:rsid w:val="00676FD9"/>
    <w:rsid w:val="006770A1"/>
    <w:rsid w:val="0067721C"/>
    <w:rsid w:val="006772FA"/>
    <w:rsid w:val="00677318"/>
    <w:rsid w:val="00677419"/>
    <w:rsid w:val="00677583"/>
    <w:rsid w:val="006775C4"/>
    <w:rsid w:val="006776D1"/>
    <w:rsid w:val="00677726"/>
    <w:rsid w:val="006778C9"/>
    <w:rsid w:val="00677953"/>
    <w:rsid w:val="0067797E"/>
    <w:rsid w:val="00677AF1"/>
    <w:rsid w:val="00677B9B"/>
    <w:rsid w:val="00677EB0"/>
    <w:rsid w:val="0068000F"/>
    <w:rsid w:val="006800FF"/>
    <w:rsid w:val="0068010B"/>
    <w:rsid w:val="006801D8"/>
    <w:rsid w:val="00680276"/>
    <w:rsid w:val="006802F1"/>
    <w:rsid w:val="00680598"/>
    <w:rsid w:val="006806D3"/>
    <w:rsid w:val="00680850"/>
    <w:rsid w:val="00680A26"/>
    <w:rsid w:val="00680A29"/>
    <w:rsid w:val="00680BE0"/>
    <w:rsid w:val="00680E73"/>
    <w:rsid w:val="00680F31"/>
    <w:rsid w:val="00680F32"/>
    <w:rsid w:val="00680F7E"/>
    <w:rsid w:val="006813B5"/>
    <w:rsid w:val="006813CE"/>
    <w:rsid w:val="00681404"/>
    <w:rsid w:val="00681949"/>
    <w:rsid w:val="00681984"/>
    <w:rsid w:val="00681ADC"/>
    <w:rsid w:val="00681B23"/>
    <w:rsid w:val="00681B44"/>
    <w:rsid w:val="00681C03"/>
    <w:rsid w:val="00681D1C"/>
    <w:rsid w:val="00681D57"/>
    <w:rsid w:val="00682261"/>
    <w:rsid w:val="0068237B"/>
    <w:rsid w:val="006823F6"/>
    <w:rsid w:val="00682421"/>
    <w:rsid w:val="00682680"/>
    <w:rsid w:val="006826BF"/>
    <w:rsid w:val="00682731"/>
    <w:rsid w:val="00682826"/>
    <w:rsid w:val="00682AC1"/>
    <w:rsid w:val="00682ACF"/>
    <w:rsid w:val="00682D39"/>
    <w:rsid w:val="00682E7F"/>
    <w:rsid w:val="00683028"/>
    <w:rsid w:val="0068307F"/>
    <w:rsid w:val="00683095"/>
    <w:rsid w:val="006830DC"/>
    <w:rsid w:val="0068310C"/>
    <w:rsid w:val="006832E3"/>
    <w:rsid w:val="006832F4"/>
    <w:rsid w:val="00683352"/>
    <w:rsid w:val="00683373"/>
    <w:rsid w:val="0068344F"/>
    <w:rsid w:val="0068356D"/>
    <w:rsid w:val="00683646"/>
    <w:rsid w:val="006837AE"/>
    <w:rsid w:val="006837E2"/>
    <w:rsid w:val="00683873"/>
    <w:rsid w:val="006838B0"/>
    <w:rsid w:val="006838E9"/>
    <w:rsid w:val="0068395B"/>
    <w:rsid w:val="00683AD8"/>
    <w:rsid w:val="00683FE3"/>
    <w:rsid w:val="0068401F"/>
    <w:rsid w:val="00684249"/>
    <w:rsid w:val="00684363"/>
    <w:rsid w:val="0068438B"/>
    <w:rsid w:val="006845F7"/>
    <w:rsid w:val="00684672"/>
    <w:rsid w:val="00684674"/>
    <w:rsid w:val="006846C4"/>
    <w:rsid w:val="00684752"/>
    <w:rsid w:val="00684A40"/>
    <w:rsid w:val="00684B46"/>
    <w:rsid w:val="00684BE3"/>
    <w:rsid w:val="00684C10"/>
    <w:rsid w:val="00684CE6"/>
    <w:rsid w:val="00684D46"/>
    <w:rsid w:val="00685046"/>
    <w:rsid w:val="0068514E"/>
    <w:rsid w:val="0068531C"/>
    <w:rsid w:val="00685357"/>
    <w:rsid w:val="006853CF"/>
    <w:rsid w:val="00685414"/>
    <w:rsid w:val="00685513"/>
    <w:rsid w:val="00685533"/>
    <w:rsid w:val="00685639"/>
    <w:rsid w:val="0068571B"/>
    <w:rsid w:val="006857A3"/>
    <w:rsid w:val="006857BE"/>
    <w:rsid w:val="00685A55"/>
    <w:rsid w:val="00685C32"/>
    <w:rsid w:val="00685C8F"/>
    <w:rsid w:val="00685EE5"/>
    <w:rsid w:val="00685FBE"/>
    <w:rsid w:val="006862DD"/>
    <w:rsid w:val="0068632C"/>
    <w:rsid w:val="00686364"/>
    <w:rsid w:val="006863BA"/>
    <w:rsid w:val="00686428"/>
    <w:rsid w:val="00686927"/>
    <w:rsid w:val="0068694C"/>
    <w:rsid w:val="00686AC9"/>
    <w:rsid w:val="00686CC9"/>
    <w:rsid w:val="00686F90"/>
    <w:rsid w:val="00687033"/>
    <w:rsid w:val="006870B6"/>
    <w:rsid w:val="00687287"/>
    <w:rsid w:val="0068732E"/>
    <w:rsid w:val="0068737A"/>
    <w:rsid w:val="006876DF"/>
    <w:rsid w:val="00687B7C"/>
    <w:rsid w:val="00687C24"/>
    <w:rsid w:val="00687CB5"/>
    <w:rsid w:val="00687D54"/>
    <w:rsid w:val="00687DBD"/>
    <w:rsid w:val="00687DF2"/>
    <w:rsid w:val="00687F4B"/>
    <w:rsid w:val="00687FF2"/>
    <w:rsid w:val="00690129"/>
    <w:rsid w:val="006905EB"/>
    <w:rsid w:val="0069091D"/>
    <w:rsid w:val="00690A1D"/>
    <w:rsid w:val="00690A55"/>
    <w:rsid w:val="00690AE0"/>
    <w:rsid w:val="00690BF8"/>
    <w:rsid w:val="00690DA6"/>
    <w:rsid w:val="00690DEE"/>
    <w:rsid w:val="00690E95"/>
    <w:rsid w:val="00690F1C"/>
    <w:rsid w:val="00690F20"/>
    <w:rsid w:val="00690FC6"/>
    <w:rsid w:val="006910C4"/>
    <w:rsid w:val="006911ED"/>
    <w:rsid w:val="00691202"/>
    <w:rsid w:val="0069135D"/>
    <w:rsid w:val="006913A3"/>
    <w:rsid w:val="00691448"/>
    <w:rsid w:val="006914CD"/>
    <w:rsid w:val="0069158D"/>
    <w:rsid w:val="006918E5"/>
    <w:rsid w:val="006919C2"/>
    <w:rsid w:val="00691A77"/>
    <w:rsid w:val="00691ABE"/>
    <w:rsid w:val="00691C8A"/>
    <w:rsid w:val="00691D4A"/>
    <w:rsid w:val="00691D8B"/>
    <w:rsid w:val="00691DB5"/>
    <w:rsid w:val="00691E9B"/>
    <w:rsid w:val="0069210B"/>
    <w:rsid w:val="0069216A"/>
    <w:rsid w:val="0069241B"/>
    <w:rsid w:val="00692498"/>
    <w:rsid w:val="0069250B"/>
    <w:rsid w:val="0069258E"/>
    <w:rsid w:val="0069268F"/>
    <w:rsid w:val="006926D9"/>
    <w:rsid w:val="00692A32"/>
    <w:rsid w:val="00692B41"/>
    <w:rsid w:val="00692C7F"/>
    <w:rsid w:val="00692EFC"/>
    <w:rsid w:val="00692F57"/>
    <w:rsid w:val="00692F80"/>
    <w:rsid w:val="00692FD1"/>
    <w:rsid w:val="0069306D"/>
    <w:rsid w:val="006932AF"/>
    <w:rsid w:val="00693369"/>
    <w:rsid w:val="006933D7"/>
    <w:rsid w:val="00693502"/>
    <w:rsid w:val="0069350B"/>
    <w:rsid w:val="006935DD"/>
    <w:rsid w:val="00693618"/>
    <w:rsid w:val="00693646"/>
    <w:rsid w:val="00693662"/>
    <w:rsid w:val="00693691"/>
    <w:rsid w:val="006936E6"/>
    <w:rsid w:val="0069385A"/>
    <w:rsid w:val="00693A7A"/>
    <w:rsid w:val="00693BEC"/>
    <w:rsid w:val="00693C64"/>
    <w:rsid w:val="00693E6D"/>
    <w:rsid w:val="00694104"/>
    <w:rsid w:val="00694176"/>
    <w:rsid w:val="006941B1"/>
    <w:rsid w:val="00694655"/>
    <w:rsid w:val="006946AA"/>
    <w:rsid w:val="006947C4"/>
    <w:rsid w:val="00694806"/>
    <w:rsid w:val="006949C4"/>
    <w:rsid w:val="00694C31"/>
    <w:rsid w:val="00694CE3"/>
    <w:rsid w:val="00694CE9"/>
    <w:rsid w:val="00694E58"/>
    <w:rsid w:val="00694ECA"/>
    <w:rsid w:val="006951F3"/>
    <w:rsid w:val="006952B8"/>
    <w:rsid w:val="00695413"/>
    <w:rsid w:val="006955C9"/>
    <w:rsid w:val="00695686"/>
    <w:rsid w:val="006957C3"/>
    <w:rsid w:val="006957E3"/>
    <w:rsid w:val="0069597B"/>
    <w:rsid w:val="00695981"/>
    <w:rsid w:val="00695A6D"/>
    <w:rsid w:val="00695AB1"/>
    <w:rsid w:val="00695C2F"/>
    <w:rsid w:val="00695C55"/>
    <w:rsid w:val="00695D04"/>
    <w:rsid w:val="00695D5E"/>
    <w:rsid w:val="00695ED5"/>
    <w:rsid w:val="00695EFB"/>
    <w:rsid w:val="00695F46"/>
    <w:rsid w:val="006960F2"/>
    <w:rsid w:val="0069610E"/>
    <w:rsid w:val="00696173"/>
    <w:rsid w:val="0069622E"/>
    <w:rsid w:val="006962BE"/>
    <w:rsid w:val="006962C3"/>
    <w:rsid w:val="00696493"/>
    <w:rsid w:val="0069675F"/>
    <w:rsid w:val="00696AD5"/>
    <w:rsid w:val="00696B6C"/>
    <w:rsid w:val="00696FF6"/>
    <w:rsid w:val="006972FF"/>
    <w:rsid w:val="00697407"/>
    <w:rsid w:val="0069749B"/>
    <w:rsid w:val="006975A4"/>
    <w:rsid w:val="006975C5"/>
    <w:rsid w:val="0069774B"/>
    <w:rsid w:val="006977CC"/>
    <w:rsid w:val="0069788B"/>
    <w:rsid w:val="006978E5"/>
    <w:rsid w:val="00697921"/>
    <w:rsid w:val="0069794B"/>
    <w:rsid w:val="00697A18"/>
    <w:rsid w:val="00697AC6"/>
    <w:rsid w:val="00697ADD"/>
    <w:rsid w:val="00697B47"/>
    <w:rsid w:val="00697D71"/>
    <w:rsid w:val="00697EAA"/>
    <w:rsid w:val="00697ED7"/>
    <w:rsid w:val="006A0146"/>
    <w:rsid w:val="006A0194"/>
    <w:rsid w:val="006A020F"/>
    <w:rsid w:val="006A0228"/>
    <w:rsid w:val="006A04CB"/>
    <w:rsid w:val="006A0617"/>
    <w:rsid w:val="006A0BAC"/>
    <w:rsid w:val="006A0BC7"/>
    <w:rsid w:val="006A0D01"/>
    <w:rsid w:val="006A0DF4"/>
    <w:rsid w:val="006A0E83"/>
    <w:rsid w:val="006A0F10"/>
    <w:rsid w:val="006A10E4"/>
    <w:rsid w:val="006A1358"/>
    <w:rsid w:val="006A1376"/>
    <w:rsid w:val="006A1422"/>
    <w:rsid w:val="006A145B"/>
    <w:rsid w:val="006A163E"/>
    <w:rsid w:val="006A16B0"/>
    <w:rsid w:val="006A1710"/>
    <w:rsid w:val="006A171A"/>
    <w:rsid w:val="006A1882"/>
    <w:rsid w:val="006A1902"/>
    <w:rsid w:val="006A1999"/>
    <w:rsid w:val="006A1AA6"/>
    <w:rsid w:val="006A1B4E"/>
    <w:rsid w:val="006A1BE2"/>
    <w:rsid w:val="006A1D4A"/>
    <w:rsid w:val="006A1E22"/>
    <w:rsid w:val="006A1EFF"/>
    <w:rsid w:val="006A208B"/>
    <w:rsid w:val="006A2406"/>
    <w:rsid w:val="006A248B"/>
    <w:rsid w:val="006A2780"/>
    <w:rsid w:val="006A2782"/>
    <w:rsid w:val="006A2794"/>
    <w:rsid w:val="006A2828"/>
    <w:rsid w:val="006A2A49"/>
    <w:rsid w:val="006A2B07"/>
    <w:rsid w:val="006A2DAA"/>
    <w:rsid w:val="006A33A0"/>
    <w:rsid w:val="006A340A"/>
    <w:rsid w:val="006A3992"/>
    <w:rsid w:val="006A3AE7"/>
    <w:rsid w:val="006A3BB7"/>
    <w:rsid w:val="006A3CC3"/>
    <w:rsid w:val="006A3F0D"/>
    <w:rsid w:val="006A3FE1"/>
    <w:rsid w:val="006A407E"/>
    <w:rsid w:val="006A40AF"/>
    <w:rsid w:val="006A40E6"/>
    <w:rsid w:val="006A419A"/>
    <w:rsid w:val="006A421C"/>
    <w:rsid w:val="006A42EB"/>
    <w:rsid w:val="006A435C"/>
    <w:rsid w:val="006A43AC"/>
    <w:rsid w:val="006A45A2"/>
    <w:rsid w:val="006A45BB"/>
    <w:rsid w:val="006A45D3"/>
    <w:rsid w:val="006A4679"/>
    <w:rsid w:val="006A4914"/>
    <w:rsid w:val="006A4B0C"/>
    <w:rsid w:val="006A4E16"/>
    <w:rsid w:val="006A5050"/>
    <w:rsid w:val="006A5228"/>
    <w:rsid w:val="006A5369"/>
    <w:rsid w:val="006A53B4"/>
    <w:rsid w:val="006A5440"/>
    <w:rsid w:val="006A54D7"/>
    <w:rsid w:val="006A5555"/>
    <w:rsid w:val="006A5635"/>
    <w:rsid w:val="006A5647"/>
    <w:rsid w:val="006A573A"/>
    <w:rsid w:val="006A57A3"/>
    <w:rsid w:val="006A57F0"/>
    <w:rsid w:val="006A57FA"/>
    <w:rsid w:val="006A5839"/>
    <w:rsid w:val="006A59BC"/>
    <w:rsid w:val="006A5AF3"/>
    <w:rsid w:val="006A5CC7"/>
    <w:rsid w:val="006A5EE4"/>
    <w:rsid w:val="006A6213"/>
    <w:rsid w:val="006A62AC"/>
    <w:rsid w:val="006A634E"/>
    <w:rsid w:val="006A63F9"/>
    <w:rsid w:val="006A6CA2"/>
    <w:rsid w:val="006A6CBA"/>
    <w:rsid w:val="006A6D27"/>
    <w:rsid w:val="006A6DE0"/>
    <w:rsid w:val="006A6DF8"/>
    <w:rsid w:val="006A6F8F"/>
    <w:rsid w:val="006A6FB4"/>
    <w:rsid w:val="006A734A"/>
    <w:rsid w:val="006A7528"/>
    <w:rsid w:val="006A75BC"/>
    <w:rsid w:val="006A78D5"/>
    <w:rsid w:val="006A7C67"/>
    <w:rsid w:val="006A7C74"/>
    <w:rsid w:val="006A7CDF"/>
    <w:rsid w:val="006A7E2D"/>
    <w:rsid w:val="006A7EA8"/>
    <w:rsid w:val="006A7F37"/>
    <w:rsid w:val="006A7FB3"/>
    <w:rsid w:val="006B003B"/>
    <w:rsid w:val="006B01F7"/>
    <w:rsid w:val="006B0844"/>
    <w:rsid w:val="006B0A00"/>
    <w:rsid w:val="006B0C5D"/>
    <w:rsid w:val="006B1028"/>
    <w:rsid w:val="006B1055"/>
    <w:rsid w:val="006B10C3"/>
    <w:rsid w:val="006B115B"/>
    <w:rsid w:val="006B1188"/>
    <w:rsid w:val="006B12B1"/>
    <w:rsid w:val="006B157B"/>
    <w:rsid w:val="006B1664"/>
    <w:rsid w:val="006B1666"/>
    <w:rsid w:val="006B16BA"/>
    <w:rsid w:val="006B1738"/>
    <w:rsid w:val="006B1749"/>
    <w:rsid w:val="006B178C"/>
    <w:rsid w:val="006B1972"/>
    <w:rsid w:val="006B19BB"/>
    <w:rsid w:val="006B1B74"/>
    <w:rsid w:val="006B1BE4"/>
    <w:rsid w:val="006B1CA4"/>
    <w:rsid w:val="006B1CAB"/>
    <w:rsid w:val="006B1D8A"/>
    <w:rsid w:val="006B1EED"/>
    <w:rsid w:val="006B1F21"/>
    <w:rsid w:val="006B2629"/>
    <w:rsid w:val="006B2724"/>
    <w:rsid w:val="006B29AD"/>
    <w:rsid w:val="006B2EF8"/>
    <w:rsid w:val="006B2FCD"/>
    <w:rsid w:val="006B2FDA"/>
    <w:rsid w:val="006B320D"/>
    <w:rsid w:val="006B3260"/>
    <w:rsid w:val="006B33B2"/>
    <w:rsid w:val="006B33C2"/>
    <w:rsid w:val="006B375C"/>
    <w:rsid w:val="006B3781"/>
    <w:rsid w:val="006B37A8"/>
    <w:rsid w:val="006B3A4B"/>
    <w:rsid w:val="006B3CAA"/>
    <w:rsid w:val="006B3E4F"/>
    <w:rsid w:val="006B3EF6"/>
    <w:rsid w:val="006B3FB1"/>
    <w:rsid w:val="006B409B"/>
    <w:rsid w:val="006B40D8"/>
    <w:rsid w:val="006B41F8"/>
    <w:rsid w:val="006B4305"/>
    <w:rsid w:val="006B43A6"/>
    <w:rsid w:val="006B43AA"/>
    <w:rsid w:val="006B43B4"/>
    <w:rsid w:val="006B459A"/>
    <w:rsid w:val="006B482E"/>
    <w:rsid w:val="006B4875"/>
    <w:rsid w:val="006B4876"/>
    <w:rsid w:val="006B4E41"/>
    <w:rsid w:val="006B4EB2"/>
    <w:rsid w:val="006B5141"/>
    <w:rsid w:val="006B5343"/>
    <w:rsid w:val="006B543F"/>
    <w:rsid w:val="006B54F5"/>
    <w:rsid w:val="006B558D"/>
    <w:rsid w:val="006B55E3"/>
    <w:rsid w:val="006B5638"/>
    <w:rsid w:val="006B56DB"/>
    <w:rsid w:val="006B5733"/>
    <w:rsid w:val="006B5796"/>
    <w:rsid w:val="006B585F"/>
    <w:rsid w:val="006B58A3"/>
    <w:rsid w:val="006B5AAA"/>
    <w:rsid w:val="006B5ABA"/>
    <w:rsid w:val="006B5B90"/>
    <w:rsid w:val="006B5BE4"/>
    <w:rsid w:val="006B5ECD"/>
    <w:rsid w:val="006B5EF7"/>
    <w:rsid w:val="006B619B"/>
    <w:rsid w:val="006B6232"/>
    <w:rsid w:val="006B629A"/>
    <w:rsid w:val="006B6596"/>
    <w:rsid w:val="006B665C"/>
    <w:rsid w:val="006B68AA"/>
    <w:rsid w:val="006B6C69"/>
    <w:rsid w:val="006B6C92"/>
    <w:rsid w:val="006B6CA6"/>
    <w:rsid w:val="006B6D3E"/>
    <w:rsid w:val="006B6E67"/>
    <w:rsid w:val="006B728F"/>
    <w:rsid w:val="006B7416"/>
    <w:rsid w:val="006B76FD"/>
    <w:rsid w:val="006B77AF"/>
    <w:rsid w:val="006B7D1E"/>
    <w:rsid w:val="006B7D97"/>
    <w:rsid w:val="006B7E86"/>
    <w:rsid w:val="006B7FC7"/>
    <w:rsid w:val="006C009F"/>
    <w:rsid w:val="006C0105"/>
    <w:rsid w:val="006C015D"/>
    <w:rsid w:val="006C026A"/>
    <w:rsid w:val="006C0278"/>
    <w:rsid w:val="006C035E"/>
    <w:rsid w:val="006C0447"/>
    <w:rsid w:val="006C0545"/>
    <w:rsid w:val="006C05EE"/>
    <w:rsid w:val="006C06C3"/>
    <w:rsid w:val="006C0B16"/>
    <w:rsid w:val="006C0BCF"/>
    <w:rsid w:val="006C0CBA"/>
    <w:rsid w:val="006C0DE1"/>
    <w:rsid w:val="006C0DF5"/>
    <w:rsid w:val="006C0FB8"/>
    <w:rsid w:val="006C0FE9"/>
    <w:rsid w:val="006C1117"/>
    <w:rsid w:val="006C12CA"/>
    <w:rsid w:val="006C13E1"/>
    <w:rsid w:val="006C1453"/>
    <w:rsid w:val="006C14E1"/>
    <w:rsid w:val="006C150D"/>
    <w:rsid w:val="006C150F"/>
    <w:rsid w:val="006C16F7"/>
    <w:rsid w:val="006C184A"/>
    <w:rsid w:val="006C1A36"/>
    <w:rsid w:val="006C1B6A"/>
    <w:rsid w:val="006C1C44"/>
    <w:rsid w:val="006C1DEF"/>
    <w:rsid w:val="006C2079"/>
    <w:rsid w:val="006C20DE"/>
    <w:rsid w:val="006C25D1"/>
    <w:rsid w:val="006C2606"/>
    <w:rsid w:val="006C2666"/>
    <w:rsid w:val="006C27D9"/>
    <w:rsid w:val="006C298C"/>
    <w:rsid w:val="006C2A3F"/>
    <w:rsid w:val="006C2F52"/>
    <w:rsid w:val="006C312A"/>
    <w:rsid w:val="006C31C3"/>
    <w:rsid w:val="006C34A1"/>
    <w:rsid w:val="006C35C7"/>
    <w:rsid w:val="006C3620"/>
    <w:rsid w:val="006C3622"/>
    <w:rsid w:val="006C3A8D"/>
    <w:rsid w:val="006C3B15"/>
    <w:rsid w:val="006C3D7E"/>
    <w:rsid w:val="006C3D86"/>
    <w:rsid w:val="006C3E21"/>
    <w:rsid w:val="006C4074"/>
    <w:rsid w:val="006C41DB"/>
    <w:rsid w:val="006C42ED"/>
    <w:rsid w:val="006C44CD"/>
    <w:rsid w:val="006C4605"/>
    <w:rsid w:val="006C478C"/>
    <w:rsid w:val="006C4900"/>
    <w:rsid w:val="006C49C3"/>
    <w:rsid w:val="006C4C43"/>
    <w:rsid w:val="006C4C94"/>
    <w:rsid w:val="006C4D9B"/>
    <w:rsid w:val="006C4FEE"/>
    <w:rsid w:val="006C505F"/>
    <w:rsid w:val="006C5159"/>
    <w:rsid w:val="006C5210"/>
    <w:rsid w:val="006C5267"/>
    <w:rsid w:val="006C561B"/>
    <w:rsid w:val="006C56FF"/>
    <w:rsid w:val="006C59C3"/>
    <w:rsid w:val="006C5A35"/>
    <w:rsid w:val="006C5C6D"/>
    <w:rsid w:val="006C5D5D"/>
    <w:rsid w:val="006C61B7"/>
    <w:rsid w:val="006C6205"/>
    <w:rsid w:val="006C6437"/>
    <w:rsid w:val="006C6463"/>
    <w:rsid w:val="006C649E"/>
    <w:rsid w:val="006C6525"/>
    <w:rsid w:val="006C6654"/>
    <w:rsid w:val="006C668F"/>
    <w:rsid w:val="006C68F2"/>
    <w:rsid w:val="006C6BCC"/>
    <w:rsid w:val="006C6CC0"/>
    <w:rsid w:val="006C6CDA"/>
    <w:rsid w:val="006C6E8D"/>
    <w:rsid w:val="006C6FDF"/>
    <w:rsid w:val="006C7061"/>
    <w:rsid w:val="006C731E"/>
    <w:rsid w:val="006C7433"/>
    <w:rsid w:val="006C7661"/>
    <w:rsid w:val="006C7707"/>
    <w:rsid w:val="006C7774"/>
    <w:rsid w:val="006C77C0"/>
    <w:rsid w:val="006C7914"/>
    <w:rsid w:val="006C7986"/>
    <w:rsid w:val="006C79A0"/>
    <w:rsid w:val="006C7AD9"/>
    <w:rsid w:val="006C7B0F"/>
    <w:rsid w:val="006C7E53"/>
    <w:rsid w:val="006C7E56"/>
    <w:rsid w:val="006C7E5A"/>
    <w:rsid w:val="006D003F"/>
    <w:rsid w:val="006D03FD"/>
    <w:rsid w:val="006D050E"/>
    <w:rsid w:val="006D052A"/>
    <w:rsid w:val="006D05AD"/>
    <w:rsid w:val="006D0689"/>
    <w:rsid w:val="006D0939"/>
    <w:rsid w:val="006D0D48"/>
    <w:rsid w:val="006D0E9D"/>
    <w:rsid w:val="006D0EF2"/>
    <w:rsid w:val="006D0FB1"/>
    <w:rsid w:val="006D0FFB"/>
    <w:rsid w:val="006D1037"/>
    <w:rsid w:val="006D120A"/>
    <w:rsid w:val="006D12E2"/>
    <w:rsid w:val="006D1465"/>
    <w:rsid w:val="006D150B"/>
    <w:rsid w:val="006D1535"/>
    <w:rsid w:val="006D153F"/>
    <w:rsid w:val="006D1569"/>
    <w:rsid w:val="006D16ED"/>
    <w:rsid w:val="006D17C3"/>
    <w:rsid w:val="006D17CE"/>
    <w:rsid w:val="006D17EC"/>
    <w:rsid w:val="006D19FB"/>
    <w:rsid w:val="006D1A40"/>
    <w:rsid w:val="006D1AE2"/>
    <w:rsid w:val="006D1D53"/>
    <w:rsid w:val="006D1EA4"/>
    <w:rsid w:val="006D1EC1"/>
    <w:rsid w:val="006D200B"/>
    <w:rsid w:val="006D211E"/>
    <w:rsid w:val="006D2442"/>
    <w:rsid w:val="006D2477"/>
    <w:rsid w:val="006D24EC"/>
    <w:rsid w:val="006D264F"/>
    <w:rsid w:val="006D276B"/>
    <w:rsid w:val="006D2861"/>
    <w:rsid w:val="006D2890"/>
    <w:rsid w:val="006D299B"/>
    <w:rsid w:val="006D29EF"/>
    <w:rsid w:val="006D2C7D"/>
    <w:rsid w:val="006D2CB6"/>
    <w:rsid w:val="006D2CBC"/>
    <w:rsid w:val="006D2D5C"/>
    <w:rsid w:val="006D2D5D"/>
    <w:rsid w:val="006D2D8E"/>
    <w:rsid w:val="006D2F15"/>
    <w:rsid w:val="006D2F38"/>
    <w:rsid w:val="006D31B2"/>
    <w:rsid w:val="006D35A8"/>
    <w:rsid w:val="006D3739"/>
    <w:rsid w:val="006D3774"/>
    <w:rsid w:val="006D3811"/>
    <w:rsid w:val="006D384C"/>
    <w:rsid w:val="006D386B"/>
    <w:rsid w:val="006D39F2"/>
    <w:rsid w:val="006D3B3F"/>
    <w:rsid w:val="006D3BBF"/>
    <w:rsid w:val="006D3BEF"/>
    <w:rsid w:val="006D3C2A"/>
    <w:rsid w:val="006D3C53"/>
    <w:rsid w:val="006D3C5E"/>
    <w:rsid w:val="006D3DF4"/>
    <w:rsid w:val="006D3E00"/>
    <w:rsid w:val="006D3E34"/>
    <w:rsid w:val="006D3FA3"/>
    <w:rsid w:val="006D43F8"/>
    <w:rsid w:val="006D447A"/>
    <w:rsid w:val="006D44AC"/>
    <w:rsid w:val="006D4551"/>
    <w:rsid w:val="006D4684"/>
    <w:rsid w:val="006D46A7"/>
    <w:rsid w:val="006D4830"/>
    <w:rsid w:val="006D48A5"/>
    <w:rsid w:val="006D4D2A"/>
    <w:rsid w:val="006D4DBB"/>
    <w:rsid w:val="006D4DC7"/>
    <w:rsid w:val="006D4DCF"/>
    <w:rsid w:val="006D4F85"/>
    <w:rsid w:val="006D50E4"/>
    <w:rsid w:val="006D5177"/>
    <w:rsid w:val="006D5668"/>
    <w:rsid w:val="006D57F6"/>
    <w:rsid w:val="006D5A27"/>
    <w:rsid w:val="006D5AD4"/>
    <w:rsid w:val="006D5BC1"/>
    <w:rsid w:val="006D5F81"/>
    <w:rsid w:val="006D635F"/>
    <w:rsid w:val="006D63F9"/>
    <w:rsid w:val="006D64C0"/>
    <w:rsid w:val="006D6890"/>
    <w:rsid w:val="006D68B1"/>
    <w:rsid w:val="006D68FE"/>
    <w:rsid w:val="006D69CD"/>
    <w:rsid w:val="006D6D12"/>
    <w:rsid w:val="006D6E80"/>
    <w:rsid w:val="006D705E"/>
    <w:rsid w:val="006D736E"/>
    <w:rsid w:val="006D7552"/>
    <w:rsid w:val="006D757A"/>
    <w:rsid w:val="006D7740"/>
    <w:rsid w:val="006D7AF1"/>
    <w:rsid w:val="006D7B00"/>
    <w:rsid w:val="006D7B35"/>
    <w:rsid w:val="006D7D40"/>
    <w:rsid w:val="006D7F6C"/>
    <w:rsid w:val="006E020F"/>
    <w:rsid w:val="006E0375"/>
    <w:rsid w:val="006E04DE"/>
    <w:rsid w:val="006E05D3"/>
    <w:rsid w:val="006E064B"/>
    <w:rsid w:val="006E0664"/>
    <w:rsid w:val="006E0695"/>
    <w:rsid w:val="006E07A6"/>
    <w:rsid w:val="006E087C"/>
    <w:rsid w:val="006E0A0A"/>
    <w:rsid w:val="006E0A8B"/>
    <w:rsid w:val="006E0A8E"/>
    <w:rsid w:val="006E0AF2"/>
    <w:rsid w:val="006E0C6A"/>
    <w:rsid w:val="006E0C96"/>
    <w:rsid w:val="006E0C9E"/>
    <w:rsid w:val="006E0CB9"/>
    <w:rsid w:val="006E0D8B"/>
    <w:rsid w:val="006E0E39"/>
    <w:rsid w:val="006E0E50"/>
    <w:rsid w:val="006E0E5F"/>
    <w:rsid w:val="006E1289"/>
    <w:rsid w:val="006E1664"/>
    <w:rsid w:val="006E16D7"/>
    <w:rsid w:val="006E1714"/>
    <w:rsid w:val="006E177D"/>
    <w:rsid w:val="006E17BF"/>
    <w:rsid w:val="006E182D"/>
    <w:rsid w:val="006E1883"/>
    <w:rsid w:val="006E189A"/>
    <w:rsid w:val="006E1AE8"/>
    <w:rsid w:val="006E1B04"/>
    <w:rsid w:val="006E1B2D"/>
    <w:rsid w:val="006E1BBE"/>
    <w:rsid w:val="006E1C07"/>
    <w:rsid w:val="006E1C9E"/>
    <w:rsid w:val="006E1D59"/>
    <w:rsid w:val="006E1D6B"/>
    <w:rsid w:val="006E1E97"/>
    <w:rsid w:val="006E1FE9"/>
    <w:rsid w:val="006E1FFC"/>
    <w:rsid w:val="006E2055"/>
    <w:rsid w:val="006E2115"/>
    <w:rsid w:val="006E234D"/>
    <w:rsid w:val="006E2696"/>
    <w:rsid w:val="006E274E"/>
    <w:rsid w:val="006E2764"/>
    <w:rsid w:val="006E277B"/>
    <w:rsid w:val="006E27BF"/>
    <w:rsid w:val="006E2818"/>
    <w:rsid w:val="006E29E6"/>
    <w:rsid w:val="006E2A7F"/>
    <w:rsid w:val="006E2B88"/>
    <w:rsid w:val="006E2BCD"/>
    <w:rsid w:val="006E2D92"/>
    <w:rsid w:val="006E3123"/>
    <w:rsid w:val="006E317D"/>
    <w:rsid w:val="006E3272"/>
    <w:rsid w:val="006E336C"/>
    <w:rsid w:val="006E33B4"/>
    <w:rsid w:val="006E360A"/>
    <w:rsid w:val="006E37E9"/>
    <w:rsid w:val="006E38E5"/>
    <w:rsid w:val="006E39F6"/>
    <w:rsid w:val="006E3A23"/>
    <w:rsid w:val="006E3A4D"/>
    <w:rsid w:val="006E3AD2"/>
    <w:rsid w:val="006E3F6C"/>
    <w:rsid w:val="006E40F2"/>
    <w:rsid w:val="006E41AA"/>
    <w:rsid w:val="006E427C"/>
    <w:rsid w:val="006E42A3"/>
    <w:rsid w:val="006E431D"/>
    <w:rsid w:val="006E44DD"/>
    <w:rsid w:val="006E460A"/>
    <w:rsid w:val="006E4746"/>
    <w:rsid w:val="006E480E"/>
    <w:rsid w:val="006E4822"/>
    <w:rsid w:val="006E485D"/>
    <w:rsid w:val="006E49A4"/>
    <w:rsid w:val="006E4A82"/>
    <w:rsid w:val="006E4B7F"/>
    <w:rsid w:val="006E4D83"/>
    <w:rsid w:val="006E4DF1"/>
    <w:rsid w:val="006E4E0E"/>
    <w:rsid w:val="006E4E41"/>
    <w:rsid w:val="006E4EAB"/>
    <w:rsid w:val="006E4FE1"/>
    <w:rsid w:val="006E5030"/>
    <w:rsid w:val="006E5209"/>
    <w:rsid w:val="006E52AC"/>
    <w:rsid w:val="006E540E"/>
    <w:rsid w:val="006E5455"/>
    <w:rsid w:val="006E547A"/>
    <w:rsid w:val="006E5484"/>
    <w:rsid w:val="006E56F5"/>
    <w:rsid w:val="006E5702"/>
    <w:rsid w:val="006E58A8"/>
    <w:rsid w:val="006E58D4"/>
    <w:rsid w:val="006E5A72"/>
    <w:rsid w:val="006E5AD7"/>
    <w:rsid w:val="006E5B81"/>
    <w:rsid w:val="006E5BAB"/>
    <w:rsid w:val="006E5C22"/>
    <w:rsid w:val="006E5D63"/>
    <w:rsid w:val="006E5DFB"/>
    <w:rsid w:val="006E6049"/>
    <w:rsid w:val="006E6266"/>
    <w:rsid w:val="006E6274"/>
    <w:rsid w:val="006E63A3"/>
    <w:rsid w:val="006E6402"/>
    <w:rsid w:val="006E6612"/>
    <w:rsid w:val="006E66D9"/>
    <w:rsid w:val="006E66F4"/>
    <w:rsid w:val="006E6B62"/>
    <w:rsid w:val="006E70C4"/>
    <w:rsid w:val="006E71CC"/>
    <w:rsid w:val="006E72DE"/>
    <w:rsid w:val="006E7361"/>
    <w:rsid w:val="006E7571"/>
    <w:rsid w:val="006E7973"/>
    <w:rsid w:val="006E7AA5"/>
    <w:rsid w:val="006E7B6F"/>
    <w:rsid w:val="006E7D49"/>
    <w:rsid w:val="006E7DDE"/>
    <w:rsid w:val="006E7F03"/>
    <w:rsid w:val="006F0043"/>
    <w:rsid w:val="006F01B8"/>
    <w:rsid w:val="006F024F"/>
    <w:rsid w:val="006F045A"/>
    <w:rsid w:val="006F04B1"/>
    <w:rsid w:val="006F050F"/>
    <w:rsid w:val="006F0521"/>
    <w:rsid w:val="006F06A5"/>
    <w:rsid w:val="006F06FD"/>
    <w:rsid w:val="006F0A1A"/>
    <w:rsid w:val="006F0DBF"/>
    <w:rsid w:val="006F0E98"/>
    <w:rsid w:val="006F0F2A"/>
    <w:rsid w:val="006F0F44"/>
    <w:rsid w:val="006F1088"/>
    <w:rsid w:val="006F112B"/>
    <w:rsid w:val="006F1165"/>
    <w:rsid w:val="006F1364"/>
    <w:rsid w:val="006F1498"/>
    <w:rsid w:val="006F14A9"/>
    <w:rsid w:val="006F151B"/>
    <w:rsid w:val="006F180A"/>
    <w:rsid w:val="006F1878"/>
    <w:rsid w:val="006F18F9"/>
    <w:rsid w:val="006F1E6F"/>
    <w:rsid w:val="006F1F53"/>
    <w:rsid w:val="006F2003"/>
    <w:rsid w:val="006F2038"/>
    <w:rsid w:val="006F2244"/>
    <w:rsid w:val="006F25D0"/>
    <w:rsid w:val="006F268D"/>
    <w:rsid w:val="006F2954"/>
    <w:rsid w:val="006F2984"/>
    <w:rsid w:val="006F2AD1"/>
    <w:rsid w:val="006F2EA6"/>
    <w:rsid w:val="006F2F61"/>
    <w:rsid w:val="006F302F"/>
    <w:rsid w:val="006F324B"/>
    <w:rsid w:val="006F33DF"/>
    <w:rsid w:val="006F35C2"/>
    <w:rsid w:val="006F361A"/>
    <w:rsid w:val="006F365B"/>
    <w:rsid w:val="006F369C"/>
    <w:rsid w:val="006F36B6"/>
    <w:rsid w:val="006F36BE"/>
    <w:rsid w:val="006F379C"/>
    <w:rsid w:val="006F37D2"/>
    <w:rsid w:val="006F38AD"/>
    <w:rsid w:val="006F38C9"/>
    <w:rsid w:val="006F3C91"/>
    <w:rsid w:val="006F3CE8"/>
    <w:rsid w:val="006F3E5C"/>
    <w:rsid w:val="006F3F5E"/>
    <w:rsid w:val="006F404D"/>
    <w:rsid w:val="006F4104"/>
    <w:rsid w:val="006F410C"/>
    <w:rsid w:val="006F41DD"/>
    <w:rsid w:val="006F43E5"/>
    <w:rsid w:val="006F4436"/>
    <w:rsid w:val="006F4501"/>
    <w:rsid w:val="006F46B3"/>
    <w:rsid w:val="006F490A"/>
    <w:rsid w:val="006F4998"/>
    <w:rsid w:val="006F4A33"/>
    <w:rsid w:val="006F4BE7"/>
    <w:rsid w:val="006F4D88"/>
    <w:rsid w:val="006F4DB9"/>
    <w:rsid w:val="006F4E90"/>
    <w:rsid w:val="006F4ED7"/>
    <w:rsid w:val="006F4FB1"/>
    <w:rsid w:val="006F5270"/>
    <w:rsid w:val="006F530E"/>
    <w:rsid w:val="006F5329"/>
    <w:rsid w:val="006F53F9"/>
    <w:rsid w:val="006F54DF"/>
    <w:rsid w:val="006F5627"/>
    <w:rsid w:val="006F58E9"/>
    <w:rsid w:val="006F596D"/>
    <w:rsid w:val="006F5A2B"/>
    <w:rsid w:val="006F5A9D"/>
    <w:rsid w:val="006F5AF5"/>
    <w:rsid w:val="006F5C1C"/>
    <w:rsid w:val="006F5C61"/>
    <w:rsid w:val="006F5D46"/>
    <w:rsid w:val="006F5E24"/>
    <w:rsid w:val="006F5E41"/>
    <w:rsid w:val="006F5EF2"/>
    <w:rsid w:val="006F5EFC"/>
    <w:rsid w:val="006F5F4C"/>
    <w:rsid w:val="006F62DA"/>
    <w:rsid w:val="006F6420"/>
    <w:rsid w:val="006F6993"/>
    <w:rsid w:val="006F6CF3"/>
    <w:rsid w:val="006F6DF3"/>
    <w:rsid w:val="006F6F1C"/>
    <w:rsid w:val="006F6F3E"/>
    <w:rsid w:val="006F6F63"/>
    <w:rsid w:val="006F70C5"/>
    <w:rsid w:val="006F7215"/>
    <w:rsid w:val="006F73CD"/>
    <w:rsid w:val="006F7435"/>
    <w:rsid w:val="006F7636"/>
    <w:rsid w:val="006F770A"/>
    <w:rsid w:val="006F78A0"/>
    <w:rsid w:val="006F78EA"/>
    <w:rsid w:val="006F7915"/>
    <w:rsid w:val="006F79A7"/>
    <w:rsid w:val="006F7A10"/>
    <w:rsid w:val="006F7B95"/>
    <w:rsid w:val="006F7BC0"/>
    <w:rsid w:val="006F7D03"/>
    <w:rsid w:val="006F7F42"/>
    <w:rsid w:val="006FD690"/>
    <w:rsid w:val="0070001F"/>
    <w:rsid w:val="0070028D"/>
    <w:rsid w:val="007005B3"/>
    <w:rsid w:val="0070082A"/>
    <w:rsid w:val="0070084B"/>
    <w:rsid w:val="0070093B"/>
    <w:rsid w:val="007009B5"/>
    <w:rsid w:val="00700AEA"/>
    <w:rsid w:val="00700CB5"/>
    <w:rsid w:val="00700D30"/>
    <w:rsid w:val="00700DDD"/>
    <w:rsid w:val="00701046"/>
    <w:rsid w:val="00701077"/>
    <w:rsid w:val="007010F5"/>
    <w:rsid w:val="00701198"/>
    <w:rsid w:val="007013E1"/>
    <w:rsid w:val="007013EE"/>
    <w:rsid w:val="00701473"/>
    <w:rsid w:val="007014B5"/>
    <w:rsid w:val="00701739"/>
    <w:rsid w:val="0070179B"/>
    <w:rsid w:val="007017AE"/>
    <w:rsid w:val="007019C2"/>
    <w:rsid w:val="00701A5E"/>
    <w:rsid w:val="00701C63"/>
    <w:rsid w:val="00701D05"/>
    <w:rsid w:val="0070209C"/>
    <w:rsid w:val="007023EE"/>
    <w:rsid w:val="007024F0"/>
    <w:rsid w:val="00702503"/>
    <w:rsid w:val="00702768"/>
    <w:rsid w:val="0070278E"/>
    <w:rsid w:val="00702824"/>
    <w:rsid w:val="007028F3"/>
    <w:rsid w:val="007029DA"/>
    <w:rsid w:val="00702C61"/>
    <w:rsid w:val="00702E5B"/>
    <w:rsid w:val="00702EAE"/>
    <w:rsid w:val="00702F1E"/>
    <w:rsid w:val="00702FF2"/>
    <w:rsid w:val="007033C2"/>
    <w:rsid w:val="007034C5"/>
    <w:rsid w:val="007035A9"/>
    <w:rsid w:val="00703660"/>
    <w:rsid w:val="007036BD"/>
    <w:rsid w:val="007036C4"/>
    <w:rsid w:val="0070384A"/>
    <w:rsid w:val="007039EF"/>
    <w:rsid w:val="00703A78"/>
    <w:rsid w:val="00703AFD"/>
    <w:rsid w:val="00703B5E"/>
    <w:rsid w:val="00703C3F"/>
    <w:rsid w:val="00703C72"/>
    <w:rsid w:val="00703D09"/>
    <w:rsid w:val="00703DA5"/>
    <w:rsid w:val="00703DEE"/>
    <w:rsid w:val="00703FF5"/>
    <w:rsid w:val="0070427F"/>
    <w:rsid w:val="007042DC"/>
    <w:rsid w:val="0070433A"/>
    <w:rsid w:val="00704352"/>
    <w:rsid w:val="007043B1"/>
    <w:rsid w:val="007044AA"/>
    <w:rsid w:val="00704522"/>
    <w:rsid w:val="00704550"/>
    <w:rsid w:val="00704559"/>
    <w:rsid w:val="007045C8"/>
    <w:rsid w:val="0070476D"/>
    <w:rsid w:val="007048F6"/>
    <w:rsid w:val="0070495B"/>
    <w:rsid w:val="00704BC6"/>
    <w:rsid w:val="00704D76"/>
    <w:rsid w:val="00704EE9"/>
    <w:rsid w:val="00704FD5"/>
    <w:rsid w:val="00705137"/>
    <w:rsid w:val="007051E0"/>
    <w:rsid w:val="0070527E"/>
    <w:rsid w:val="007052B1"/>
    <w:rsid w:val="007052B8"/>
    <w:rsid w:val="00705403"/>
    <w:rsid w:val="00705527"/>
    <w:rsid w:val="0070556F"/>
    <w:rsid w:val="0070570E"/>
    <w:rsid w:val="00705A17"/>
    <w:rsid w:val="00705BA1"/>
    <w:rsid w:val="00705C16"/>
    <w:rsid w:val="00705C6B"/>
    <w:rsid w:val="00705D20"/>
    <w:rsid w:val="00705DBF"/>
    <w:rsid w:val="00705E49"/>
    <w:rsid w:val="00705FCA"/>
    <w:rsid w:val="00706225"/>
    <w:rsid w:val="007066C0"/>
    <w:rsid w:val="007068EE"/>
    <w:rsid w:val="00706B4A"/>
    <w:rsid w:val="00706BB8"/>
    <w:rsid w:val="00706C9E"/>
    <w:rsid w:val="00706DA9"/>
    <w:rsid w:val="00706DDD"/>
    <w:rsid w:val="00707116"/>
    <w:rsid w:val="007071A0"/>
    <w:rsid w:val="0070721B"/>
    <w:rsid w:val="007072F2"/>
    <w:rsid w:val="007073D0"/>
    <w:rsid w:val="00707575"/>
    <w:rsid w:val="00707584"/>
    <w:rsid w:val="00707597"/>
    <w:rsid w:val="00707600"/>
    <w:rsid w:val="00707A26"/>
    <w:rsid w:val="00707BFF"/>
    <w:rsid w:val="00707E14"/>
    <w:rsid w:val="00707F4E"/>
    <w:rsid w:val="007101A3"/>
    <w:rsid w:val="0071022D"/>
    <w:rsid w:val="0071027A"/>
    <w:rsid w:val="00710395"/>
    <w:rsid w:val="0071051F"/>
    <w:rsid w:val="00710751"/>
    <w:rsid w:val="0071078F"/>
    <w:rsid w:val="0071079E"/>
    <w:rsid w:val="00710A91"/>
    <w:rsid w:val="00710B1B"/>
    <w:rsid w:val="00710B44"/>
    <w:rsid w:val="00710B6A"/>
    <w:rsid w:val="00710C9A"/>
    <w:rsid w:val="00710D93"/>
    <w:rsid w:val="00710DF3"/>
    <w:rsid w:val="00710E67"/>
    <w:rsid w:val="00710E8D"/>
    <w:rsid w:val="007110CB"/>
    <w:rsid w:val="007110F1"/>
    <w:rsid w:val="00711228"/>
    <w:rsid w:val="00711295"/>
    <w:rsid w:val="00711479"/>
    <w:rsid w:val="0071149A"/>
    <w:rsid w:val="007114A6"/>
    <w:rsid w:val="00711B5E"/>
    <w:rsid w:val="00711B89"/>
    <w:rsid w:val="00711CCF"/>
    <w:rsid w:val="00711F89"/>
    <w:rsid w:val="007120FC"/>
    <w:rsid w:val="007121CD"/>
    <w:rsid w:val="007121EE"/>
    <w:rsid w:val="007121F7"/>
    <w:rsid w:val="00712382"/>
    <w:rsid w:val="0071239D"/>
    <w:rsid w:val="007123EA"/>
    <w:rsid w:val="00712421"/>
    <w:rsid w:val="00712447"/>
    <w:rsid w:val="00712497"/>
    <w:rsid w:val="007124D9"/>
    <w:rsid w:val="00712578"/>
    <w:rsid w:val="007127EA"/>
    <w:rsid w:val="0071289C"/>
    <w:rsid w:val="007129FC"/>
    <w:rsid w:val="00712C8A"/>
    <w:rsid w:val="00712CCB"/>
    <w:rsid w:val="00712D7F"/>
    <w:rsid w:val="00712DC7"/>
    <w:rsid w:val="00712DFA"/>
    <w:rsid w:val="00712E20"/>
    <w:rsid w:val="00712F37"/>
    <w:rsid w:val="00713002"/>
    <w:rsid w:val="00713110"/>
    <w:rsid w:val="007131B6"/>
    <w:rsid w:val="00713287"/>
    <w:rsid w:val="007132B6"/>
    <w:rsid w:val="007132F8"/>
    <w:rsid w:val="0071366A"/>
    <w:rsid w:val="0071368C"/>
    <w:rsid w:val="007137B1"/>
    <w:rsid w:val="00713A24"/>
    <w:rsid w:val="00713A28"/>
    <w:rsid w:val="00713A93"/>
    <w:rsid w:val="00713B6C"/>
    <w:rsid w:val="00713C1D"/>
    <w:rsid w:val="00713D2A"/>
    <w:rsid w:val="00713DDE"/>
    <w:rsid w:val="00713E09"/>
    <w:rsid w:val="00713E60"/>
    <w:rsid w:val="00713FE3"/>
    <w:rsid w:val="00714049"/>
    <w:rsid w:val="007140B2"/>
    <w:rsid w:val="00714204"/>
    <w:rsid w:val="00714536"/>
    <w:rsid w:val="00714720"/>
    <w:rsid w:val="0071475C"/>
    <w:rsid w:val="00714A27"/>
    <w:rsid w:val="00714A62"/>
    <w:rsid w:val="00714B58"/>
    <w:rsid w:val="00714BAC"/>
    <w:rsid w:val="00714BC0"/>
    <w:rsid w:val="00714ED7"/>
    <w:rsid w:val="00714F98"/>
    <w:rsid w:val="0071522D"/>
    <w:rsid w:val="00715278"/>
    <w:rsid w:val="007152A6"/>
    <w:rsid w:val="00715344"/>
    <w:rsid w:val="00715461"/>
    <w:rsid w:val="007154A4"/>
    <w:rsid w:val="007154ED"/>
    <w:rsid w:val="00715662"/>
    <w:rsid w:val="00715827"/>
    <w:rsid w:val="00715876"/>
    <w:rsid w:val="00715A0B"/>
    <w:rsid w:val="00715C28"/>
    <w:rsid w:val="00715C75"/>
    <w:rsid w:val="00715D46"/>
    <w:rsid w:val="00715E8E"/>
    <w:rsid w:val="00715EB6"/>
    <w:rsid w:val="00716135"/>
    <w:rsid w:val="00716210"/>
    <w:rsid w:val="0071636A"/>
    <w:rsid w:val="00716385"/>
    <w:rsid w:val="00716E01"/>
    <w:rsid w:val="00716EC6"/>
    <w:rsid w:val="00717253"/>
    <w:rsid w:val="00717271"/>
    <w:rsid w:val="00717359"/>
    <w:rsid w:val="007174B6"/>
    <w:rsid w:val="00717500"/>
    <w:rsid w:val="00717536"/>
    <w:rsid w:val="00717553"/>
    <w:rsid w:val="0071763E"/>
    <w:rsid w:val="007177B1"/>
    <w:rsid w:val="0071783B"/>
    <w:rsid w:val="00717A85"/>
    <w:rsid w:val="00717DE1"/>
    <w:rsid w:val="00720059"/>
    <w:rsid w:val="00720245"/>
    <w:rsid w:val="007203A8"/>
    <w:rsid w:val="00720479"/>
    <w:rsid w:val="007204C4"/>
    <w:rsid w:val="00720595"/>
    <w:rsid w:val="00720606"/>
    <w:rsid w:val="00720749"/>
    <w:rsid w:val="007209DC"/>
    <w:rsid w:val="00720B77"/>
    <w:rsid w:val="00720D64"/>
    <w:rsid w:val="00720D79"/>
    <w:rsid w:val="00720DBD"/>
    <w:rsid w:val="00720DFE"/>
    <w:rsid w:val="00721081"/>
    <w:rsid w:val="00721232"/>
    <w:rsid w:val="007212BE"/>
    <w:rsid w:val="0072136F"/>
    <w:rsid w:val="00721406"/>
    <w:rsid w:val="00721491"/>
    <w:rsid w:val="007216C4"/>
    <w:rsid w:val="0072177C"/>
    <w:rsid w:val="00721B51"/>
    <w:rsid w:val="00721CDC"/>
    <w:rsid w:val="00721CE3"/>
    <w:rsid w:val="00721D02"/>
    <w:rsid w:val="00721D23"/>
    <w:rsid w:val="00721DD3"/>
    <w:rsid w:val="00721EC1"/>
    <w:rsid w:val="007222E5"/>
    <w:rsid w:val="0072241F"/>
    <w:rsid w:val="0072266E"/>
    <w:rsid w:val="00722705"/>
    <w:rsid w:val="00722922"/>
    <w:rsid w:val="00722997"/>
    <w:rsid w:val="00722B03"/>
    <w:rsid w:val="00722E0A"/>
    <w:rsid w:val="00722E12"/>
    <w:rsid w:val="00722EEC"/>
    <w:rsid w:val="007231CD"/>
    <w:rsid w:val="00723229"/>
    <w:rsid w:val="00723240"/>
    <w:rsid w:val="00723345"/>
    <w:rsid w:val="007233CB"/>
    <w:rsid w:val="007233E1"/>
    <w:rsid w:val="00723481"/>
    <w:rsid w:val="007234FF"/>
    <w:rsid w:val="007235C3"/>
    <w:rsid w:val="00723797"/>
    <w:rsid w:val="00723901"/>
    <w:rsid w:val="00723B77"/>
    <w:rsid w:val="00723CA8"/>
    <w:rsid w:val="00723D3E"/>
    <w:rsid w:val="00723DFC"/>
    <w:rsid w:val="0072428B"/>
    <w:rsid w:val="007242C5"/>
    <w:rsid w:val="007244EC"/>
    <w:rsid w:val="00724505"/>
    <w:rsid w:val="0072451E"/>
    <w:rsid w:val="007245AF"/>
    <w:rsid w:val="00724765"/>
    <w:rsid w:val="007247E5"/>
    <w:rsid w:val="00724ABD"/>
    <w:rsid w:val="00724ADA"/>
    <w:rsid w:val="00724AFD"/>
    <w:rsid w:val="00724B41"/>
    <w:rsid w:val="00724B9D"/>
    <w:rsid w:val="00724F5A"/>
    <w:rsid w:val="00724FA7"/>
    <w:rsid w:val="0072522B"/>
    <w:rsid w:val="0072524E"/>
    <w:rsid w:val="0072542F"/>
    <w:rsid w:val="007254C5"/>
    <w:rsid w:val="007254DA"/>
    <w:rsid w:val="0072551E"/>
    <w:rsid w:val="0072554F"/>
    <w:rsid w:val="0072586A"/>
    <w:rsid w:val="00725880"/>
    <w:rsid w:val="00725A56"/>
    <w:rsid w:val="00725AEC"/>
    <w:rsid w:val="00725BE6"/>
    <w:rsid w:val="007260F1"/>
    <w:rsid w:val="00726192"/>
    <w:rsid w:val="00726289"/>
    <w:rsid w:val="00726389"/>
    <w:rsid w:val="00726669"/>
    <w:rsid w:val="00726890"/>
    <w:rsid w:val="007269D8"/>
    <w:rsid w:val="00726C79"/>
    <w:rsid w:val="00726C8E"/>
    <w:rsid w:val="00726D09"/>
    <w:rsid w:val="00726E04"/>
    <w:rsid w:val="00726E86"/>
    <w:rsid w:val="00726FC9"/>
    <w:rsid w:val="00727065"/>
    <w:rsid w:val="007270FA"/>
    <w:rsid w:val="007273EB"/>
    <w:rsid w:val="007273F9"/>
    <w:rsid w:val="00727490"/>
    <w:rsid w:val="00727561"/>
    <w:rsid w:val="0072769B"/>
    <w:rsid w:val="007276B9"/>
    <w:rsid w:val="0072770C"/>
    <w:rsid w:val="00727BC3"/>
    <w:rsid w:val="00727D9B"/>
    <w:rsid w:val="00727E20"/>
    <w:rsid w:val="00727F35"/>
    <w:rsid w:val="00727FE0"/>
    <w:rsid w:val="00730113"/>
    <w:rsid w:val="007301F0"/>
    <w:rsid w:val="00730412"/>
    <w:rsid w:val="00730422"/>
    <w:rsid w:val="00730424"/>
    <w:rsid w:val="00730440"/>
    <w:rsid w:val="0073049F"/>
    <w:rsid w:val="007304BF"/>
    <w:rsid w:val="007305F9"/>
    <w:rsid w:val="00730683"/>
    <w:rsid w:val="0073075A"/>
    <w:rsid w:val="007307E9"/>
    <w:rsid w:val="00730C36"/>
    <w:rsid w:val="00730CBD"/>
    <w:rsid w:val="00730D46"/>
    <w:rsid w:val="00730EA2"/>
    <w:rsid w:val="0073104A"/>
    <w:rsid w:val="00731127"/>
    <w:rsid w:val="00731649"/>
    <w:rsid w:val="007318B5"/>
    <w:rsid w:val="00731A06"/>
    <w:rsid w:val="00731A85"/>
    <w:rsid w:val="00731B3F"/>
    <w:rsid w:val="00731B88"/>
    <w:rsid w:val="00731E29"/>
    <w:rsid w:val="00731F1B"/>
    <w:rsid w:val="00732333"/>
    <w:rsid w:val="0073234C"/>
    <w:rsid w:val="007323F7"/>
    <w:rsid w:val="0073265A"/>
    <w:rsid w:val="0073273A"/>
    <w:rsid w:val="00732A45"/>
    <w:rsid w:val="00732A57"/>
    <w:rsid w:val="00732A82"/>
    <w:rsid w:val="00732C07"/>
    <w:rsid w:val="00732F51"/>
    <w:rsid w:val="0073314C"/>
    <w:rsid w:val="007331DC"/>
    <w:rsid w:val="00733335"/>
    <w:rsid w:val="007333DB"/>
    <w:rsid w:val="007335D9"/>
    <w:rsid w:val="0073370B"/>
    <w:rsid w:val="007337F6"/>
    <w:rsid w:val="00733972"/>
    <w:rsid w:val="0073398A"/>
    <w:rsid w:val="00733AB2"/>
    <w:rsid w:val="00733ACD"/>
    <w:rsid w:val="00733BF9"/>
    <w:rsid w:val="00733F6A"/>
    <w:rsid w:val="0073400A"/>
    <w:rsid w:val="0073404C"/>
    <w:rsid w:val="00734127"/>
    <w:rsid w:val="0073419E"/>
    <w:rsid w:val="0073427C"/>
    <w:rsid w:val="007342A4"/>
    <w:rsid w:val="0073485C"/>
    <w:rsid w:val="0073497C"/>
    <w:rsid w:val="007349A0"/>
    <w:rsid w:val="00734B65"/>
    <w:rsid w:val="00734C4D"/>
    <w:rsid w:val="00734CAC"/>
    <w:rsid w:val="00734DE5"/>
    <w:rsid w:val="00734E15"/>
    <w:rsid w:val="00734E1F"/>
    <w:rsid w:val="00734E26"/>
    <w:rsid w:val="00734F9B"/>
    <w:rsid w:val="007350AB"/>
    <w:rsid w:val="00735119"/>
    <w:rsid w:val="00735498"/>
    <w:rsid w:val="007354EA"/>
    <w:rsid w:val="007356FC"/>
    <w:rsid w:val="0073589F"/>
    <w:rsid w:val="007358DF"/>
    <w:rsid w:val="00735915"/>
    <w:rsid w:val="00735929"/>
    <w:rsid w:val="00735993"/>
    <w:rsid w:val="00735A05"/>
    <w:rsid w:val="00735B56"/>
    <w:rsid w:val="00735B6F"/>
    <w:rsid w:val="00735C20"/>
    <w:rsid w:val="00735C39"/>
    <w:rsid w:val="00735E0B"/>
    <w:rsid w:val="00735E53"/>
    <w:rsid w:val="00735EDE"/>
    <w:rsid w:val="00736028"/>
    <w:rsid w:val="0073616C"/>
    <w:rsid w:val="0073628C"/>
    <w:rsid w:val="00736312"/>
    <w:rsid w:val="00736355"/>
    <w:rsid w:val="007363C7"/>
    <w:rsid w:val="0073674A"/>
    <w:rsid w:val="00736840"/>
    <w:rsid w:val="00736A32"/>
    <w:rsid w:val="00736ABB"/>
    <w:rsid w:val="00736C2F"/>
    <w:rsid w:val="00736DA3"/>
    <w:rsid w:val="00737000"/>
    <w:rsid w:val="0073704C"/>
    <w:rsid w:val="00737125"/>
    <w:rsid w:val="007371FA"/>
    <w:rsid w:val="007374C4"/>
    <w:rsid w:val="007375A2"/>
    <w:rsid w:val="007375C0"/>
    <w:rsid w:val="007376AB"/>
    <w:rsid w:val="007376C2"/>
    <w:rsid w:val="00737864"/>
    <w:rsid w:val="00737911"/>
    <w:rsid w:val="00737A65"/>
    <w:rsid w:val="00737A85"/>
    <w:rsid w:val="00737A8E"/>
    <w:rsid w:val="00737AD7"/>
    <w:rsid w:val="00737C30"/>
    <w:rsid w:val="0074006E"/>
    <w:rsid w:val="007400B6"/>
    <w:rsid w:val="007402B3"/>
    <w:rsid w:val="00740558"/>
    <w:rsid w:val="00740640"/>
    <w:rsid w:val="007406C0"/>
    <w:rsid w:val="0074085F"/>
    <w:rsid w:val="00740CC7"/>
    <w:rsid w:val="00740E6B"/>
    <w:rsid w:val="00740EBE"/>
    <w:rsid w:val="00740F10"/>
    <w:rsid w:val="00740F5C"/>
    <w:rsid w:val="007410B7"/>
    <w:rsid w:val="00741100"/>
    <w:rsid w:val="007411DE"/>
    <w:rsid w:val="0074165B"/>
    <w:rsid w:val="00741660"/>
    <w:rsid w:val="00741798"/>
    <w:rsid w:val="0074179F"/>
    <w:rsid w:val="007417C4"/>
    <w:rsid w:val="007418BC"/>
    <w:rsid w:val="0074198C"/>
    <w:rsid w:val="007419A8"/>
    <w:rsid w:val="007419F6"/>
    <w:rsid w:val="00741B49"/>
    <w:rsid w:val="00741B94"/>
    <w:rsid w:val="00741BD8"/>
    <w:rsid w:val="00741D2C"/>
    <w:rsid w:val="00741EB5"/>
    <w:rsid w:val="00742042"/>
    <w:rsid w:val="007421D1"/>
    <w:rsid w:val="00742285"/>
    <w:rsid w:val="007422B9"/>
    <w:rsid w:val="00742381"/>
    <w:rsid w:val="007423ED"/>
    <w:rsid w:val="00742422"/>
    <w:rsid w:val="00742560"/>
    <w:rsid w:val="007427D2"/>
    <w:rsid w:val="00742820"/>
    <w:rsid w:val="0074282F"/>
    <w:rsid w:val="00742831"/>
    <w:rsid w:val="007428F5"/>
    <w:rsid w:val="00742C1A"/>
    <w:rsid w:val="00742C87"/>
    <w:rsid w:val="00742DAD"/>
    <w:rsid w:val="00742DE6"/>
    <w:rsid w:val="00742FB4"/>
    <w:rsid w:val="00743090"/>
    <w:rsid w:val="00743260"/>
    <w:rsid w:val="007432CC"/>
    <w:rsid w:val="007432F7"/>
    <w:rsid w:val="00743464"/>
    <w:rsid w:val="007434CA"/>
    <w:rsid w:val="00743598"/>
    <w:rsid w:val="007435C6"/>
    <w:rsid w:val="00743D54"/>
    <w:rsid w:val="00743E21"/>
    <w:rsid w:val="00744084"/>
    <w:rsid w:val="007440E8"/>
    <w:rsid w:val="007441B2"/>
    <w:rsid w:val="007441D2"/>
    <w:rsid w:val="00744200"/>
    <w:rsid w:val="00744216"/>
    <w:rsid w:val="00744290"/>
    <w:rsid w:val="007442F2"/>
    <w:rsid w:val="00744339"/>
    <w:rsid w:val="0074464A"/>
    <w:rsid w:val="007449CD"/>
    <w:rsid w:val="00744A0B"/>
    <w:rsid w:val="00744AAB"/>
    <w:rsid w:val="00744AE9"/>
    <w:rsid w:val="00744CF3"/>
    <w:rsid w:val="00744DCB"/>
    <w:rsid w:val="00744E58"/>
    <w:rsid w:val="00744E72"/>
    <w:rsid w:val="007450C4"/>
    <w:rsid w:val="0074511C"/>
    <w:rsid w:val="007452DF"/>
    <w:rsid w:val="00745345"/>
    <w:rsid w:val="007453A9"/>
    <w:rsid w:val="00745403"/>
    <w:rsid w:val="007455AC"/>
    <w:rsid w:val="007456EE"/>
    <w:rsid w:val="00745711"/>
    <w:rsid w:val="00745935"/>
    <w:rsid w:val="00745959"/>
    <w:rsid w:val="00745C29"/>
    <w:rsid w:val="00745D40"/>
    <w:rsid w:val="00745F29"/>
    <w:rsid w:val="00746087"/>
    <w:rsid w:val="00746185"/>
    <w:rsid w:val="00746295"/>
    <w:rsid w:val="0074630E"/>
    <w:rsid w:val="00746351"/>
    <w:rsid w:val="007463C0"/>
    <w:rsid w:val="007463C1"/>
    <w:rsid w:val="00746717"/>
    <w:rsid w:val="0074688D"/>
    <w:rsid w:val="00746902"/>
    <w:rsid w:val="00746A2C"/>
    <w:rsid w:val="00746A41"/>
    <w:rsid w:val="00746A92"/>
    <w:rsid w:val="00746AB4"/>
    <w:rsid w:val="00746AC0"/>
    <w:rsid w:val="00746E4D"/>
    <w:rsid w:val="00746E58"/>
    <w:rsid w:val="00747024"/>
    <w:rsid w:val="007471E4"/>
    <w:rsid w:val="0074721A"/>
    <w:rsid w:val="00747225"/>
    <w:rsid w:val="00747278"/>
    <w:rsid w:val="0074730D"/>
    <w:rsid w:val="0074741E"/>
    <w:rsid w:val="00747508"/>
    <w:rsid w:val="00747572"/>
    <w:rsid w:val="007475D9"/>
    <w:rsid w:val="00747726"/>
    <w:rsid w:val="007478FB"/>
    <w:rsid w:val="0074795A"/>
    <w:rsid w:val="00747A22"/>
    <w:rsid w:val="00747E97"/>
    <w:rsid w:val="00747EB9"/>
    <w:rsid w:val="00747F86"/>
    <w:rsid w:val="00747FDB"/>
    <w:rsid w:val="00750376"/>
    <w:rsid w:val="00750443"/>
    <w:rsid w:val="0075051E"/>
    <w:rsid w:val="00750548"/>
    <w:rsid w:val="007506B8"/>
    <w:rsid w:val="007506F0"/>
    <w:rsid w:val="0075083A"/>
    <w:rsid w:val="00750A1E"/>
    <w:rsid w:val="00750BC1"/>
    <w:rsid w:val="00750FF6"/>
    <w:rsid w:val="00751050"/>
    <w:rsid w:val="00751164"/>
    <w:rsid w:val="0075123A"/>
    <w:rsid w:val="00751259"/>
    <w:rsid w:val="00751343"/>
    <w:rsid w:val="007515BF"/>
    <w:rsid w:val="007518B5"/>
    <w:rsid w:val="0075193F"/>
    <w:rsid w:val="00751945"/>
    <w:rsid w:val="00751C2B"/>
    <w:rsid w:val="00751C79"/>
    <w:rsid w:val="00751C95"/>
    <w:rsid w:val="00751D82"/>
    <w:rsid w:val="00751E7E"/>
    <w:rsid w:val="00751E95"/>
    <w:rsid w:val="00751EFD"/>
    <w:rsid w:val="00751F39"/>
    <w:rsid w:val="00751F94"/>
    <w:rsid w:val="00752129"/>
    <w:rsid w:val="00752149"/>
    <w:rsid w:val="0075214C"/>
    <w:rsid w:val="0075220B"/>
    <w:rsid w:val="0075240E"/>
    <w:rsid w:val="00752439"/>
    <w:rsid w:val="00752586"/>
    <w:rsid w:val="00752690"/>
    <w:rsid w:val="0075295C"/>
    <w:rsid w:val="00752C9E"/>
    <w:rsid w:val="00752F16"/>
    <w:rsid w:val="00752F46"/>
    <w:rsid w:val="007530C6"/>
    <w:rsid w:val="007532F6"/>
    <w:rsid w:val="00753500"/>
    <w:rsid w:val="00753568"/>
    <w:rsid w:val="007536CD"/>
    <w:rsid w:val="007537C1"/>
    <w:rsid w:val="007538EB"/>
    <w:rsid w:val="007539CA"/>
    <w:rsid w:val="00753A31"/>
    <w:rsid w:val="00753B80"/>
    <w:rsid w:val="00753C6B"/>
    <w:rsid w:val="00753C90"/>
    <w:rsid w:val="00753CB8"/>
    <w:rsid w:val="00753D74"/>
    <w:rsid w:val="00753DED"/>
    <w:rsid w:val="00754210"/>
    <w:rsid w:val="00754473"/>
    <w:rsid w:val="00754699"/>
    <w:rsid w:val="007549EF"/>
    <w:rsid w:val="00754ABF"/>
    <w:rsid w:val="00754E63"/>
    <w:rsid w:val="00755022"/>
    <w:rsid w:val="007550B2"/>
    <w:rsid w:val="00755529"/>
    <w:rsid w:val="007556FC"/>
    <w:rsid w:val="00755784"/>
    <w:rsid w:val="00755845"/>
    <w:rsid w:val="007558CC"/>
    <w:rsid w:val="0075598D"/>
    <w:rsid w:val="00755A1C"/>
    <w:rsid w:val="00755A47"/>
    <w:rsid w:val="00755A60"/>
    <w:rsid w:val="00755C94"/>
    <w:rsid w:val="00755CF7"/>
    <w:rsid w:val="00755D5A"/>
    <w:rsid w:val="00755DFB"/>
    <w:rsid w:val="00755EB3"/>
    <w:rsid w:val="00755ED4"/>
    <w:rsid w:val="00755F3F"/>
    <w:rsid w:val="00756031"/>
    <w:rsid w:val="007560F5"/>
    <w:rsid w:val="0075614A"/>
    <w:rsid w:val="00756367"/>
    <w:rsid w:val="00756581"/>
    <w:rsid w:val="007566BB"/>
    <w:rsid w:val="007568DC"/>
    <w:rsid w:val="00756B3F"/>
    <w:rsid w:val="00756E2A"/>
    <w:rsid w:val="00756F48"/>
    <w:rsid w:val="00756FB6"/>
    <w:rsid w:val="00757323"/>
    <w:rsid w:val="0075734B"/>
    <w:rsid w:val="0075778B"/>
    <w:rsid w:val="0075782E"/>
    <w:rsid w:val="00757854"/>
    <w:rsid w:val="00757919"/>
    <w:rsid w:val="007579B8"/>
    <w:rsid w:val="007579C1"/>
    <w:rsid w:val="007579D4"/>
    <w:rsid w:val="00757B17"/>
    <w:rsid w:val="00757BEA"/>
    <w:rsid w:val="00757BEE"/>
    <w:rsid w:val="00757C56"/>
    <w:rsid w:val="00757D78"/>
    <w:rsid w:val="00757EF6"/>
    <w:rsid w:val="00760033"/>
    <w:rsid w:val="00760056"/>
    <w:rsid w:val="0076005F"/>
    <w:rsid w:val="00760084"/>
    <w:rsid w:val="00760092"/>
    <w:rsid w:val="0076017D"/>
    <w:rsid w:val="00760291"/>
    <w:rsid w:val="00760345"/>
    <w:rsid w:val="00760415"/>
    <w:rsid w:val="00760425"/>
    <w:rsid w:val="00760677"/>
    <w:rsid w:val="007606FB"/>
    <w:rsid w:val="00760BB7"/>
    <w:rsid w:val="00760E3B"/>
    <w:rsid w:val="00760F84"/>
    <w:rsid w:val="00761003"/>
    <w:rsid w:val="0076107B"/>
    <w:rsid w:val="0076136A"/>
    <w:rsid w:val="0076142A"/>
    <w:rsid w:val="0076142D"/>
    <w:rsid w:val="0076166A"/>
    <w:rsid w:val="007616F2"/>
    <w:rsid w:val="00761A07"/>
    <w:rsid w:val="00761E53"/>
    <w:rsid w:val="0076201B"/>
    <w:rsid w:val="0076212F"/>
    <w:rsid w:val="00762162"/>
    <w:rsid w:val="00762177"/>
    <w:rsid w:val="007621FB"/>
    <w:rsid w:val="00762311"/>
    <w:rsid w:val="00762433"/>
    <w:rsid w:val="00762532"/>
    <w:rsid w:val="00762700"/>
    <w:rsid w:val="00762764"/>
    <w:rsid w:val="00762813"/>
    <w:rsid w:val="0076285E"/>
    <w:rsid w:val="007629FA"/>
    <w:rsid w:val="00762D83"/>
    <w:rsid w:val="0076315E"/>
    <w:rsid w:val="00763178"/>
    <w:rsid w:val="007631A8"/>
    <w:rsid w:val="007631B6"/>
    <w:rsid w:val="00763431"/>
    <w:rsid w:val="00763541"/>
    <w:rsid w:val="007635C0"/>
    <w:rsid w:val="007635CD"/>
    <w:rsid w:val="00763677"/>
    <w:rsid w:val="007636F2"/>
    <w:rsid w:val="00763750"/>
    <w:rsid w:val="00763791"/>
    <w:rsid w:val="007637AB"/>
    <w:rsid w:val="00763890"/>
    <w:rsid w:val="007638A3"/>
    <w:rsid w:val="00763956"/>
    <w:rsid w:val="00763B61"/>
    <w:rsid w:val="00763D75"/>
    <w:rsid w:val="0076402E"/>
    <w:rsid w:val="0076418F"/>
    <w:rsid w:val="00764280"/>
    <w:rsid w:val="00764303"/>
    <w:rsid w:val="00764481"/>
    <w:rsid w:val="007645A0"/>
    <w:rsid w:val="00764615"/>
    <w:rsid w:val="00764863"/>
    <w:rsid w:val="00764B0F"/>
    <w:rsid w:val="00764BD6"/>
    <w:rsid w:val="00764CE5"/>
    <w:rsid w:val="00764DBE"/>
    <w:rsid w:val="00764F68"/>
    <w:rsid w:val="007653DF"/>
    <w:rsid w:val="00765822"/>
    <w:rsid w:val="00765944"/>
    <w:rsid w:val="0076596B"/>
    <w:rsid w:val="00765BBD"/>
    <w:rsid w:val="00765C3F"/>
    <w:rsid w:val="0076607B"/>
    <w:rsid w:val="007662EA"/>
    <w:rsid w:val="00766425"/>
    <w:rsid w:val="00766543"/>
    <w:rsid w:val="0076668B"/>
    <w:rsid w:val="00766758"/>
    <w:rsid w:val="00766C63"/>
    <w:rsid w:val="00766D31"/>
    <w:rsid w:val="00766DAC"/>
    <w:rsid w:val="00766F9A"/>
    <w:rsid w:val="00767150"/>
    <w:rsid w:val="007671FE"/>
    <w:rsid w:val="00767228"/>
    <w:rsid w:val="00767231"/>
    <w:rsid w:val="007672D4"/>
    <w:rsid w:val="007674DE"/>
    <w:rsid w:val="00767569"/>
    <w:rsid w:val="00767A06"/>
    <w:rsid w:val="00767A46"/>
    <w:rsid w:val="00767A49"/>
    <w:rsid w:val="00767CCC"/>
    <w:rsid w:val="00767D3A"/>
    <w:rsid w:val="0077009C"/>
    <w:rsid w:val="00770455"/>
    <w:rsid w:val="007704E0"/>
    <w:rsid w:val="0077055E"/>
    <w:rsid w:val="00770599"/>
    <w:rsid w:val="00770666"/>
    <w:rsid w:val="0077079A"/>
    <w:rsid w:val="00770839"/>
    <w:rsid w:val="0077091E"/>
    <w:rsid w:val="00770933"/>
    <w:rsid w:val="00770C27"/>
    <w:rsid w:val="00770D2A"/>
    <w:rsid w:val="00770ED4"/>
    <w:rsid w:val="00770F06"/>
    <w:rsid w:val="00771137"/>
    <w:rsid w:val="007711EE"/>
    <w:rsid w:val="00771326"/>
    <w:rsid w:val="007713F9"/>
    <w:rsid w:val="00771560"/>
    <w:rsid w:val="00771796"/>
    <w:rsid w:val="007717DB"/>
    <w:rsid w:val="00771952"/>
    <w:rsid w:val="0077196B"/>
    <w:rsid w:val="007719C4"/>
    <w:rsid w:val="007719DA"/>
    <w:rsid w:val="00771A8A"/>
    <w:rsid w:val="00772086"/>
    <w:rsid w:val="007721A7"/>
    <w:rsid w:val="00772282"/>
    <w:rsid w:val="007724AC"/>
    <w:rsid w:val="007724B3"/>
    <w:rsid w:val="0077262C"/>
    <w:rsid w:val="00772948"/>
    <w:rsid w:val="00772A72"/>
    <w:rsid w:val="00772BB4"/>
    <w:rsid w:val="00772C02"/>
    <w:rsid w:val="00772C6F"/>
    <w:rsid w:val="00772D5D"/>
    <w:rsid w:val="00772E1E"/>
    <w:rsid w:val="00772F17"/>
    <w:rsid w:val="007732F9"/>
    <w:rsid w:val="007735A5"/>
    <w:rsid w:val="00773632"/>
    <w:rsid w:val="00773714"/>
    <w:rsid w:val="007738CD"/>
    <w:rsid w:val="00773913"/>
    <w:rsid w:val="0077397A"/>
    <w:rsid w:val="00773A98"/>
    <w:rsid w:val="00773AA6"/>
    <w:rsid w:val="00773B59"/>
    <w:rsid w:val="00773BBB"/>
    <w:rsid w:val="00773CA2"/>
    <w:rsid w:val="00773CBA"/>
    <w:rsid w:val="00773DC0"/>
    <w:rsid w:val="00773F63"/>
    <w:rsid w:val="00774130"/>
    <w:rsid w:val="00774285"/>
    <w:rsid w:val="0077433A"/>
    <w:rsid w:val="0077436E"/>
    <w:rsid w:val="00774371"/>
    <w:rsid w:val="007744BD"/>
    <w:rsid w:val="007744DB"/>
    <w:rsid w:val="0077456B"/>
    <w:rsid w:val="00774674"/>
    <w:rsid w:val="007746E7"/>
    <w:rsid w:val="00774863"/>
    <w:rsid w:val="00774932"/>
    <w:rsid w:val="00774DE8"/>
    <w:rsid w:val="00774EAF"/>
    <w:rsid w:val="00774F54"/>
    <w:rsid w:val="00774F63"/>
    <w:rsid w:val="00775484"/>
    <w:rsid w:val="00775510"/>
    <w:rsid w:val="007755DA"/>
    <w:rsid w:val="007756BC"/>
    <w:rsid w:val="0077576B"/>
    <w:rsid w:val="0077592F"/>
    <w:rsid w:val="00775978"/>
    <w:rsid w:val="00775C90"/>
    <w:rsid w:val="00775CDA"/>
    <w:rsid w:val="00775DC0"/>
    <w:rsid w:val="00776201"/>
    <w:rsid w:val="007762D1"/>
    <w:rsid w:val="00776716"/>
    <w:rsid w:val="007767E1"/>
    <w:rsid w:val="00776879"/>
    <w:rsid w:val="007768EE"/>
    <w:rsid w:val="00776ABB"/>
    <w:rsid w:val="00776AF1"/>
    <w:rsid w:val="00776B94"/>
    <w:rsid w:val="00776C7E"/>
    <w:rsid w:val="00776CC3"/>
    <w:rsid w:val="00776D4C"/>
    <w:rsid w:val="00776DBA"/>
    <w:rsid w:val="00776E61"/>
    <w:rsid w:val="007770CE"/>
    <w:rsid w:val="00777140"/>
    <w:rsid w:val="00777187"/>
    <w:rsid w:val="00777284"/>
    <w:rsid w:val="00777392"/>
    <w:rsid w:val="0077785C"/>
    <w:rsid w:val="007779E2"/>
    <w:rsid w:val="00777D2A"/>
    <w:rsid w:val="00777D9D"/>
    <w:rsid w:val="00777EAF"/>
    <w:rsid w:val="0078000B"/>
    <w:rsid w:val="00780142"/>
    <w:rsid w:val="0078017D"/>
    <w:rsid w:val="007801C5"/>
    <w:rsid w:val="00780597"/>
    <w:rsid w:val="00780636"/>
    <w:rsid w:val="00780642"/>
    <w:rsid w:val="00780708"/>
    <w:rsid w:val="00780BC2"/>
    <w:rsid w:val="00780D4F"/>
    <w:rsid w:val="00780D77"/>
    <w:rsid w:val="00780DF2"/>
    <w:rsid w:val="00780E3A"/>
    <w:rsid w:val="00780FB8"/>
    <w:rsid w:val="00781084"/>
    <w:rsid w:val="007810B9"/>
    <w:rsid w:val="007811DF"/>
    <w:rsid w:val="007811F2"/>
    <w:rsid w:val="00781236"/>
    <w:rsid w:val="007812B0"/>
    <w:rsid w:val="007813C3"/>
    <w:rsid w:val="0078142F"/>
    <w:rsid w:val="0078173C"/>
    <w:rsid w:val="0078179A"/>
    <w:rsid w:val="007817B3"/>
    <w:rsid w:val="007819F9"/>
    <w:rsid w:val="00781BC3"/>
    <w:rsid w:val="00781BD1"/>
    <w:rsid w:val="00781D90"/>
    <w:rsid w:val="00781DC4"/>
    <w:rsid w:val="00782045"/>
    <w:rsid w:val="00782169"/>
    <w:rsid w:val="007823DE"/>
    <w:rsid w:val="007823FA"/>
    <w:rsid w:val="007827FA"/>
    <w:rsid w:val="0078284C"/>
    <w:rsid w:val="00782E2A"/>
    <w:rsid w:val="00782E2B"/>
    <w:rsid w:val="00782E50"/>
    <w:rsid w:val="00782EB5"/>
    <w:rsid w:val="00782F03"/>
    <w:rsid w:val="00782FBD"/>
    <w:rsid w:val="007831FD"/>
    <w:rsid w:val="0078330B"/>
    <w:rsid w:val="0078337D"/>
    <w:rsid w:val="0078338C"/>
    <w:rsid w:val="00783407"/>
    <w:rsid w:val="007834E1"/>
    <w:rsid w:val="0078352B"/>
    <w:rsid w:val="00783543"/>
    <w:rsid w:val="00783946"/>
    <w:rsid w:val="00783F1D"/>
    <w:rsid w:val="0078414D"/>
    <w:rsid w:val="007842AD"/>
    <w:rsid w:val="00784346"/>
    <w:rsid w:val="007843A1"/>
    <w:rsid w:val="007843D3"/>
    <w:rsid w:val="007844CC"/>
    <w:rsid w:val="0078450A"/>
    <w:rsid w:val="007846BE"/>
    <w:rsid w:val="007849D7"/>
    <w:rsid w:val="00784A77"/>
    <w:rsid w:val="00784B06"/>
    <w:rsid w:val="00784C4F"/>
    <w:rsid w:val="00784C55"/>
    <w:rsid w:val="00784C6B"/>
    <w:rsid w:val="00784CAD"/>
    <w:rsid w:val="00784E57"/>
    <w:rsid w:val="007852C2"/>
    <w:rsid w:val="007853A6"/>
    <w:rsid w:val="0078560E"/>
    <w:rsid w:val="0078564E"/>
    <w:rsid w:val="00785788"/>
    <w:rsid w:val="007858A3"/>
    <w:rsid w:val="00785A07"/>
    <w:rsid w:val="00785C00"/>
    <w:rsid w:val="00785C25"/>
    <w:rsid w:val="00785C4C"/>
    <w:rsid w:val="00785C90"/>
    <w:rsid w:val="00785CCC"/>
    <w:rsid w:val="00785D02"/>
    <w:rsid w:val="00786070"/>
    <w:rsid w:val="007860F2"/>
    <w:rsid w:val="0078613E"/>
    <w:rsid w:val="00786164"/>
    <w:rsid w:val="00786175"/>
    <w:rsid w:val="007862E4"/>
    <w:rsid w:val="00786344"/>
    <w:rsid w:val="00786400"/>
    <w:rsid w:val="00786491"/>
    <w:rsid w:val="007864EA"/>
    <w:rsid w:val="007865E1"/>
    <w:rsid w:val="00786613"/>
    <w:rsid w:val="007866F1"/>
    <w:rsid w:val="00786825"/>
    <w:rsid w:val="00786B33"/>
    <w:rsid w:val="00786B51"/>
    <w:rsid w:val="00786BA4"/>
    <w:rsid w:val="00786CA7"/>
    <w:rsid w:val="00786D6E"/>
    <w:rsid w:val="00786D78"/>
    <w:rsid w:val="00786D91"/>
    <w:rsid w:val="00786DD6"/>
    <w:rsid w:val="00786DF9"/>
    <w:rsid w:val="00786E80"/>
    <w:rsid w:val="00786ECD"/>
    <w:rsid w:val="00786F21"/>
    <w:rsid w:val="00787207"/>
    <w:rsid w:val="0078723E"/>
    <w:rsid w:val="007873BF"/>
    <w:rsid w:val="007874A9"/>
    <w:rsid w:val="007878C7"/>
    <w:rsid w:val="00787A21"/>
    <w:rsid w:val="00787A34"/>
    <w:rsid w:val="00787B90"/>
    <w:rsid w:val="00787BF9"/>
    <w:rsid w:val="00787C4A"/>
    <w:rsid w:val="00787C6A"/>
    <w:rsid w:val="00787C84"/>
    <w:rsid w:val="00787D87"/>
    <w:rsid w:val="00787DE1"/>
    <w:rsid w:val="00787E17"/>
    <w:rsid w:val="00787F9B"/>
    <w:rsid w:val="00787FA6"/>
    <w:rsid w:val="00787FF1"/>
    <w:rsid w:val="007901CA"/>
    <w:rsid w:val="00790292"/>
    <w:rsid w:val="007902E4"/>
    <w:rsid w:val="00790445"/>
    <w:rsid w:val="0079059D"/>
    <w:rsid w:val="007905D6"/>
    <w:rsid w:val="007909F1"/>
    <w:rsid w:val="00790BB3"/>
    <w:rsid w:val="007910B2"/>
    <w:rsid w:val="007910F2"/>
    <w:rsid w:val="007912B2"/>
    <w:rsid w:val="007914FA"/>
    <w:rsid w:val="00791590"/>
    <w:rsid w:val="00791608"/>
    <w:rsid w:val="007919A0"/>
    <w:rsid w:val="007919BA"/>
    <w:rsid w:val="00791A4B"/>
    <w:rsid w:val="00791C57"/>
    <w:rsid w:val="00791D59"/>
    <w:rsid w:val="00791D86"/>
    <w:rsid w:val="00791D97"/>
    <w:rsid w:val="00791E0A"/>
    <w:rsid w:val="00791EF5"/>
    <w:rsid w:val="00791F31"/>
    <w:rsid w:val="00792151"/>
    <w:rsid w:val="007921FB"/>
    <w:rsid w:val="007922C6"/>
    <w:rsid w:val="007923D0"/>
    <w:rsid w:val="007923F1"/>
    <w:rsid w:val="00792416"/>
    <w:rsid w:val="00792697"/>
    <w:rsid w:val="007927DF"/>
    <w:rsid w:val="007928AB"/>
    <w:rsid w:val="007928F4"/>
    <w:rsid w:val="00792969"/>
    <w:rsid w:val="00792A43"/>
    <w:rsid w:val="00792F3D"/>
    <w:rsid w:val="00793027"/>
    <w:rsid w:val="0079338B"/>
    <w:rsid w:val="007933E7"/>
    <w:rsid w:val="0079357B"/>
    <w:rsid w:val="007936DF"/>
    <w:rsid w:val="00793716"/>
    <w:rsid w:val="00793737"/>
    <w:rsid w:val="00793816"/>
    <w:rsid w:val="00793857"/>
    <w:rsid w:val="00793A0D"/>
    <w:rsid w:val="00793B3B"/>
    <w:rsid w:val="00793D27"/>
    <w:rsid w:val="00793DC6"/>
    <w:rsid w:val="00793DFA"/>
    <w:rsid w:val="00793E76"/>
    <w:rsid w:val="00794004"/>
    <w:rsid w:val="007940DC"/>
    <w:rsid w:val="00794115"/>
    <w:rsid w:val="007941B4"/>
    <w:rsid w:val="00794413"/>
    <w:rsid w:val="0079460E"/>
    <w:rsid w:val="007947A5"/>
    <w:rsid w:val="007947E2"/>
    <w:rsid w:val="007948A8"/>
    <w:rsid w:val="00794A84"/>
    <w:rsid w:val="00794E6F"/>
    <w:rsid w:val="00794F56"/>
    <w:rsid w:val="0079501D"/>
    <w:rsid w:val="007952E6"/>
    <w:rsid w:val="0079535F"/>
    <w:rsid w:val="007954B5"/>
    <w:rsid w:val="00795840"/>
    <w:rsid w:val="007959F2"/>
    <w:rsid w:val="00795A0F"/>
    <w:rsid w:val="00795BFD"/>
    <w:rsid w:val="00795EA3"/>
    <w:rsid w:val="00795ED0"/>
    <w:rsid w:val="00795F25"/>
    <w:rsid w:val="00795FB6"/>
    <w:rsid w:val="00796195"/>
    <w:rsid w:val="007962F7"/>
    <w:rsid w:val="00796595"/>
    <w:rsid w:val="007966A1"/>
    <w:rsid w:val="007966EE"/>
    <w:rsid w:val="00796AE9"/>
    <w:rsid w:val="00796C8B"/>
    <w:rsid w:val="007972C4"/>
    <w:rsid w:val="007972F1"/>
    <w:rsid w:val="00797552"/>
    <w:rsid w:val="00797555"/>
    <w:rsid w:val="007976E8"/>
    <w:rsid w:val="00797804"/>
    <w:rsid w:val="00797BA3"/>
    <w:rsid w:val="00797BCC"/>
    <w:rsid w:val="00797C2C"/>
    <w:rsid w:val="00797C4A"/>
    <w:rsid w:val="00797D11"/>
    <w:rsid w:val="00797D8B"/>
    <w:rsid w:val="00797FA0"/>
    <w:rsid w:val="007999BE"/>
    <w:rsid w:val="007A0519"/>
    <w:rsid w:val="007A052E"/>
    <w:rsid w:val="007A057A"/>
    <w:rsid w:val="007A0618"/>
    <w:rsid w:val="007A086E"/>
    <w:rsid w:val="007A095F"/>
    <w:rsid w:val="007A096C"/>
    <w:rsid w:val="007A0AE9"/>
    <w:rsid w:val="007A0DBF"/>
    <w:rsid w:val="007A0F72"/>
    <w:rsid w:val="007A1296"/>
    <w:rsid w:val="007A12C2"/>
    <w:rsid w:val="007A14AD"/>
    <w:rsid w:val="007A14EF"/>
    <w:rsid w:val="007A15AF"/>
    <w:rsid w:val="007A15C8"/>
    <w:rsid w:val="007A17CD"/>
    <w:rsid w:val="007A17D4"/>
    <w:rsid w:val="007A1977"/>
    <w:rsid w:val="007A1CA7"/>
    <w:rsid w:val="007A1DD5"/>
    <w:rsid w:val="007A1E3E"/>
    <w:rsid w:val="007A1F68"/>
    <w:rsid w:val="007A22F9"/>
    <w:rsid w:val="007A24FF"/>
    <w:rsid w:val="007A2569"/>
    <w:rsid w:val="007A2574"/>
    <w:rsid w:val="007A269E"/>
    <w:rsid w:val="007A2890"/>
    <w:rsid w:val="007A2BA0"/>
    <w:rsid w:val="007A2DC6"/>
    <w:rsid w:val="007A2E96"/>
    <w:rsid w:val="007A2F37"/>
    <w:rsid w:val="007A3015"/>
    <w:rsid w:val="007A3085"/>
    <w:rsid w:val="007A30C7"/>
    <w:rsid w:val="007A334C"/>
    <w:rsid w:val="007A3375"/>
    <w:rsid w:val="007A340E"/>
    <w:rsid w:val="007A3698"/>
    <w:rsid w:val="007A370B"/>
    <w:rsid w:val="007A3749"/>
    <w:rsid w:val="007A3993"/>
    <w:rsid w:val="007A3AE1"/>
    <w:rsid w:val="007A3C62"/>
    <w:rsid w:val="007A3D91"/>
    <w:rsid w:val="007A3D9A"/>
    <w:rsid w:val="007A403D"/>
    <w:rsid w:val="007A4097"/>
    <w:rsid w:val="007A43D7"/>
    <w:rsid w:val="007A44D6"/>
    <w:rsid w:val="007A4537"/>
    <w:rsid w:val="007A4818"/>
    <w:rsid w:val="007A49AB"/>
    <w:rsid w:val="007A4AE6"/>
    <w:rsid w:val="007A4AF2"/>
    <w:rsid w:val="007A4B0D"/>
    <w:rsid w:val="007A4BE3"/>
    <w:rsid w:val="007A4D88"/>
    <w:rsid w:val="007A4E90"/>
    <w:rsid w:val="007A505B"/>
    <w:rsid w:val="007A5117"/>
    <w:rsid w:val="007A51E4"/>
    <w:rsid w:val="007A526D"/>
    <w:rsid w:val="007A54F9"/>
    <w:rsid w:val="007A55E3"/>
    <w:rsid w:val="007A5626"/>
    <w:rsid w:val="007A56BF"/>
    <w:rsid w:val="007A57E9"/>
    <w:rsid w:val="007A5945"/>
    <w:rsid w:val="007A5972"/>
    <w:rsid w:val="007A5AA2"/>
    <w:rsid w:val="007A5BCA"/>
    <w:rsid w:val="007A5C02"/>
    <w:rsid w:val="007A5DA6"/>
    <w:rsid w:val="007A5DAF"/>
    <w:rsid w:val="007A5F11"/>
    <w:rsid w:val="007A6199"/>
    <w:rsid w:val="007A619B"/>
    <w:rsid w:val="007A621F"/>
    <w:rsid w:val="007A62E4"/>
    <w:rsid w:val="007A62FA"/>
    <w:rsid w:val="007A635F"/>
    <w:rsid w:val="007A636E"/>
    <w:rsid w:val="007A6541"/>
    <w:rsid w:val="007A66CB"/>
    <w:rsid w:val="007A6919"/>
    <w:rsid w:val="007A6B81"/>
    <w:rsid w:val="007A6BE4"/>
    <w:rsid w:val="007A6CEE"/>
    <w:rsid w:val="007A701E"/>
    <w:rsid w:val="007A721D"/>
    <w:rsid w:val="007A7234"/>
    <w:rsid w:val="007A7367"/>
    <w:rsid w:val="007A73F2"/>
    <w:rsid w:val="007A74A1"/>
    <w:rsid w:val="007A74D6"/>
    <w:rsid w:val="007A74F6"/>
    <w:rsid w:val="007A7525"/>
    <w:rsid w:val="007A7925"/>
    <w:rsid w:val="007A7A6A"/>
    <w:rsid w:val="007A7BBF"/>
    <w:rsid w:val="007A7C0B"/>
    <w:rsid w:val="007A7D65"/>
    <w:rsid w:val="007B00D4"/>
    <w:rsid w:val="007B028E"/>
    <w:rsid w:val="007B0330"/>
    <w:rsid w:val="007B0354"/>
    <w:rsid w:val="007B040B"/>
    <w:rsid w:val="007B0463"/>
    <w:rsid w:val="007B04D1"/>
    <w:rsid w:val="007B087F"/>
    <w:rsid w:val="007B0955"/>
    <w:rsid w:val="007B09C2"/>
    <w:rsid w:val="007B0B74"/>
    <w:rsid w:val="007B0DBF"/>
    <w:rsid w:val="007B0DC4"/>
    <w:rsid w:val="007B0DCF"/>
    <w:rsid w:val="007B0EEA"/>
    <w:rsid w:val="007B0FCA"/>
    <w:rsid w:val="007B0FCC"/>
    <w:rsid w:val="007B10B9"/>
    <w:rsid w:val="007B15A3"/>
    <w:rsid w:val="007B16D3"/>
    <w:rsid w:val="007B188D"/>
    <w:rsid w:val="007B18D1"/>
    <w:rsid w:val="007B1AD0"/>
    <w:rsid w:val="007B1ADC"/>
    <w:rsid w:val="007B1B96"/>
    <w:rsid w:val="007B1C18"/>
    <w:rsid w:val="007B1C59"/>
    <w:rsid w:val="007B1C5E"/>
    <w:rsid w:val="007B1C6E"/>
    <w:rsid w:val="007B1F10"/>
    <w:rsid w:val="007B2232"/>
    <w:rsid w:val="007B22B3"/>
    <w:rsid w:val="007B2331"/>
    <w:rsid w:val="007B24CE"/>
    <w:rsid w:val="007B257C"/>
    <w:rsid w:val="007B25D3"/>
    <w:rsid w:val="007B25EE"/>
    <w:rsid w:val="007B2693"/>
    <w:rsid w:val="007B27B4"/>
    <w:rsid w:val="007B27B7"/>
    <w:rsid w:val="007B2863"/>
    <w:rsid w:val="007B299A"/>
    <w:rsid w:val="007B2D99"/>
    <w:rsid w:val="007B2E04"/>
    <w:rsid w:val="007B329C"/>
    <w:rsid w:val="007B3333"/>
    <w:rsid w:val="007B335C"/>
    <w:rsid w:val="007B3489"/>
    <w:rsid w:val="007B35F6"/>
    <w:rsid w:val="007B3808"/>
    <w:rsid w:val="007B3ED3"/>
    <w:rsid w:val="007B3FFD"/>
    <w:rsid w:val="007B40D2"/>
    <w:rsid w:val="007B4116"/>
    <w:rsid w:val="007B43A5"/>
    <w:rsid w:val="007B463B"/>
    <w:rsid w:val="007B464C"/>
    <w:rsid w:val="007B4858"/>
    <w:rsid w:val="007B4A0C"/>
    <w:rsid w:val="007B4A79"/>
    <w:rsid w:val="007B4BD5"/>
    <w:rsid w:val="007B4C57"/>
    <w:rsid w:val="007B4D01"/>
    <w:rsid w:val="007B4D64"/>
    <w:rsid w:val="007B4E0F"/>
    <w:rsid w:val="007B5390"/>
    <w:rsid w:val="007B5434"/>
    <w:rsid w:val="007B5633"/>
    <w:rsid w:val="007B5771"/>
    <w:rsid w:val="007B57C9"/>
    <w:rsid w:val="007B57FF"/>
    <w:rsid w:val="007B594E"/>
    <w:rsid w:val="007B5A05"/>
    <w:rsid w:val="007B5A8D"/>
    <w:rsid w:val="007B5B5C"/>
    <w:rsid w:val="007B5CF3"/>
    <w:rsid w:val="007B5D36"/>
    <w:rsid w:val="007B5D80"/>
    <w:rsid w:val="007B5DF5"/>
    <w:rsid w:val="007B5FA9"/>
    <w:rsid w:val="007B5FE3"/>
    <w:rsid w:val="007B61CE"/>
    <w:rsid w:val="007B637B"/>
    <w:rsid w:val="007B64BB"/>
    <w:rsid w:val="007B677C"/>
    <w:rsid w:val="007B69C6"/>
    <w:rsid w:val="007B6BC1"/>
    <w:rsid w:val="007B6CFC"/>
    <w:rsid w:val="007B6EBE"/>
    <w:rsid w:val="007B6F8D"/>
    <w:rsid w:val="007B77FD"/>
    <w:rsid w:val="007B7963"/>
    <w:rsid w:val="007B796F"/>
    <w:rsid w:val="007B79CB"/>
    <w:rsid w:val="007B7B9D"/>
    <w:rsid w:val="007B7CA6"/>
    <w:rsid w:val="007C004A"/>
    <w:rsid w:val="007C0114"/>
    <w:rsid w:val="007C02C4"/>
    <w:rsid w:val="007C039F"/>
    <w:rsid w:val="007C0447"/>
    <w:rsid w:val="007C063D"/>
    <w:rsid w:val="007C06F5"/>
    <w:rsid w:val="007C0826"/>
    <w:rsid w:val="007C08DB"/>
    <w:rsid w:val="007C0973"/>
    <w:rsid w:val="007C0C04"/>
    <w:rsid w:val="007C0CC0"/>
    <w:rsid w:val="007C0E7E"/>
    <w:rsid w:val="007C1049"/>
    <w:rsid w:val="007C11AC"/>
    <w:rsid w:val="007C139B"/>
    <w:rsid w:val="007C13B9"/>
    <w:rsid w:val="007C1436"/>
    <w:rsid w:val="007C1473"/>
    <w:rsid w:val="007C1508"/>
    <w:rsid w:val="007C1583"/>
    <w:rsid w:val="007C15D0"/>
    <w:rsid w:val="007C17D7"/>
    <w:rsid w:val="007C186E"/>
    <w:rsid w:val="007C190F"/>
    <w:rsid w:val="007C1929"/>
    <w:rsid w:val="007C197D"/>
    <w:rsid w:val="007C1B9D"/>
    <w:rsid w:val="007C1BBE"/>
    <w:rsid w:val="007C1C1F"/>
    <w:rsid w:val="007C1C8F"/>
    <w:rsid w:val="007C1D91"/>
    <w:rsid w:val="007C1E5B"/>
    <w:rsid w:val="007C232F"/>
    <w:rsid w:val="007C2477"/>
    <w:rsid w:val="007C25EC"/>
    <w:rsid w:val="007C2655"/>
    <w:rsid w:val="007C270F"/>
    <w:rsid w:val="007C285F"/>
    <w:rsid w:val="007C28C4"/>
    <w:rsid w:val="007C298D"/>
    <w:rsid w:val="007C2B95"/>
    <w:rsid w:val="007C2C8A"/>
    <w:rsid w:val="007C2FC5"/>
    <w:rsid w:val="007C33A9"/>
    <w:rsid w:val="007C340B"/>
    <w:rsid w:val="007C3430"/>
    <w:rsid w:val="007C349B"/>
    <w:rsid w:val="007C34E2"/>
    <w:rsid w:val="007C3735"/>
    <w:rsid w:val="007C37D9"/>
    <w:rsid w:val="007C38AC"/>
    <w:rsid w:val="007C39DE"/>
    <w:rsid w:val="007C3B46"/>
    <w:rsid w:val="007C3C4E"/>
    <w:rsid w:val="007C3D2D"/>
    <w:rsid w:val="007C3F28"/>
    <w:rsid w:val="007C4073"/>
    <w:rsid w:val="007C40F3"/>
    <w:rsid w:val="007C4247"/>
    <w:rsid w:val="007C428A"/>
    <w:rsid w:val="007C42AD"/>
    <w:rsid w:val="007C43E9"/>
    <w:rsid w:val="007C446A"/>
    <w:rsid w:val="007C456D"/>
    <w:rsid w:val="007C4B0E"/>
    <w:rsid w:val="007C4B1B"/>
    <w:rsid w:val="007C4B69"/>
    <w:rsid w:val="007C4CD0"/>
    <w:rsid w:val="007C4CE4"/>
    <w:rsid w:val="007C4DC2"/>
    <w:rsid w:val="007C5042"/>
    <w:rsid w:val="007C541C"/>
    <w:rsid w:val="007C5543"/>
    <w:rsid w:val="007C5571"/>
    <w:rsid w:val="007C5635"/>
    <w:rsid w:val="007C567D"/>
    <w:rsid w:val="007C579A"/>
    <w:rsid w:val="007C5901"/>
    <w:rsid w:val="007C59AB"/>
    <w:rsid w:val="007C59FF"/>
    <w:rsid w:val="007C5AA3"/>
    <w:rsid w:val="007C5C56"/>
    <w:rsid w:val="007C5D57"/>
    <w:rsid w:val="007C5DAA"/>
    <w:rsid w:val="007C5E45"/>
    <w:rsid w:val="007C60D7"/>
    <w:rsid w:val="007C610B"/>
    <w:rsid w:val="007C6327"/>
    <w:rsid w:val="007C6639"/>
    <w:rsid w:val="007C68A4"/>
    <w:rsid w:val="007C6A0A"/>
    <w:rsid w:val="007C6BC8"/>
    <w:rsid w:val="007C6BED"/>
    <w:rsid w:val="007C6C0B"/>
    <w:rsid w:val="007C703C"/>
    <w:rsid w:val="007C70A6"/>
    <w:rsid w:val="007C7286"/>
    <w:rsid w:val="007C73F9"/>
    <w:rsid w:val="007C756F"/>
    <w:rsid w:val="007C779B"/>
    <w:rsid w:val="007C7809"/>
    <w:rsid w:val="007C79B7"/>
    <w:rsid w:val="007C79E5"/>
    <w:rsid w:val="007C79EC"/>
    <w:rsid w:val="007C7A65"/>
    <w:rsid w:val="007C7ADC"/>
    <w:rsid w:val="007C7BDA"/>
    <w:rsid w:val="007C7C5F"/>
    <w:rsid w:val="007D0384"/>
    <w:rsid w:val="007D04B8"/>
    <w:rsid w:val="007D054C"/>
    <w:rsid w:val="007D05BD"/>
    <w:rsid w:val="007D06AF"/>
    <w:rsid w:val="007D0901"/>
    <w:rsid w:val="007D0B0B"/>
    <w:rsid w:val="007D0C66"/>
    <w:rsid w:val="007D0CD3"/>
    <w:rsid w:val="007D0DEE"/>
    <w:rsid w:val="007D0E13"/>
    <w:rsid w:val="007D0EF8"/>
    <w:rsid w:val="007D0FF3"/>
    <w:rsid w:val="007D0FFC"/>
    <w:rsid w:val="007D115A"/>
    <w:rsid w:val="007D128F"/>
    <w:rsid w:val="007D12B3"/>
    <w:rsid w:val="007D1314"/>
    <w:rsid w:val="007D139E"/>
    <w:rsid w:val="007D1434"/>
    <w:rsid w:val="007D177E"/>
    <w:rsid w:val="007D17E2"/>
    <w:rsid w:val="007D17FE"/>
    <w:rsid w:val="007D1993"/>
    <w:rsid w:val="007D1B38"/>
    <w:rsid w:val="007D1B4C"/>
    <w:rsid w:val="007D1B86"/>
    <w:rsid w:val="007D1B9F"/>
    <w:rsid w:val="007D1C38"/>
    <w:rsid w:val="007D2064"/>
    <w:rsid w:val="007D24A3"/>
    <w:rsid w:val="007D24B0"/>
    <w:rsid w:val="007D24B2"/>
    <w:rsid w:val="007D25EA"/>
    <w:rsid w:val="007D26CE"/>
    <w:rsid w:val="007D27C1"/>
    <w:rsid w:val="007D2BE1"/>
    <w:rsid w:val="007D2BFE"/>
    <w:rsid w:val="007D2E26"/>
    <w:rsid w:val="007D2EE7"/>
    <w:rsid w:val="007D300E"/>
    <w:rsid w:val="007D3034"/>
    <w:rsid w:val="007D3431"/>
    <w:rsid w:val="007D3432"/>
    <w:rsid w:val="007D349E"/>
    <w:rsid w:val="007D3949"/>
    <w:rsid w:val="007D3A87"/>
    <w:rsid w:val="007D3C02"/>
    <w:rsid w:val="007D3C3D"/>
    <w:rsid w:val="007D3CDB"/>
    <w:rsid w:val="007D3D7C"/>
    <w:rsid w:val="007D3D88"/>
    <w:rsid w:val="007D3E72"/>
    <w:rsid w:val="007D4034"/>
    <w:rsid w:val="007D40EF"/>
    <w:rsid w:val="007D4365"/>
    <w:rsid w:val="007D441F"/>
    <w:rsid w:val="007D45FF"/>
    <w:rsid w:val="007D4898"/>
    <w:rsid w:val="007D48E7"/>
    <w:rsid w:val="007D4ABF"/>
    <w:rsid w:val="007D4BC2"/>
    <w:rsid w:val="007D4BF7"/>
    <w:rsid w:val="007D4C92"/>
    <w:rsid w:val="007D4D27"/>
    <w:rsid w:val="007D518D"/>
    <w:rsid w:val="007D52C3"/>
    <w:rsid w:val="007D52D9"/>
    <w:rsid w:val="007D533C"/>
    <w:rsid w:val="007D5356"/>
    <w:rsid w:val="007D5500"/>
    <w:rsid w:val="007D567A"/>
    <w:rsid w:val="007D56C5"/>
    <w:rsid w:val="007D57DF"/>
    <w:rsid w:val="007D5930"/>
    <w:rsid w:val="007D5988"/>
    <w:rsid w:val="007D59B5"/>
    <w:rsid w:val="007D59F4"/>
    <w:rsid w:val="007D5A93"/>
    <w:rsid w:val="007D5B3D"/>
    <w:rsid w:val="007D5CB7"/>
    <w:rsid w:val="007D5D2E"/>
    <w:rsid w:val="007D607B"/>
    <w:rsid w:val="007D60F2"/>
    <w:rsid w:val="007D61E7"/>
    <w:rsid w:val="007D61ED"/>
    <w:rsid w:val="007D63C1"/>
    <w:rsid w:val="007D6496"/>
    <w:rsid w:val="007D6691"/>
    <w:rsid w:val="007D676D"/>
    <w:rsid w:val="007D67C2"/>
    <w:rsid w:val="007D688B"/>
    <w:rsid w:val="007D68D5"/>
    <w:rsid w:val="007D68F1"/>
    <w:rsid w:val="007D6B8F"/>
    <w:rsid w:val="007D6C5A"/>
    <w:rsid w:val="007D6E1E"/>
    <w:rsid w:val="007D731A"/>
    <w:rsid w:val="007D7361"/>
    <w:rsid w:val="007D7409"/>
    <w:rsid w:val="007D7419"/>
    <w:rsid w:val="007D7493"/>
    <w:rsid w:val="007D7559"/>
    <w:rsid w:val="007D76CB"/>
    <w:rsid w:val="007D77B6"/>
    <w:rsid w:val="007D7892"/>
    <w:rsid w:val="007D7ADA"/>
    <w:rsid w:val="007D7B0E"/>
    <w:rsid w:val="007D7BAD"/>
    <w:rsid w:val="007D7CC1"/>
    <w:rsid w:val="007D7CDD"/>
    <w:rsid w:val="007D7D0D"/>
    <w:rsid w:val="007D7D5C"/>
    <w:rsid w:val="007D7D7E"/>
    <w:rsid w:val="007D7FE3"/>
    <w:rsid w:val="007E023E"/>
    <w:rsid w:val="007E0385"/>
    <w:rsid w:val="007E046D"/>
    <w:rsid w:val="007E0494"/>
    <w:rsid w:val="007E05C0"/>
    <w:rsid w:val="007E05C1"/>
    <w:rsid w:val="007E0740"/>
    <w:rsid w:val="007E074D"/>
    <w:rsid w:val="007E082A"/>
    <w:rsid w:val="007E090C"/>
    <w:rsid w:val="007E0AE9"/>
    <w:rsid w:val="007E0C09"/>
    <w:rsid w:val="007E0C71"/>
    <w:rsid w:val="007E0C8C"/>
    <w:rsid w:val="007E0FA2"/>
    <w:rsid w:val="007E0FC6"/>
    <w:rsid w:val="007E15FE"/>
    <w:rsid w:val="007E1606"/>
    <w:rsid w:val="007E171A"/>
    <w:rsid w:val="007E178A"/>
    <w:rsid w:val="007E1A2F"/>
    <w:rsid w:val="007E1A5D"/>
    <w:rsid w:val="007E1C34"/>
    <w:rsid w:val="007E1E29"/>
    <w:rsid w:val="007E23EB"/>
    <w:rsid w:val="007E2516"/>
    <w:rsid w:val="007E25E3"/>
    <w:rsid w:val="007E261F"/>
    <w:rsid w:val="007E26AD"/>
    <w:rsid w:val="007E2726"/>
    <w:rsid w:val="007E282C"/>
    <w:rsid w:val="007E29CD"/>
    <w:rsid w:val="007E2A09"/>
    <w:rsid w:val="007E2B51"/>
    <w:rsid w:val="007E2B9C"/>
    <w:rsid w:val="007E2C35"/>
    <w:rsid w:val="007E2C53"/>
    <w:rsid w:val="007E2CB1"/>
    <w:rsid w:val="007E2DF9"/>
    <w:rsid w:val="007E2E69"/>
    <w:rsid w:val="007E3082"/>
    <w:rsid w:val="007E311E"/>
    <w:rsid w:val="007E31BC"/>
    <w:rsid w:val="007E31DC"/>
    <w:rsid w:val="007E321D"/>
    <w:rsid w:val="007E333F"/>
    <w:rsid w:val="007E33B0"/>
    <w:rsid w:val="007E3643"/>
    <w:rsid w:val="007E3715"/>
    <w:rsid w:val="007E3750"/>
    <w:rsid w:val="007E3899"/>
    <w:rsid w:val="007E38C1"/>
    <w:rsid w:val="007E39C7"/>
    <w:rsid w:val="007E3B0E"/>
    <w:rsid w:val="007E3C21"/>
    <w:rsid w:val="007E3D50"/>
    <w:rsid w:val="007E4027"/>
    <w:rsid w:val="007E40AB"/>
    <w:rsid w:val="007E40C8"/>
    <w:rsid w:val="007E414C"/>
    <w:rsid w:val="007E41FF"/>
    <w:rsid w:val="007E4309"/>
    <w:rsid w:val="007E4347"/>
    <w:rsid w:val="007E4498"/>
    <w:rsid w:val="007E44A8"/>
    <w:rsid w:val="007E4627"/>
    <w:rsid w:val="007E4651"/>
    <w:rsid w:val="007E468E"/>
    <w:rsid w:val="007E46DF"/>
    <w:rsid w:val="007E499E"/>
    <w:rsid w:val="007E4AA4"/>
    <w:rsid w:val="007E4BE1"/>
    <w:rsid w:val="007E4ECB"/>
    <w:rsid w:val="007E5064"/>
    <w:rsid w:val="007E53B9"/>
    <w:rsid w:val="007E553A"/>
    <w:rsid w:val="007E55A5"/>
    <w:rsid w:val="007E577C"/>
    <w:rsid w:val="007E5872"/>
    <w:rsid w:val="007E5940"/>
    <w:rsid w:val="007E5BF8"/>
    <w:rsid w:val="007E5D47"/>
    <w:rsid w:val="007E5E26"/>
    <w:rsid w:val="007E5EBC"/>
    <w:rsid w:val="007E5EDC"/>
    <w:rsid w:val="007E5F5E"/>
    <w:rsid w:val="007E6043"/>
    <w:rsid w:val="007E6277"/>
    <w:rsid w:val="007E62AD"/>
    <w:rsid w:val="007E63FD"/>
    <w:rsid w:val="007E640E"/>
    <w:rsid w:val="007E6443"/>
    <w:rsid w:val="007E6528"/>
    <w:rsid w:val="007E670E"/>
    <w:rsid w:val="007E680F"/>
    <w:rsid w:val="007E6998"/>
    <w:rsid w:val="007E6E0D"/>
    <w:rsid w:val="007E70A5"/>
    <w:rsid w:val="007E7429"/>
    <w:rsid w:val="007E7446"/>
    <w:rsid w:val="007E7A24"/>
    <w:rsid w:val="007E7BF3"/>
    <w:rsid w:val="007E7DF4"/>
    <w:rsid w:val="007E7FFB"/>
    <w:rsid w:val="007F0127"/>
    <w:rsid w:val="007F02EA"/>
    <w:rsid w:val="007F02FC"/>
    <w:rsid w:val="007F0694"/>
    <w:rsid w:val="007F07D6"/>
    <w:rsid w:val="007F08C8"/>
    <w:rsid w:val="007F0949"/>
    <w:rsid w:val="007F09B2"/>
    <w:rsid w:val="007F09B9"/>
    <w:rsid w:val="007F09CD"/>
    <w:rsid w:val="007F0AC7"/>
    <w:rsid w:val="007F0C57"/>
    <w:rsid w:val="007F0D12"/>
    <w:rsid w:val="007F0E20"/>
    <w:rsid w:val="007F0E33"/>
    <w:rsid w:val="007F0F6C"/>
    <w:rsid w:val="007F12C6"/>
    <w:rsid w:val="007F1374"/>
    <w:rsid w:val="007F13EB"/>
    <w:rsid w:val="007F1406"/>
    <w:rsid w:val="007F1580"/>
    <w:rsid w:val="007F1706"/>
    <w:rsid w:val="007F1774"/>
    <w:rsid w:val="007F18F2"/>
    <w:rsid w:val="007F1984"/>
    <w:rsid w:val="007F1AC2"/>
    <w:rsid w:val="007F1B96"/>
    <w:rsid w:val="007F1C15"/>
    <w:rsid w:val="007F1D21"/>
    <w:rsid w:val="007F1D51"/>
    <w:rsid w:val="007F1D6F"/>
    <w:rsid w:val="007F1DED"/>
    <w:rsid w:val="007F2002"/>
    <w:rsid w:val="007F2164"/>
    <w:rsid w:val="007F223C"/>
    <w:rsid w:val="007F237A"/>
    <w:rsid w:val="007F23C4"/>
    <w:rsid w:val="007F2569"/>
    <w:rsid w:val="007F25FE"/>
    <w:rsid w:val="007F2724"/>
    <w:rsid w:val="007F2956"/>
    <w:rsid w:val="007F29C2"/>
    <w:rsid w:val="007F29CB"/>
    <w:rsid w:val="007F2B31"/>
    <w:rsid w:val="007F2BC7"/>
    <w:rsid w:val="007F2CD8"/>
    <w:rsid w:val="007F2CEE"/>
    <w:rsid w:val="007F2E25"/>
    <w:rsid w:val="007F2EEC"/>
    <w:rsid w:val="007F2F7E"/>
    <w:rsid w:val="007F2FFA"/>
    <w:rsid w:val="007F3089"/>
    <w:rsid w:val="007F3095"/>
    <w:rsid w:val="007F31E6"/>
    <w:rsid w:val="007F3326"/>
    <w:rsid w:val="007F3388"/>
    <w:rsid w:val="007F34F4"/>
    <w:rsid w:val="007F3518"/>
    <w:rsid w:val="007F35B1"/>
    <w:rsid w:val="007F362A"/>
    <w:rsid w:val="007F37CE"/>
    <w:rsid w:val="007F37E3"/>
    <w:rsid w:val="007F37EB"/>
    <w:rsid w:val="007F3AA6"/>
    <w:rsid w:val="007F3AFE"/>
    <w:rsid w:val="007F3D07"/>
    <w:rsid w:val="007F3DBE"/>
    <w:rsid w:val="007F4033"/>
    <w:rsid w:val="007F4050"/>
    <w:rsid w:val="007F407F"/>
    <w:rsid w:val="007F4224"/>
    <w:rsid w:val="007F438C"/>
    <w:rsid w:val="007F43BC"/>
    <w:rsid w:val="007F43EB"/>
    <w:rsid w:val="007F44B3"/>
    <w:rsid w:val="007F44BB"/>
    <w:rsid w:val="007F4520"/>
    <w:rsid w:val="007F48BB"/>
    <w:rsid w:val="007F4AC7"/>
    <w:rsid w:val="007F4E5B"/>
    <w:rsid w:val="007F5010"/>
    <w:rsid w:val="007F5068"/>
    <w:rsid w:val="007F5085"/>
    <w:rsid w:val="007F528F"/>
    <w:rsid w:val="007F5317"/>
    <w:rsid w:val="007F5388"/>
    <w:rsid w:val="007F546F"/>
    <w:rsid w:val="007F549F"/>
    <w:rsid w:val="007F5512"/>
    <w:rsid w:val="007F5663"/>
    <w:rsid w:val="007F584C"/>
    <w:rsid w:val="007F5AF1"/>
    <w:rsid w:val="007F6048"/>
    <w:rsid w:val="007F6062"/>
    <w:rsid w:val="007F6111"/>
    <w:rsid w:val="007F61CC"/>
    <w:rsid w:val="007F6802"/>
    <w:rsid w:val="007F6835"/>
    <w:rsid w:val="007F698C"/>
    <w:rsid w:val="007F69A0"/>
    <w:rsid w:val="007F6A73"/>
    <w:rsid w:val="007F6B09"/>
    <w:rsid w:val="007F6B4C"/>
    <w:rsid w:val="007F700F"/>
    <w:rsid w:val="007F70BE"/>
    <w:rsid w:val="007F70E8"/>
    <w:rsid w:val="007F7190"/>
    <w:rsid w:val="007F7257"/>
    <w:rsid w:val="007F746E"/>
    <w:rsid w:val="007F74ED"/>
    <w:rsid w:val="007F762E"/>
    <w:rsid w:val="007F7AA0"/>
    <w:rsid w:val="007F7AA9"/>
    <w:rsid w:val="007F7D7E"/>
    <w:rsid w:val="007F7DB1"/>
    <w:rsid w:val="008000AC"/>
    <w:rsid w:val="008001F4"/>
    <w:rsid w:val="0080020D"/>
    <w:rsid w:val="00800235"/>
    <w:rsid w:val="008002A7"/>
    <w:rsid w:val="00800401"/>
    <w:rsid w:val="00800437"/>
    <w:rsid w:val="0080044F"/>
    <w:rsid w:val="00800486"/>
    <w:rsid w:val="008005D8"/>
    <w:rsid w:val="008006D6"/>
    <w:rsid w:val="00800775"/>
    <w:rsid w:val="008007DE"/>
    <w:rsid w:val="008008F8"/>
    <w:rsid w:val="00800D5F"/>
    <w:rsid w:val="00800FEC"/>
    <w:rsid w:val="008011D6"/>
    <w:rsid w:val="00801292"/>
    <w:rsid w:val="00801694"/>
    <w:rsid w:val="008016DC"/>
    <w:rsid w:val="0080186A"/>
    <w:rsid w:val="00801AB2"/>
    <w:rsid w:val="00801D51"/>
    <w:rsid w:val="00801DF0"/>
    <w:rsid w:val="00801F21"/>
    <w:rsid w:val="00802006"/>
    <w:rsid w:val="0080234B"/>
    <w:rsid w:val="0080234C"/>
    <w:rsid w:val="00802363"/>
    <w:rsid w:val="008024AC"/>
    <w:rsid w:val="0080261F"/>
    <w:rsid w:val="0080270C"/>
    <w:rsid w:val="0080288B"/>
    <w:rsid w:val="0080289B"/>
    <w:rsid w:val="00802990"/>
    <w:rsid w:val="00802A45"/>
    <w:rsid w:val="00802AAC"/>
    <w:rsid w:val="00802C1E"/>
    <w:rsid w:val="00802E73"/>
    <w:rsid w:val="00802FFE"/>
    <w:rsid w:val="0080301D"/>
    <w:rsid w:val="008035EF"/>
    <w:rsid w:val="0080368B"/>
    <w:rsid w:val="00803720"/>
    <w:rsid w:val="008038B9"/>
    <w:rsid w:val="00803A17"/>
    <w:rsid w:val="00803C7B"/>
    <w:rsid w:val="00803DDC"/>
    <w:rsid w:val="00804060"/>
    <w:rsid w:val="008040AA"/>
    <w:rsid w:val="008041F1"/>
    <w:rsid w:val="00804242"/>
    <w:rsid w:val="00804245"/>
    <w:rsid w:val="00804485"/>
    <w:rsid w:val="00804610"/>
    <w:rsid w:val="0080463C"/>
    <w:rsid w:val="00804728"/>
    <w:rsid w:val="00804759"/>
    <w:rsid w:val="008047DD"/>
    <w:rsid w:val="00804848"/>
    <w:rsid w:val="008049B2"/>
    <w:rsid w:val="008049C7"/>
    <w:rsid w:val="00804BA2"/>
    <w:rsid w:val="00804BAC"/>
    <w:rsid w:val="00804DD6"/>
    <w:rsid w:val="00804E36"/>
    <w:rsid w:val="00804F93"/>
    <w:rsid w:val="00804FA7"/>
    <w:rsid w:val="0080504A"/>
    <w:rsid w:val="0080505A"/>
    <w:rsid w:val="008050A6"/>
    <w:rsid w:val="008051D3"/>
    <w:rsid w:val="00805218"/>
    <w:rsid w:val="00805471"/>
    <w:rsid w:val="0080555F"/>
    <w:rsid w:val="008056DC"/>
    <w:rsid w:val="0080598C"/>
    <w:rsid w:val="008059C6"/>
    <w:rsid w:val="008059C9"/>
    <w:rsid w:val="00805BFE"/>
    <w:rsid w:val="00805C3A"/>
    <w:rsid w:val="00805CEB"/>
    <w:rsid w:val="008062A8"/>
    <w:rsid w:val="008064A7"/>
    <w:rsid w:val="0080651F"/>
    <w:rsid w:val="008066DB"/>
    <w:rsid w:val="00806740"/>
    <w:rsid w:val="00806BC0"/>
    <w:rsid w:val="00806CCE"/>
    <w:rsid w:val="00806DBD"/>
    <w:rsid w:val="008070A7"/>
    <w:rsid w:val="0080718A"/>
    <w:rsid w:val="008073EA"/>
    <w:rsid w:val="0080740F"/>
    <w:rsid w:val="00807619"/>
    <w:rsid w:val="00807738"/>
    <w:rsid w:val="0080797B"/>
    <w:rsid w:val="00807A46"/>
    <w:rsid w:val="00807DE9"/>
    <w:rsid w:val="00807E9D"/>
    <w:rsid w:val="0081006F"/>
    <w:rsid w:val="00810110"/>
    <w:rsid w:val="00810119"/>
    <w:rsid w:val="0081014B"/>
    <w:rsid w:val="00810183"/>
    <w:rsid w:val="0081024E"/>
    <w:rsid w:val="00810303"/>
    <w:rsid w:val="008103C2"/>
    <w:rsid w:val="008104A4"/>
    <w:rsid w:val="008107B2"/>
    <w:rsid w:val="008107F8"/>
    <w:rsid w:val="00810833"/>
    <w:rsid w:val="00810846"/>
    <w:rsid w:val="00810889"/>
    <w:rsid w:val="00810939"/>
    <w:rsid w:val="00810961"/>
    <w:rsid w:val="00810B36"/>
    <w:rsid w:val="00810B5C"/>
    <w:rsid w:val="00810CD1"/>
    <w:rsid w:val="00810D77"/>
    <w:rsid w:val="00810D9A"/>
    <w:rsid w:val="00810E1C"/>
    <w:rsid w:val="00810E68"/>
    <w:rsid w:val="00810EB1"/>
    <w:rsid w:val="00810ED4"/>
    <w:rsid w:val="00811134"/>
    <w:rsid w:val="00811152"/>
    <w:rsid w:val="008112CA"/>
    <w:rsid w:val="00811623"/>
    <w:rsid w:val="0081167B"/>
    <w:rsid w:val="0081172E"/>
    <w:rsid w:val="0081177F"/>
    <w:rsid w:val="008117DC"/>
    <w:rsid w:val="008117E9"/>
    <w:rsid w:val="00811ADD"/>
    <w:rsid w:val="00811B34"/>
    <w:rsid w:val="00811C5C"/>
    <w:rsid w:val="00811C87"/>
    <w:rsid w:val="00811EE1"/>
    <w:rsid w:val="00812082"/>
    <w:rsid w:val="00812223"/>
    <w:rsid w:val="008123E7"/>
    <w:rsid w:val="0081242A"/>
    <w:rsid w:val="0081280C"/>
    <w:rsid w:val="00812949"/>
    <w:rsid w:val="00812980"/>
    <w:rsid w:val="008129C3"/>
    <w:rsid w:val="00812B2F"/>
    <w:rsid w:val="00812B3E"/>
    <w:rsid w:val="00812BD4"/>
    <w:rsid w:val="00812C7A"/>
    <w:rsid w:val="00812F68"/>
    <w:rsid w:val="00813177"/>
    <w:rsid w:val="00813379"/>
    <w:rsid w:val="0081344A"/>
    <w:rsid w:val="00813506"/>
    <w:rsid w:val="008135A2"/>
    <w:rsid w:val="00813813"/>
    <w:rsid w:val="008138B1"/>
    <w:rsid w:val="0081390B"/>
    <w:rsid w:val="00813939"/>
    <w:rsid w:val="00813B87"/>
    <w:rsid w:val="00813BFC"/>
    <w:rsid w:val="00813C06"/>
    <w:rsid w:val="00813E48"/>
    <w:rsid w:val="008142E8"/>
    <w:rsid w:val="0081430D"/>
    <w:rsid w:val="008145CC"/>
    <w:rsid w:val="00814696"/>
    <w:rsid w:val="00814857"/>
    <w:rsid w:val="00814A9B"/>
    <w:rsid w:val="00814B45"/>
    <w:rsid w:val="00814B74"/>
    <w:rsid w:val="00814C5D"/>
    <w:rsid w:val="00814D7D"/>
    <w:rsid w:val="00814DED"/>
    <w:rsid w:val="00814DF6"/>
    <w:rsid w:val="00814FD6"/>
    <w:rsid w:val="008150E3"/>
    <w:rsid w:val="0081518E"/>
    <w:rsid w:val="00815268"/>
    <w:rsid w:val="00815274"/>
    <w:rsid w:val="008156A0"/>
    <w:rsid w:val="008156F9"/>
    <w:rsid w:val="00815B08"/>
    <w:rsid w:val="00815BB3"/>
    <w:rsid w:val="00815C41"/>
    <w:rsid w:val="00815CFD"/>
    <w:rsid w:val="00815D02"/>
    <w:rsid w:val="00815D18"/>
    <w:rsid w:val="00815E41"/>
    <w:rsid w:val="00815E5F"/>
    <w:rsid w:val="00815EB3"/>
    <w:rsid w:val="00815EE6"/>
    <w:rsid w:val="00815F65"/>
    <w:rsid w:val="008160AB"/>
    <w:rsid w:val="008161D4"/>
    <w:rsid w:val="008162AF"/>
    <w:rsid w:val="008163F6"/>
    <w:rsid w:val="0081646B"/>
    <w:rsid w:val="008166AD"/>
    <w:rsid w:val="0081681B"/>
    <w:rsid w:val="008168EA"/>
    <w:rsid w:val="00816918"/>
    <w:rsid w:val="008169B6"/>
    <w:rsid w:val="008169F4"/>
    <w:rsid w:val="00816BF7"/>
    <w:rsid w:val="00816DAB"/>
    <w:rsid w:val="00816DF6"/>
    <w:rsid w:val="00816E8B"/>
    <w:rsid w:val="00816F3B"/>
    <w:rsid w:val="008171A1"/>
    <w:rsid w:val="00817730"/>
    <w:rsid w:val="008177F2"/>
    <w:rsid w:val="008177F5"/>
    <w:rsid w:val="00817896"/>
    <w:rsid w:val="008178D6"/>
    <w:rsid w:val="0081799C"/>
    <w:rsid w:val="008179AC"/>
    <w:rsid w:val="00817D9B"/>
    <w:rsid w:val="00817E38"/>
    <w:rsid w:val="00817E64"/>
    <w:rsid w:val="00817EA7"/>
    <w:rsid w:val="0082013D"/>
    <w:rsid w:val="008201C3"/>
    <w:rsid w:val="008202FE"/>
    <w:rsid w:val="00820544"/>
    <w:rsid w:val="00820561"/>
    <w:rsid w:val="008205DF"/>
    <w:rsid w:val="0082063F"/>
    <w:rsid w:val="0082072E"/>
    <w:rsid w:val="00820743"/>
    <w:rsid w:val="00820759"/>
    <w:rsid w:val="008207AB"/>
    <w:rsid w:val="0082086B"/>
    <w:rsid w:val="00820AA0"/>
    <w:rsid w:val="00820D0E"/>
    <w:rsid w:val="00820DB0"/>
    <w:rsid w:val="00820DBA"/>
    <w:rsid w:val="00820FAA"/>
    <w:rsid w:val="00821017"/>
    <w:rsid w:val="00821379"/>
    <w:rsid w:val="00821683"/>
    <w:rsid w:val="0082169D"/>
    <w:rsid w:val="00821832"/>
    <w:rsid w:val="00821840"/>
    <w:rsid w:val="00821915"/>
    <w:rsid w:val="0082197F"/>
    <w:rsid w:val="00821A54"/>
    <w:rsid w:val="00821C1E"/>
    <w:rsid w:val="00821CC0"/>
    <w:rsid w:val="00821D01"/>
    <w:rsid w:val="00821D60"/>
    <w:rsid w:val="00821E99"/>
    <w:rsid w:val="00821F2E"/>
    <w:rsid w:val="00821FC0"/>
    <w:rsid w:val="008221A2"/>
    <w:rsid w:val="0082220C"/>
    <w:rsid w:val="00822261"/>
    <w:rsid w:val="00822315"/>
    <w:rsid w:val="0082251B"/>
    <w:rsid w:val="008226A8"/>
    <w:rsid w:val="008226D8"/>
    <w:rsid w:val="00822748"/>
    <w:rsid w:val="008227D9"/>
    <w:rsid w:val="008228A7"/>
    <w:rsid w:val="00822A07"/>
    <w:rsid w:val="00822A58"/>
    <w:rsid w:val="00822AB2"/>
    <w:rsid w:val="00822DD0"/>
    <w:rsid w:val="00822DF4"/>
    <w:rsid w:val="00822FC7"/>
    <w:rsid w:val="0082305C"/>
    <w:rsid w:val="008231AB"/>
    <w:rsid w:val="00823262"/>
    <w:rsid w:val="00823585"/>
    <w:rsid w:val="008235BC"/>
    <w:rsid w:val="008236E8"/>
    <w:rsid w:val="00823703"/>
    <w:rsid w:val="008237FE"/>
    <w:rsid w:val="00823846"/>
    <w:rsid w:val="00823898"/>
    <w:rsid w:val="00823964"/>
    <w:rsid w:val="00823A26"/>
    <w:rsid w:val="00823AE3"/>
    <w:rsid w:val="00823AFB"/>
    <w:rsid w:val="00823C51"/>
    <w:rsid w:val="00823DAF"/>
    <w:rsid w:val="0082405A"/>
    <w:rsid w:val="00824225"/>
    <w:rsid w:val="00824362"/>
    <w:rsid w:val="00824374"/>
    <w:rsid w:val="008243E8"/>
    <w:rsid w:val="0082444C"/>
    <w:rsid w:val="00824450"/>
    <w:rsid w:val="008244F7"/>
    <w:rsid w:val="00824524"/>
    <w:rsid w:val="00824569"/>
    <w:rsid w:val="00824739"/>
    <w:rsid w:val="008247DF"/>
    <w:rsid w:val="00824A74"/>
    <w:rsid w:val="00824C6F"/>
    <w:rsid w:val="00824CC7"/>
    <w:rsid w:val="00824DBA"/>
    <w:rsid w:val="00824DBE"/>
    <w:rsid w:val="00824E4D"/>
    <w:rsid w:val="00824F89"/>
    <w:rsid w:val="00824FF1"/>
    <w:rsid w:val="0082503F"/>
    <w:rsid w:val="00825099"/>
    <w:rsid w:val="008250D5"/>
    <w:rsid w:val="008251CF"/>
    <w:rsid w:val="008252FA"/>
    <w:rsid w:val="00825303"/>
    <w:rsid w:val="00825399"/>
    <w:rsid w:val="008253D5"/>
    <w:rsid w:val="008254A5"/>
    <w:rsid w:val="008255FE"/>
    <w:rsid w:val="008256E0"/>
    <w:rsid w:val="00825828"/>
    <w:rsid w:val="00825E5F"/>
    <w:rsid w:val="00825E73"/>
    <w:rsid w:val="00826043"/>
    <w:rsid w:val="008260BB"/>
    <w:rsid w:val="008261E1"/>
    <w:rsid w:val="0082622B"/>
    <w:rsid w:val="00826437"/>
    <w:rsid w:val="00826607"/>
    <w:rsid w:val="0082660F"/>
    <w:rsid w:val="008267F2"/>
    <w:rsid w:val="00826842"/>
    <w:rsid w:val="008268AE"/>
    <w:rsid w:val="00826909"/>
    <w:rsid w:val="00826973"/>
    <w:rsid w:val="00826BA7"/>
    <w:rsid w:val="00826C7B"/>
    <w:rsid w:val="00826CEB"/>
    <w:rsid w:val="00826D2A"/>
    <w:rsid w:val="00826DC3"/>
    <w:rsid w:val="00826EBD"/>
    <w:rsid w:val="00826EC1"/>
    <w:rsid w:val="00826F37"/>
    <w:rsid w:val="00827124"/>
    <w:rsid w:val="008272A5"/>
    <w:rsid w:val="00827302"/>
    <w:rsid w:val="008273AC"/>
    <w:rsid w:val="00827483"/>
    <w:rsid w:val="00827520"/>
    <w:rsid w:val="0082752E"/>
    <w:rsid w:val="0082782A"/>
    <w:rsid w:val="00827849"/>
    <w:rsid w:val="00827B14"/>
    <w:rsid w:val="00827C07"/>
    <w:rsid w:val="00827C93"/>
    <w:rsid w:val="00830015"/>
    <w:rsid w:val="0083004C"/>
    <w:rsid w:val="00830356"/>
    <w:rsid w:val="00830485"/>
    <w:rsid w:val="00830544"/>
    <w:rsid w:val="008309A5"/>
    <w:rsid w:val="008309AB"/>
    <w:rsid w:val="00830AA4"/>
    <w:rsid w:val="00830BC0"/>
    <w:rsid w:val="00830C05"/>
    <w:rsid w:val="00830CA2"/>
    <w:rsid w:val="00830D94"/>
    <w:rsid w:val="00830E7B"/>
    <w:rsid w:val="00830FE5"/>
    <w:rsid w:val="00830FE8"/>
    <w:rsid w:val="008313CA"/>
    <w:rsid w:val="008313DB"/>
    <w:rsid w:val="00831461"/>
    <w:rsid w:val="008314FE"/>
    <w:rsid w:val="00831509"/>
    <w:rsid w:val="00831679"/>
    <w:rsid w:val="00831697"/>
    <w:rsid w:val="0083173F"/>
    <w:rsid w:val="008317EC"/>
    <w:rsid w:val="008319D5"/>
    <w:rsid w:val="00831B16"/>
    <w:rsid w:val="00831E19"/>
    <w:rsid w:val="00831E3E"/>
    <w:rsid w:val="00831F20"/>
    <w:rsid w:val="0083202C"/>
    <w:rsid w:val="00832278"/>
    <w:rsid w:val="00832464"/>
    <w:rsid w:val="0083262E"/>
    <w:rsid w:val="00832667"/>
    <w:rsid w:val="00832700"/>
    <w:rsid w:val="0083272D"/>
    <w:rsid w:val="00832886"/>
    <w:rsid w:val="008328AC"/>
    <w:rsid w:val="008329D9"/>
    <w:rsid w:val="00832C74"/>
    <w:rsid w:val="00832C99"/>
    <w:rsid w:val="00832FDF"/>
    <w:rsid w:val="00833083"/>
    <w:rsid w:val="00833151"/>
    <w:rsid w:val="00833270"/>
    <w:rsid w:val="00833367"/>
    <w:rsid w:val="008333E6"/>
    <w:rsid w:val="008337DE"/>
    <w:rsid w:val="0083396E"/>
    <w:rsid w:val="00833A6A"/>
    <w:rsid w:val="00833C75"/>
    <w:rsid w:val="00833D8E"/>
    <w:rsid w:val="00833E86"/>
    <w:rsid w:val="00833E9B"/>
    <w:rsid w:val="00833ECF"/>
    <w:rsid w:val="00833F27"/>
    <w:rsid w:val="00833F98"/>
    <w:rsid w:val="00833FCC"/>
    <w:rsid w:val="008341B4"/>
    <w:rsid w:val="00834530"/>
    <w:rsid w:val="0083466B"/>
    <w:rsid w:val="00834918"/>
    <w:rsid w:val="00834B7D"/>
    <w:rsid w:val="00834E32"/>
    <w:rsid w:val="00835800"/>
    <w:rsid w:val="0083588F"/>
    <w:rsid w:val="0083590B"/>
    <w:rsid w:val="00835910"/>
    <w:rsid w:val="00835ACB"/>
    <w:rsid w:val="00835BE3"/>
    <w:rsid w:val="00835C7B"/>
    <w:rsid w:val="00835CC9"/>
    <w:rsid w:val="00835D3D"/>
    <w:rsid w:val="00835FCA"/>
    <w:rsid w:val="00835FEC"/>
    <w:rsid w:val="00836017"/>
    <w:rsid w:val="00836062"/>
    <w:rsid w:val="00836305"/>
    <w:rsid w:val="008363C9"/>
    <w:rsid w:val="00836525"/>
    <w:rsid w:val="008366A1"/>
    <w:rsid w:val="008367F4"/>
    <w:rsid w:val="00836868"/>
    <w:rsid w:val="008368DB"/>
    <w:rsid w:val="00836AA2"/>
    <w:rsid w:val="00836C73"/>
    <w:rsid w:val="00836CE5"/>
    <w:rsid w:val="00836F05"/>
    <w:rsid w:val="00836F78"/>
    <w:rsid w:val="008370DA"/>
    <w:rsid w:val="008371E8"/>
    <w:rsid w:val="008372A3"/>
    <w:rsid w:val="00837813"/>
    <w:rsid w:val="00837842"/>
    <w:rsid w:val="00837859"/>
    <w:rsid w:val="008378D3"/>
    <w:rsid w:val="008378D6"/>
    <w:rsid w:val="008379D4"/>
    <w:rsid w:val="00837A57"/>
    <w:rsid w:val="00837EC6"/>
    <w:rsid w:val="00840460"/>
    <w:rsid w:val="00840595"/>
    <w:rsid w:val="0084059B"/>
    <w:rsid w:val="00840654"/>
    <w:rsid w:val="00840807"/>
    <w:rsid w:val="00840878"/>
    <w:rsid w:val="008408D2"/>
    <w:rsid w:val="00840A70"/>
    <w:rsid w:val="00840B83"/>
    <w:rsid w:val="00840B8F"/>
    <w:rsid w:val="00840D2D"/>
    <w:rsid w:val="00840DB2"/>
    <w:rsid w:val="00840E18"/>
    <w:rsid w:val="00841033"/>
    <w:rsid w:val="008410D8"/>
    <w:rsid w:val="00841174"/>
    <w:rsid w:val="008412A2"/>
    <w:rsid w:val="00841302"/>
    <w:rsid w:val="0084140E"/>
    <w:rsid w:val="00841499"/>
    <w:rsid w:val="008414BD"/>
    <w:rsid w:val="00841514"/>
    <w:rsid w:val="00841634"/>
    <w:rsid w:val="0084163A"/>
    <w:rsid w:val="00841757"/>
    <w:rsid w:val="0084177B"/>
    <w:rsid w:val="0084177E"/>
    <w:rsid w:val="008417B9"/>
    <w:rsid w:val="0084195B"/>
    <w:rsid w:val="008419C3"/>
    <w:rsid w:val="00841A0F"/>
    <w:rsid w:val="00841A19"/>
    <w:rsid w:val="00841AB2"/>
    <w:rsid w:val="00841AF9"/>
    <w:rsid w:val="00841BD8"/>
    <w:rsid w:val="00841BF6"/>
    <w:rsid w:val="00841D8D"/>
    <w:rsid w:val="00841F6C"/>
    <w:rsid w:val="00841FF9"/>
    <w:rsid w:val="008420C2"/>
    <w:rsid w:val="0084211C"/>
    <w:rsid w:val="00842149"/>
    <w:rsid w:val="008421C7"/>
    <w:rsid w:val="00842576"/>
    <w:rsid w:val="00842710"/>
    <w:rsid w:val="008427D3"/>
    <w:rsid w:val="00842879"/>
    <w:rsid w:val="008428F9"/>
    <w:rsid w:val="0084294E"/>
    <w:rsid w:val="00842B66"/>
    <w:rsid w:val="00842BCA"/>
    <w:rsid w:val="00842BF7"/>
    <w:rsid w:val="00842D38"/>
    <w:rsid w:val="00842E0F"/>
    <w:rsid w:val="00842E7B"/>
    <w:rsid w:val="00843072"/>
    <w:rsid w:val="008430A7"/>
    <w:rsid w:val="008430E8"/>
    <w:rsid w:val="00843108"/>
    <w:rsid w:val="00843159"/>
    <w:rsid w:val="00843318"/>
    <w:rsid w:val="00843333"/>
    <w:rsid w:val="00843383"/>
    <w:rsid w:val="00843514"/>
    <w:rsid w:val="008435FA"/>
    <w:rsid w:val="008436A0"/>
    <w:rsid w:val="0084383B"/>
    <w:rsid w:val="00843BC0"/>
    <w:rsid w:val="00843CD9"/>
    <w:rsid w:val="00843D20"/>
    <w:rsid w:val="00843DB3"/>
    <w:rsid w:val="00843ECA"/>
    <w:rsid w:val="00843EE5"/>
    <w:rsid w:val="00843F53"/>
    <w:rsid w:val="0084414F"/>
    <w:rsid w:val="0084415A"/>
    <w:rsid w:val="008441D3"/>
    <w:rsid w:val="0084420C"/>
    <w:rsid w:val="00844486"/>
    <w:rsid w:val="008448A2"/>
    <w:rsid w:val="00844947"/>
    <w:rsid w:val="00844A10"/>
    <w:rsid w:val="00844A1A"/>
    <w:rsid w:val="00844A71"/>
    <w:rsid w:val="00844A83"/>
    <w:rsid w:val="00844C59"/>
    <w:rsid w:val="00844FDA"/>
    <w:rsid w:val="0084507A"/>
    <w:rsid w:val="00845280"/>
    <w:rsid w:val="008453B5"/>
    <w:rsid w:val="00845650"/>
    <w:rsid w:val="008456B2"/>
    <w:rsid w:val="008456C0"/>
    <w:rsid w:val="008456EF"/>
    <w:rsid w:val="00845935"/>
    <w:rsid w:val="00845A1E"/>
    <w:rsid w:val="00845A78"/>
    <w:rsid w:val="00845AC5"/>
    <w:rsid w:val="00845B05"/>
    <w:rsid w:val="00845DC4"/>
    <w:rsid w:val="00845DF2"/>
    <w:rsid w:val="00845F97"/>
    <w:rsid w:val="008462D4"/>
    <w:rsid w:val="008463D5"/>
    <w:rsid w:val="008464AF"/>
    <w:rsid w:val="00846690"/>
    <w:rsid w:val="008466C1"/>
    <w:rsid w:val="008466CE"/>
    <w:rsid w:val="008468B5"/>
    <w:rsid w:val="008468F7"/>
    <w:rsid w:val="008469A4"/>
    <w:rsid w:val="00846A32"/>
    <w:rsid w:val="00846A82"/>
    <w:rsid w:val="00846AC6"/>
    <w:rsid w:val="00846B22"/>
    <w:rsid w:val="00846BE4"/>
    <w:rsid w:val="00846D75"/>
    <w:rsid w:val="00846D79"/>
    <w:rsid w:val="00846DCB"/>
    <w:rsid w:val="00846EC4"/>
    <w:rsid w:val="00847217"/>
    <w:rsid w:val="0084722A"/>
    <w:rsid w:val="0084734C"/>
    <w:rsid w:val="00847673"/>
    <w:rsid w:val="0084771B"/>
    <w:rsid w:val="00847722"/>
    <w:rsid w:val="00847917"/>
    <w:rsid w:val="00847B25"/>
    <w:rsid w:val="00847C55"/>
    <w:rsid w:val="00847CEE"/>
    <w:rsid w:val="00847DF9"/>
    <w:rsid w:val="00847EF2"/>
    <w:rsid w:val="0085019C"/>
    <w:rsid w:val="008501AF"/>
    <w:rsid w:val="008501C8"/>
    <w:rsid w:val="00850381"/>
    <w:rsid w:val="008503EF"/>
    <w:rsid w:val="00850643"/>
    <w:rsid w:val="0085076D"/>
    <w:rsid w:val="008507F1"/>
    <w:rsid w:val="00850923"/>
    <w:rsid w:val="008509A1"/>
    <w:rsid w:val="008509B0"/>
    <w:rsid w:val="00850A5C"/>
    <w:rsid w:val="00850D3F"/>
    <w:rsid w:val="00850E26"/>
    <w:rsid w:val="00850F68"/>
    <w:rsid w:val="008510F5"/>
    <w:rsid w:val="0085121B"/>
    <w:rsid w:val="00851328"/>
    <w:rsid w:val="0085135B"/>
    <w:rsid w:val="008514C0"/>
    <w:rsid w:val="0085158A"/>
    <w:rsid w:val="008516BB"/>
    <w:rsid w:val="00851844"/>
    <w:rsid w:val="00851A88"/>
    <w:rsid w:val="00851B71"/>
    <w:rsid w:val="00851C4C"/>
    <w:rsid w:val="00851DFA"/>
    <w:rsid w:val="00851F72"/>
    <w:rsid w:val="00852162"/>
    <w:rsid w:val="0085221F"/>
    <w:rsid w:val="00852222"/>
    <w:rsid w:val="00852466"/>
    <w:rsid w:val="008524E4"/>
    <w:rsid w:val="00852689"/>
    <w:rsid w:val="008527B1"/>
    <w:rsid w:val="008527C9"/>
    <w:rsid w:val="00852BC6"/>
    <w:rsid w:val="00852C99"/>
    <w:rsid w:val="00852CF0"/>
    <w:rsid w:val="00852ED8"/>
    <w:rsid w:val="00852F99"/>
    <w:rsid w:val="00853231"/>
    <w:rsid w:val="008532CD"/>
    <w:rsid w:val="008532E5"/>
    <w:rsid w:val="00853359"/>
    <w:rsid w:val="008533F9"/>
    <w:rsid w:val="00853437"/>
    <w:rsid w:val="008534E0"/>
    <w:rsid w:val="008536C7"/>
    <w:rsid w:val="00853705"/>
    <w:rsid w:val="008539C2"/>
    <w:rsid w:val="00853B66"/>
    <w:rsid w:val="00853BF3"/>
    <w:rsid w:val="00853C2E"/>
    <w:rsid w:val="00853D8D"/>
    <w:rsid w:val="00853ED3"/>
    <w:rsid w:val="00854238"/>
    <w:rsid w:val="00854239"/>
    <w:rsid w:val="008542F2"/>
    <w:rsid w:val="00854449"/>
    <w:rsid w:val="00854497"/>
    <w:rsid w:val="008544BA"/>
    <w:rsid w:val="008548F9"/>
    <w:rsid w:val="00854B64"/>
    <w:rsid w:val="00854CBF"/>
    <w:rsid w:val="00854DF8"/>
    <w:rsid w:val="00854ED0"/>
    <w:rsid w:val="00854F93"/>
    <w:rsid w:val="00854FB1"/>
    <w:rsid w:val="00854FB9"/>
    <w:rsid w:val="00855284"/>
    <w:rsid w:val="0085546B"/>
    <w:rsid w:val="00855476"/>
    <w:rsid w:val="00855612"/>
    <w:rsid w:val="00855743"/>
    <w:rsid w:val="008558BA"/>
    <w:rsid w:val="00855A2A"/>
    <w:rsid w:val="00855A3A"/>
    <w:rsid w:val="00855CAA"/>
    <w:rsid w:val="00855CBC"/>
    <w:rsid w:val="00855D28"/>
    <w:rsid w:val="00855E0B"/>
    <w:rsid w:val="00855EFC"/>
    <w:rsid w:val="00855F2B"/>
    <w:rsid w:val="008560EB"/>
    <w:rsid w:val="0085614D"/>
    <w:rsid w:val="00856157"/>
    <w:rsid w:val="008561C4"/>
    <w:rsid w:val="0085654A"/>
    <w:rsid w:val="008566A8"/>
    <w:rsid w:val="008566B1"/>
    <w:rsid w:val="0085675A"/>
    <w:rsid w:val="008569B9"/>
    <w:rsid w:val="00856A42"/>
    <w:rsid w:val="00856B66"/>
    <w:rsid w:val="00856C59"/>
    <w:rsid w:val="00856CAE"/>
    <w:rsid w:val="00856E9B"/>
    <w:rsid w:val="00856F3A"/>
    <w:rsid w:val="008571B1"/>
    <w:rsid w:val="008572CE"/>
    <w:rsid w:val="008573D4"/>
    <w:rsid w:val="00857412"/>
    <w:rsid w:val="008574A3"/>
    <w:rsid w:val="0085760A"/>
    <w:rsid w:val="00857707"/>
    <w:rsid w:val="00857764"/>
    <w:rsid w:val="00857954"/>
    <w:rsid w:val="00857A98"/>
    <w:rsid w:val="00857ABB"/>
    <w:rsid w:val="00857AFF"/>
    <w:rsid w:val="00857B18"/>
    <w:rsid w:val="00857BDA"/>
    <w:rsid w:val="00857D17"/>
    <w:rsid w:val="00857DD2"/>
    <w:rsid w:val="00857E02"/>
    <w:rsid w:val="00857FA1"/>
    <w:rsid w:val="00860092"/>
    <w:rsid w:val="00860222"/>
    <w:rsid w:val="008602BE"/>
    <w:rsid w:val="0086034E"/>
    <w:rsid w:val="008603A8"/>
    <w:rsid w:val="0086064D"/>
    <w:rsid w:val="00860956"/>
    <w:rsid w:val="008609CA"/>
    <w:rsid w:val="008609FE"/>
    <w:rsid w:val="00860A38"/>
    <w:rsid w:val="00860AE6"/>
    <w:rsid w:val="00860B31"/>
    <w:rsid w:val="00860D37"/>
    <w:rsid w:val="00860DB5"/>
    <w:rsid w:val="00860DDF"/>
    <w:rsid w:val="00860F27"/>
    <w:rsid w:val="00860FF2"/>
    <w:rsid w:val="0086105A"/>
    <w:rsid w:val="008610B3"/>
    <w:rsid w:val="008610D3"/>
    <w:rsid w:val="008612C4"/>
    <w:rsid w:val="008612EA"/>
    <w:rsid w:val="0086140B"/>
    <w:rsid w:val="008614D3"/>
    <w:rsid w:val="008616AF"/>
    <w:rsid w:val="00861A0F"/>
    <w:rsid w:val="00861B37"/>
    <w:rsid w:val="00861CA2"/>
    <w:rsid w:val="00861CBA"/>
    <w:rsid w:val="00861D4A"/>
    <w:rsid w:val="00861D66"/>
    <w:rsid w:val="00861D98"/>
    <w:rsid w:val="00862211"/>
    <w:rsid w:val="00862256"/>
    <w:rsid w:val="008622B2"/>
    <w:rsid w:val="0086242B"/>
    <w:rsid w:val="008625DA"/>
    <w:rsid w:val="00862638"/>
    <w:rsid w:val="0086273E"/>
    <w:rsid w:val="00862776"/>
    <w:rsid w:val="008627EC"/>
    <w:rsid w:val="008629DC"/>
    <w:rsid w:val="00862A84"/>
    <w:rsid w:val="00862A9B"/>
    <w:rsid w:val="00862BBF"/>
    <w:rsid w:val="00862CEF"/>
    <w:rsid w:val="00862FB9"/>
    <w:rsid w:val="00863099"/>
    <w:rsid w:val="008630D6"/>
    <w:rsid w:val="008630D8"/>
    <w:rsid w:val="00863137"/>
    <w:rsid w:val="0086338D"/>
    <w:rsid w:val="008633F8"/>
    <w:rsid w:val="008634CB"/>
    <w:rsid w:val="00863848"/>
    <w:rsid w:val="00863B13"/>
    <w:rsid w:val="00863B79"/>
    <w:rsid w:val="00863B96"/>
    <w:rsid w:val="00863CC4"/>
    <w:rsid w:val="00863CF8"/>
    <w:rsid w:val="00863FE9"/>
    <w:rsid w:val="00864016"/>
    <w:rsid w:val="00864050"/>
    <w:rsid w:val="0086405C"/>
    <w:rsid w:val="008643CF"/>
    <w:rsid w:val="008644AA"/>
    <w:rsid w:val="00864689"/>
    <w:rsid w:val="0086474E"/>
    <w:rsid w:val="00864804"/>
    <w:rsid w:val="00864B31"/>
    <w:rsid w:val="00864BE4"/>
    <w:rsid w:val="00864E1E"/>
    <w:rsid w:val="00864F31"/>
    <w:rsid w:val="00864FBD"/>
    <w:rsid w:val="00864FC4"/>
    <w:rsid w:val="00865088"/>
    <w:rsid w:val="008650A8"/>
    <w:rsid w:val="008652F1"/>
    <w:rsid w:val="0086532E"/>
    <w:rsid w:val="008653BE"/>
    <w:rsid w:val="008655E4"/>
    <w:rsid w:val="00865666"/>
    <w:rsid w:val="00865755"/>
    <w:rsid w:val="00865830"/>
    <w:rsid w:val="008658D8"/>
    <w:rsid w:val="00865998"/>
    <w:rsid w:val="00865C1D"/>
    <w:rsid w:val="00865C25"/>
    <w:rsid w:val="00865D6E"/>
    <w:rsid w:val="00865E4B"/>
    <w:rsid w:val="00865F54"/>
    <w:rsid w:val="008660DB"/>
    <w:rsid w:val="00866100"/>
    <w:rsid w:val="0086618E"/>
    <w:rsid w:val="008664A5"/>
    <w:rsid w:val="0086655A"/>
    <w:rsid w:val="00866691"/>
    <w:rsid w:val="008666E5"/>
    <w:rsid w:val="008666E8"/>
    <w:rsid w:val="008667A4"/>
    <w:rsid w:val="008667C6"/>
    <w:rsid w:val="008668FE"/>
    <w:rsid w:val="00866B10"/>
    <w:rsid w:val="00866DF1"/>
    <w:rsid w:val="00866F05"/>
    <w:rsid w:val="0086721C"/>
    <w:rsid w:val="008673D4"/>
    <w:rsid w:val="00867404"/>
    <w:rsid w:val="00867553"/>
    <w:rsid w:val="008676A4"/>
    <w:rsid w:val="008676E5"/>
    <w:rsid w:val="00867746"/>
    <w:rsid w:val="008677F9"/>
    <w:rsid w:val="00867817"/>
    <w:rsid w:val="008679D2"/>
    <w:rsid w:val="00867C69"/>
    <w:rsid w:val="00867DF5"/>
    <w:rsid w:val="00867E0E"/>
    <w:rsid w:val="00867F3A"/>
    <w:rsid w:val="008701B6"/>
    <w:rsid w:val="008701BE"/>
    <w:rsid w:val="008702AE"/>
    <w:rsid w:val="0087065D"/>
    <w:rsid w:val="00870894"/>
    <w:rsid w:val="00870916"/>
    <w:rsid w:val="00870B5C"/>
    <w:rsid w:val="00870B64"/>
    <w:rsid w:val="00870C19"/>
    <w:rsid w:val="00870C69"/>
    <w:rsid w:val="00870D2E"/>
    <w:rsid w:val="00870D64"/>
    <w:rsid w:val="00870ED9"/>
    <w:rsid w:val="00870FBF"/>
    <w:rsid w:val="0087115D"/>
    <w:rsid w:val="0087117A"/>
    <w:rsid w:val="008711E8"/>
    <w:rsid w:val="008712F3"/>
    <w:rsid w:val="00871343"/>
    <w:rsid w:val="00871380"/>
    <w:rsid w:val="00871542"/>
    <w:rsid w:val="008715A7"/>
    <w:rsid w:val="008716BD"/>
    <w:rsid w:val="00871742"/>
    <w:rsid w:val="008718F3"/>
    <w:rsid w:val="00871A89"/>
    <w:rsid w:val="00871AA5"/>
    <w:rsid w:val="00871B64"/>
    <w:rsid w:val="00871BB5"/>
    <w:rsid w:val="00871C8D"/>
    <w:rsid w:val="00871D1D"/>
    <w:rsid w:val="00871DE3"/>
    <w:rsid w:val="00871E45"/>
    <w:rsid w:val="00871E58"/>
    <w:rsid w:val="00871E5F"/>
    <w:rsid w:val="0087205E"/>
    <w:rsid w:val="0087243B"/>
    <w:rsid w:val="008724B5"/>
    <w:rsid w:val="008725B5"/>
    <w:rsid w:val="0087261D"/>
    <w:rsid w:val="008726DD"/>
    <w:rsid w:val="008729BE"/>
    <w:rsid w:val="00872B6C"/>
    <w:rsid w:val="00872BEA"/>
    <w:rsid w:val="00872C14"/>
    <w:rsid w:val="00872E2D"/>
    <w:rsid w:val="00872E31"/>
    <w:rsid w:val="00872F04"/>
    <w:rsid w:val="0087321C"/>
    <w:rsid w:val="00873453"/>
    <w:rsid w:val="00873478"/>
    <w:rsid w:val="0087348B"/>
    <w:rsid w:val="008736CE"/>
    <w:rsid w:val="008737B3"/>
    <w:rsid w:val="008738EE"/>
    <w:rsid w:val="00873C72"/>
    <w:rsid w:val="00873DDD"/>
    <w:rsid w:val="00873EE4"/>
    <w:rsid w:val="00873F41"/>
    <w:rsid w:val="0087432F"/>
    <w:rsid w:val="0087434F"/>
    <w:rsid w:val="0087447F"/>
    <w:rsid w:val="00874639"/>
    <w:rsid w:val="0087484A"/>
    <w:rsid w:val="0087487D"/>
    <w:rsid w:val="008749B9"/>
    <w:rsid w:val="00874A42"/>
    <w:rsid w:val="00874AC1"/>
    <w:rsid w:val="00874CBD"/>
    <w:rsid w:val="00874E57"/>
    <w:rsid w:val="00874E90"/>
    <w:rsid w:val="00875019"/>
    <w:rsid w:val="00875150"/>
    <w:rsid w:val="00875190"/>
    <w:rsid w:val="00875304"/>
    <w:rsid w:val="00875420"/>
    <w:rsid w:val="0087543D"/>
    <w:rsid w:val="00875469"/>
    <w:rsid w:val="00875599"/>
    <w:rsid w:val="0087587E"/>
    <w:rsid w:val="00875A1E"/>
    <w:rsid w:val="00875A63"/>
    <w:rsid w:val="00875AB6"/>
    <w:rsid w:val="00875B23"/>
    <w:rsid w:val="00875D52"/>
    <w:rsid w:val="00875EF0"/>
    <w:rsid w:val="00875F65"/>
    <w:rsid w:val="00875FF8"/>
    <w:rsid w:val="00876008"/>
    <w:rsid w:val="00876021"/>
    <w:rsid w:val="008761D1"/>
    <w:rsid w:val="008762C5"/>
    <w:rsid w:val="00876535"/>
    <w:rsid w:val="0087659F"/>
    <w:rsid w:val="00876606"/>
    <w:rsid w:val="00876687"/>
    <w:rsid w:val="00876931"/>
    <w:rsid w:val="00876BC6"/>
    <w:rsid w:val="00876CC0"/>
    <w:rsid w:val="00876DB6"/>
    <w:rsid w:val="0087700C"/>
    <w:rsid w:val="00877047"/>
    <w:rsid w:val="00877171"/>
    <w:rsid w:val="00877396"/>
    <w:rsid w:val="008773DA"/>
    <w:rsid w:val="00877564"/>
    <w:rsid w:val="0087797A"/>
    <w:rsid w:val="00877A3F"/>
    <w:rsid w:val="00877CED"/>
    <w:rsid w:val="00877DFC"/>
    <w:rsid w:val="00877F89"/>
    <w:rsid w:val="00877FD9"/>
    <w:rsid w:val="008801EC"/>
    <w:rsid w:val="00880407"/>
    <w:rsid w:val="008805E7"/>
    <w:rsid w:val="008806B0"/>
    <w:rsid w:val="0088080F"/>
    <w:rsid w:val="008809E2"/>
    <w:rsid w:val="00880A83"/>
    <w:rsid w:val="00880B7C"/>
    <w:rsid w:val="00880BD3"/>
    <w:rsid w:val="00880BD7"/>
    <w:rsid w:val="00880D86"/>
    <w:rsid w:val="00880EF3"/>
    <w:rsid w:val="00881067"/>
    <w:rsid w:val="00881173"/>
    <w:rsid w:val="0088127C"/>
    <w:rsid w:val="00881306"/>
    <w:rsid w:val="008813B7"/>
    <w:rsid w:val="00881423"/>
    <w:rsid w:val="0088154D"/>
    <w:rsid w:val="0088155A"/>
    <w:rsid w:val="008815C5"/>
    <w:rsid w:val="0088166E"/>
    <w:rsid w:val="008816B8"/>
    <w:rsid w:val="00881734"/>
    <w:rsid w:val="00881A40"/>
    <w:rsid w:val="00881ACD"/>
    <w:rsid w:val="00881B0B"/>
    <w:rsid w:val="00881B26"/>
    <w:rsid w:val="00881BA2"/>
    <w:rsid w:val="00881CD0"/>
    <w:rsid w:val="00881E86"/>
    <w:rsid w:val="00881F04"/>
    <w:rsid w:val="00882071"/>
    <w:rsid w:val="00882652"/>
    <w:rsid w:val="0088267D"/>
    <w:rsid w:val="00882777"/>
    <w:rsid w:val="00882ACF"/>
    <w:rsid w:val="00882AE6"/>
    <w:rsid w:val="00882C37"/>
    <w:rsid w:val="00882CB8"/>
    <w:rsid w:val="008831F3"/>
    <w:rsid w:val="008832A3"/>
    <w:rsid w:val="008832B4"/>
    <w:rsid w:val="00883305"/>
    <w:rsid w:val="00883414"/>
    <w:rsid w:val="008834A3"/>
    <w:rsid w:val="008834A5"/>
    <w:rsid w:val="00883563"/>
    <w:rsid w:val="00883704"/>
    <w:rsid w:val="00883841"/>
    <w:rsid w:val="00883A46"/>
    <w:rsid w:val="00883B4F"/>
    <w:rsid w:val="00883CB3"/>
    <w:rsid w:val="00883EB2"/>
    <w:rsid w:val="00883F33"/>
    <w:rsid w:val="00883FD3"/>
    <w:rsid w:val="00883FEC"/>
    <w:rsid w:val="008841E3"/>
    <w:rsid w:val="008842E0"/>
    <w:rsid w:val="008842E4"/>
    <w:rsid w:val="00884378"/>
    <w:rsid w:val="0088448F"/>
    <w:rsid w:val="0088478D"/>
    <w:rsid w:val="0088495F"/>
    <w:rsid w:val="008849F2"/>
    <w:rsid w:val="00884DB0"/>
    <w:rsid w:val="00884E12"/>
    <w:rsid w:val="00884EB7"/>
    <w:rsid w:val="008851B4"/>
    <w:rsid w:val="00885235"/>
    <w:rsid w:val="008852CA"/>
    <w:rsid w:val="0088538C"/>
    <w:rsid w:val="00885431"/>
    <w:rsid w:val="00885467"/>
    <w:rsid w:val="0088555F"/>
    <w:rsid w:val="008855AA"/>
    <w:rsid w:val="008855FC"/>
    <w:rsid w:val="008858A5"/>
    <w:rsid w:val="008858A8"/>
    <w:rsid w:val="00885A95"/>
    <w:rsid w:val="00885B2C"/>
    <w:rsid w:val="00885C4B"/>
    <w:rsid w:val="00885CAA"/>
    <w:rsid w:val="00885D06"/>
    <w:rsid w:val="00885D6D"/>
    <w:rsid w:val="00885F39"/>
    <w:rsid w:val="00886080"/>
    <w:rsid w:val="00886141"/>
    <w:rsid w:val="0088631E"/>
    <w:rsid w:val="008864B9"/>
    <w:rsid w:val="00886500"/>
    <w:rsid w:val="0088650F"/>
    <w:rsid w:val="00886743"/>
    <w:rsid w:val="008867A6"/>
    <w:rsid w:val="0088685E"/>
    <w:rsid w:val="008868AF"/>
    <w:rsid w:val="008869FD"/>
    <w:rsid w:val="00886A3F"/>
    <w:rsid w:val="00886A51"/>
    <w:rsid w:val="00886A67"/>
    <w:rsid w:val="00886A98"/>
    <w:rsid w:val="00886B47"/>
    <w:rsid w:val="00886C16"/>
    <w:rsid w:val="00886CB2"/>
    <w:rsid w:val="00886DA8"/>
    <w:rsid w:val="00886E8C"/>
    <w:rsid w:val="00886FEA"/>
    <w:rsid w:val="0088713C"/>
    <w:rsid w:val="008871F2"/>
    <w:rsid w:val="00887208"/>
    <w:rsid w:val="0088726F"/>
    <w:rsid w:val="008873C8"/>
    <w:rsid w:val="008878B8"/>
    <w:rsid w:val="00887971"/>
    <w:rsid w:val="008879A7"/>
    <w:rsid w:val="008879C7"/>
    <w:rsid w:val="00887B37"/>
    <w:rsid w:val="00887BA0"/>
    <w:rsid w:val="00887D2C"/>
    <w:rsid w:val="00887E9D"/>
    <w:rsid w:val="00887F1E"/>
    <w:rsid w:val="00887F45"/>
    <w:rsid w:val="008900BC"/>
    <w:rsid w:val="00890109"/>
    <w:rsid w:val="00890154"/>
    <w:rsid w:val="0089018A"/>
    <w:rsid w:val="008903F7"/>
    <w:rsid w:val="00890434"/>
    <w:rsid w:val="008906D0"/>
    <w:rsid w:val="0089074E"/>
    <w:rsid w:val="00890783"/>
    <w:rsid w:val="00890A27"/>
    <w:rsid w:val="00890AEE"/>
    <w:rsid w:val="00890D32"/>
    <w:rsid w:val="00890E29"/>
    <w:rsid w:val="00890E88"/>
    <w:rsid w:val="00890E9C"/>
    <w:rsid w:val="00890F5E"/>
    <w:rsid w:val="00890FBC"/>
    <w:rsid w:val="0089138D"/>
    <w:rsid w:val="008916ED"/>
    <w:rsid w:val="00891808"/>
    <w:rsid w:val="00891A39"/>
    <w:rsid w:val="00891C5F"/>
    <w:rsid w:val="00891FD1"/>
    <w:rsid w:val="008922BB"/>
    <w:rsid w:val="008924B8"/>
    <w:rsid w:val="008924EC"/>
    <w:rsid w:val="00892518"/>
    <w:rsid w:val="008926CE"/>
    <w:rsid w:val="008927F6"/>
    <w:rsid w:val="00892911"/>
    <w:rsid w:val="008929EA"/>
    <w:rsid w:val="00892B45"/>
    <w:rsid w:val="00892B8E"/>
    <w:rsid w:val="00892C42"/>
    <w:rsid w:val="00892C45"/>
    <w:rsid w:val="00892CD5"/>
    <w:rsid w:val="00892D1D"/>
    <w:rsid w:val="00892D1F"/>
    <w:rsid w:val="00892D97"/>
    <w:rsid w:val="00892DD1"/>
    <w:rsid w:val="00892E19"/>
    <w:rsid w:val="00892E7C"/>
    <w:rsid w:val="008930C8"/>
    <w:rsid w:val="0089323A"/>
    <w:rsid w:val="0089325C"/>
    <w:rsid w:val="008932B1"/>
    <w:rsid w:val="008932B4"/>
    <w:rsid w:val="008932B8"/>
    <w:rsid w:val="008932E6"/>
    <w:rsid w:val="00893373"/>
    <w:rsid w:val="008936F3"/>
    <w:rsid w:val="0089376F"/>
    <w:rsid w:val="0089378E"/>
    <w:rsid w:val="008938BA"/>
    <w:rsid w:val="00893C7C"/>
    <w:rsid w:val="00893CC4"/>
    <w:rsid w:val="00893D0A"/>
    <w:rsid w:val="00893D62"/>
    <w:rsid w:val="00893D94"/>
    <w:rsid w:val="00893DC8"/>
    <w:rsid w:val="00893E45"/>
    <w:rsid w:val="00893EA0"/>
    <w:rsid w:val="008943CD"/>
    <w:rsid w:val="008947D0"/>
    <w:rsid w:val="0089487B"/>
    <w:rsid w:val="008948FF"/>
    <w:rsid w:val="008949A1"/>
    <w:rsid w:val="00894A5E"/>
    <w:rsid w:val="00894A6E"/>
    <w:rsid w:val="00894A71"/>
    <w:rsid w:val="00894CE4"/>
    <w:rsid w:val="00894E55"/>
    <w:rsid w:val="00894E67"/>
    <w:rsid w:val="00894EB6"/>
    <w:rsid w:val="00894EF4"/>
    <w:rsid w:val="008950D0"/>
    <w:rsid w:val="00895257"/>
    <w:rsid w:val="0089525B"/>
    <w:rsid w:val="00895343"/>
    <w:rsid w:val="008954ED"/>
    <w:rsid w:val="0089554D"/>
    <w:rsid w:val="008956EA"/>
    <w:rsid w:val="0089574F"/>
    <w:rsid w:val="00895756"/>
    <w:rsid w:val="008959B9"/>
    <w:rsid w:val="00895A99"/>
    <w:rsid w:val="00895CF3"/>
    <w:rsid w:val="00895D22"/>
    <w:rsid w:val="00895D46"/>
    <w:rsid w:val="00895D63"/>
    <w:rsid w:val="00895E6A"/>
    <w:rsid w:val="00895FCF"/>
    <w:rsid w:val="00895FD2"/>
    <w:rsid w:val="00895FD5"/>
    <w:rsid w:val="0089601D"/>
    <w:rsid w:val="008960CD"/>
    <w:rsid w:val="008961BA"/>
    <w:rsid w:val="0089637E"/>
    <w:rsid w:val="00896586"/>
    <w:rsid w:val="00896678"/>
    <w:rsid w:val="00896AA2"/>
    <w:rsid w:val="00896C03"/>
    <w:rsid w:val="00896CDD"/>
    <w:rsid w:val="00896D9C"/>
    <w:rsid w:val="00896FCB"/>
    <w:rsid w:val="00896FFF"/>
    <w:rsid w:val="00897138"/>
    <w:rsid w:val="0089717B"/>
    <w:rsid w:val="00897351"/>
    <w:rsid w:val="008974C6"/>
    <w:rsid w:val="00897688"/>
    <w:rsid w:val="00897822"/>
    <w:rsid w:val="00897C42"/>
    <w:rsid w:val="00897C4C"/>
    <w:rsid w:val="00897D5E"/>
    <w:rsid w:val="00897FD9"/>
    <w:rsid w:val="008A02E3"/>
    <w:rsid w:val="008A054C"/>
    <w:rsid w:val="008A09EF"/>
    <w:rsid w:val="008A0BAA"/>
    <w:rsid w:val="008A0C9E"/>
    <w:rsid w:val="008A0DB0"/>
    <w:rsid w:val="008A0E5A"/>
    <w:rsid w:val="008A1074"/>
    <w:rsid w:val="008A118E"/>
    <w:rsid w:val="008A127B"/>
    <w:rsid w:val="008A12E9"/>
    <w:rsid w:val="008A13D5"/>
    <w:rsid w:val="008A1514"/>
    <w:rsid w:val="008A158F"/>
    <w:rsid w:val="008A1815"/>
    <w:rsid w:val="008A191F"/>
    <w:rsid w:val="008A1AA9"/>
    <w:rsid w:val="008A1B40"/>
    <w:rsid w:val="008A1B76"/>
    <w:rsid w:val="008A1CA0"/>
    <w:rsid w:val="008A1D65"/>
    <w:rsid w:val="008A1F7A"/>
    <w:rsid w:val="008A2016"/>
    <w:rsid w:val="008A22BA"/>
    <w:rsid w:val="008A259C"/>
    <w:rsid w:val="008A25D7"/>
    <w:rsid w:val="008A2624"/>
    <w:rsid w:val="008A27F1"/>
    <w:rsid w:val="008A2AB9"/>
    <w:rsid w:val="008A2AD9"/>
    <w:rsid w:val="008A2E3A"/>
    <w:rsid w:val="008A2E59"/>
    <w:rsid w:val="008A2E94"/>
    <w:rsid w:val="008A2EA0"/>
    <w:rsid w:val="008A2ED7"/>
    <w:rsid w:val="008A30B2"/>
    <w:rsid w:val="008A336E"/>
    <w:rsid w:val="008A3532"/>
    <w:rsid w:val="008A3544"/>
    <w:rsid w:val="008A3591"/>
    <w:rsid w:val="008A3619"/>
    <w:rsid w:val="008A363D"/>
    <w:rsid w:val="008A367C"/>
    <w:rsid w:val="008A36C1"/>
    <w:rsid w:val="008A3895"/>
    <w:rsid w:val="008A38B5"/>
    <w:rsid w:val="008A3939"/>
    <w:rsid w:val="008A3A5F"/>
    <w:rsid w:val="008A3AFF"/>
    <w:rsid w:val="008A3D99"/>
    <w:rsid w:val="008A3DEF"/>
    <w:rsid w:val="008A3F05"/>
    <w:rsid w:val="008A3F09"/>
    <w:rsid w:val="008A40DD"/>
    <w:rsid w:val="008A4134"/>
    <w:rsid w:val="008A4153"/>
    <w:rsid w:val="008A4338"/>
    <w:rsid w:val="008A45C4"/>
    <w:rsid w:val="008A45E5"/>
    <w:rsid w:val="008A4718"/>
    <w:rsid w:val="008A4955"/>
    <w:rsid w:val="008A49DF"/>
    <w:rsid w:val="008A4B13"/>
    <w:rsid w:val="008A4B1C"/>
    <w:rsid w:val="008A4BD4"/>
    <w:rsid w:val="008A4D92"/>
    <w:rsid w:val="008A4DFD"/>
    <w:rsid w:val="008A4E55"/>
    <w:rsid w:val="008A4E5A"/>
    <w:rsid w:val="008A4E79"/>
    <w:rsid w:val="008A4EDB"/>
    <w:rsid w:val="008A4FA1"/>
    <w:rsid w:val="008A513C"/>
    <w:rsid w:val="008A52E3"/>
    <w:rsid w:val="008A530D"/>
    <w:rsid w:val="008A5336"/>
    <w:rsid w:val="008A53B3"/>
    <w:rsid w:val="008A5433"/>
    <w:rsid w:val="008A547B"/>
    <w:rsid w:val="008A54CD"/>
    <w:rsid w:val="008A56AF"/>
    <w:rsid w:val="008A5741"/>
    <w:rsid w:val="008A583F"/>
    <w:rsid w:val="008A584D"/>
    <w:rsid w:val="008A5877"/>
    <w:rsid w:val="008A5DA0"/>
    <w:rsid w:val="008A5DD1"/>
    <w:rsid w:val="008A5E95"/>
    <w:rsid w:val="008A5E9B"/>
    <w:rsid w:val="008A5EBC"/>
    <w:rsid w:val="008A5F5D"/>
    <w:rsid w:val="008A5FCC"/>
    <w:rsid w:val="008A616A"/>
    <w:rsid w:val="008A62F4"/>
    <w:rsid w:val="008A6353"/>
    <w:rsid w:val="008A66C0"/>
    <w:rsid w:val="008A69EA"/>
    <w:rsid w:val="008A6A83"/>
    <w:rsid w:val="008A6BC8"/>
    <w:rsid w:val="008A701F"/>
    <w:rsid w:val="008A705E"/>
    <w:rsid w:val="008A71CF"/>
    <w:rsid w:val="008A72DD"/>
    <w:rsid w:val="008A734A"/>
    <w:rsid w:val="008A74F7"/>
    <w:rsid w:val="008A759B"/>
    <w:rsid w:val="008A764C"/>
    <w:rsid w:val="008A7671"/>
    <w:rsid w:val="008A7676"/>
    <w:rsid w:val="008A76AC"/>
    <w:rsid w:val="008A770D"/>
    <w:rsid w:val="008A7856"/>
    <w:rsid w:val="008A79CA"/>
    <w:rsid w:val="008A7A1C"/>
    <w:rsid w:val="008A7BF5"/>
    <w:rsid w:val="008A7C65"/>
    <w:rsid w:val="008A7CC1"/>
    <w:rsid w:val="008A7EC0"/>
    <w:rsid w:val="008A7EC4"/>
    <w:rsid w:val="008B0034"/>
    <w:rsid w:val="008B0099"/>
    <w:rsid w:val="008B0117"/>
    <w:rsid w:val="008B0137"/>
    <w:rsid w:val="008B0153"/>
    <w:rsid w:val="008B05DC"/>
    <w:rsid w:val="008B0A32"/>
    <w:rsid w:val="008B1034"/>
    <w:rsid w:val="008B103F"/>
    <w:rsid w:val="008B1177"/>
    <w:rsid w:val="008B13C7"/>
    <w:rsid w:val="008B1438"/>
    <w:rsid w:val="008B145A"/>
    <w:rsid w:val="008B1612"/>
    <w:rsid w:val="008B16B8"/>
    <w:rsid w:val="008B1A5B"/>
    <w:rsid w:val="008B1AED"/>
    <w:rsid w:val="008B1B16"/>
    <w:rsid w:val="008B1D33"/>
    <w:rsid w:val="008B1F18"/>
    <w:rsid w:val="008B2064"/>
    <w:rsid w:val="008B2259"/>
    <w:rsid w:val="008B2376"/>
    <w:rsid w:val="008B23B4"/>
    <w:rsid w:val="008B258D"/>
    <w:rsid w:val="008B27C8"/>
    <w:rsid w:val="008B2BCE"/>
    <w:rsid w:val="008B2C92"/>
    <w:rsid w:val="008B2CFB"/>
    <w:rsid w:val="008B2E04"/>
    <w:rsid w:val="008B2E6C"/>
    <w:rsid w:val="008B2F87"/>
    <w:rsid w:val="008B3019"/>
    <w:rsid w:val="008B3033"/>
    <w:rsid w:val="008B3118"/>
    <w:rsid w:val="008B3626"/>
    <w:rsid w:val="008B3653"/>
    <w:rsid w:val="008B36A1"/>
    <w:rsid w:val="008B3725"/>
    <w:rsid w:val="008B37BE"/>
    <w:rsid w:val="008B3998"/>
    <w:rsid w:val="008B3B3A"/>
    <w:rsid w:val="008B3E26"/>
    <w:rsid w:val="008B3ED8"/>
    <w:rsid w:val="008B3F42"/>
    <w:rsid w:val="008B3F81"/>
    <w:rsid w:val="008B42DF"/>
    <w:rsid w:val="008B4321"/>
    <w:rsid w:val="008B437F"/>
    <w:rsid w:val="008B4477"/>
    <w:rsid w:val="008B44AD"/>
    <w:rsid w:val="008B44B5"/>
    <w:rsid w:val="008B4504"/>
    <w:rsid w:val="008B4509"/>
    <w:rsid w:val="008B4580"/>
    <w:rsid w:val="008B45E5"/>
    <w:rsid w:val="008B4622"/>
    <w:rsid w:val="008B4651"/>
    <w:rsid w:val="008B47E7"/>
    <w:rsid w:val="008B4885"/>
    <w:rsid w:val="008B48DC"/>
    <w:rsid w:val="008B50F4"/>
    <w:rsid w:val="008B53DF"/>
    <w:rsid w:val="008B53EC"/>
    <w:rsid w:val="008B544A"/>
    <w:rsid w:val="008B565D"/>
    <w:rsid w:val="008B571A"/>
    <w:rsid w:val="008B5747"/>
    <w:rsid w:val="008B5814"/>
    <w:rsid w:val="008B5957"/>
    <w:rsid w:val="008B5B15"/>
    <w:rsid w:val="008B5B31"/>
    <w:rsid w:val="008B5B8D"/>
    <w:rsid w:val="008B5DCA"/>
    <w:rsid w:val="008B5FE5"/>
    <w:rsid w:val="008B60A7"/>
    <w:rsid w:val="008B60BB"/>
    <w:rsid w:val="008B60EF"/>
    <w:rsid w:val="008B6120"/>
    <w:rsid w:val="008B613D"/>
    <w:rsid w:val="008B6315"/>
    <w:rsid w:val="008B647F"/>
    <w:rsid w:val="008B65BA"/>
    <w:rsid w:val="008B65C6"/>
    <w:rsid w:val="008B6C9B"/>
    <w:rsid w:val="008B6DDE"/>
    <w:rsid w:val="008B6DF9"/>
    <w:rsid w:val="008B6E32"/>
    <w:rsid w:val="008B6F17"/>
    <w:rsid w:val="008B70F2"/>
    <w:rsid w:val="008B71F4"/>
    <w:rsid w:val="008B7291"/>
    <w:rsid w:val="008B72BA"/>
    <w:rsid w:val="008B7393"/>
    <w:rsid w:val="008B74A0"/>
    <w:rsid w:val="008B781C"/>
    <w:rsid w:val="008B7947"/>
    <w:rsid w:val="008B7ADD"/>
    <w:rsid w:val="008B7BB2"/>
    <w:rsid w:val="008B7C24"/>
    <w:rsid w:val="008B7F09"/>
    <w:rsid w:val="008B7F9C"/>
    <w:rsid w:val="008C002F"/>
    <w:rsid w:val="008C01BA"/>
    <w:rsid w:val="008C0378"/>
    <w:rsid w:val="008C03E6"/>
    <w:rsid w:val="008C04DC"/>
    <w:rsid w:val="008C056F"/>
    <w:rsid w:val="008C05E8"/>
    <w:rsid w:val="008C06A5"/>
    <w:rsid w:val="008C06CE"/>
    <w:rsid w:val="008C079F"/>
    <w:rsid w:val="008C07F9"/>
    <w:rsid w:val="008C0822"/>
    <w:rsid w:val="008C0AE4"/>
    <w:rsid w:val="008C0C06"/>
    <w:rsid w:val="008C0C08"/>
    <w:rsid w:val="008C0C37"/>
    <w:rsid w:val="008C0CF3"/>
    <w:rsid w:val="008C0D63"/>
    <w:rsid w:val="008C0F4E"/>
    <w:rsid w:val="008C103C"/>
    <w:rsid w:val="008C1072"/>
    <w:rsid w:val="008C118F"/>
    <w:rsid w:val="008C122B"/>
    <w:rsid w:val="008C1315"/>
    <w:rsid w:val="008C13CD"/>
    <w:rsid w:val="008C1404"/>
    <w:rsid w:val="008C1488"/>
    <w:rsid w:val="008C1492"/>
    <w:rsid w:val="008C1751"/>
    <w:rsid w:val="008C1760"/>
    <w:rsid w:val="008C1B76"/>
    <w:rsid w:val="008C1E9A"/>
    <w:rsid w:val="008C1EDF"/>
    <w:rsid w:val="008C20E9"/>
    <w:rsid w:val="008C245F"/>
    <w:rsid w:val="008C256E"/>
    <w:rsid w:val="008C2686"/>
    <w:rsid w:val="008C26E9"/>
    <w:rsid w:val="008C2872"/>
    <w:rsid w:val="008C2892"/>
    <w:rsid w:val="008C28F6"/>
    <w:rsid w:val="008C2A5B"/>
    <w:rsid w:val="008C2E30"/>
    <w:rsid w:val="008C3022"/>
    <w:rsid w:val="008C313C"/>
    <w:rsid w:val="008C3151"/>
    <w:rsid w:val="008C317E"/>
    <w:rsid w:val="008C3309"/>
    <w:rsid w:val="008C33CA"/>
    <w:rsid w:val="008C3423"/>
    <w:rsid w:val="008C3654"/>
    <w:rsid w:val="008C36F4"/>
    <w:rsid w:val="008C3810"/>
    <w:rsid w:val="008C3952"/>
    <w:rsid w:val="008C3B40"/>
    <w:rsid w:val="008C3C7C"/>
    <w:rsid w:val="008C3DBB"/>
    <w:rsid w:val="008C437F"/>
    <w:rsid w:val="008C46A2"/>
    <w:rsid w:val="008C46D1"/>
    <w:rsid w:val="008C47B9"/>
    <w:rsid w:val="008C4854"/>
    <w:rsid w:val="008C4869"/>
    <w:rsid w:val="008C4901"/>
    <w:rsid w:val="008C4A18"/>
    <w:rsid w:val="008C4B17"/>
    <w:rsid w:val="008C4DF8"/>
    <w:rsid w:val="008C4EA5"/>
    <w:rsid w:val="008C4EC5"/>
    <w:rsid w:val="008C4FB5"/>
    <w:rsid w:val="008C5085"/>
    <w:rsid w:val="008C5092"/>
    <w:rsid w:val="008C5268"/>
    <w:rsid w:val="008C56A2"/>
    <w:rsid w:val="008C5798"/>
    <w:rsid w:val="008C586A"/>
    <w:rsid w:val="008C58C7"/>
    <w:rsid w:val="008C5A56"/>
    <w:rsid w:val="008C5AD7"/>
    <w:rsid w:val="008C5B00"/>
    <w:rsid w:val="008C5B87"/>
    <w:rsid w:val="008C5BE2"/>
    <w:rsid w:val="008C5C22"/>
    <w:rsid w:val="008C5F84"/>
    <w:rsid w:val="008C604C"/>
    <w:rsid w:val="008C60CE"/>
    <w:rsid w:val="008C63BD"/>
    <w:rsid w:val="008C640D"/>
    <w:rsid w:val="008C6441"/>
    <w:rsid w:val="008C66E0"/>
    <w:rsid w:val="008C6741"/>
    <w:rsid w:val="008C676D"/>
    <w:rsid w:val="008C6A3E"/>
    <w:rsid w:val="008C6AE1"/>
    <w:rsid w:val="008C6BED"/>
    <w:rsid w:val="008C6CA3"/>
    <w:rsid w:val="008C6CC9"/>
    <w:rsid w:val="008C6CD8"/>
    <w:rsid w:val="008C6F3A"/>
    <w:rsid w:val="008C6F66"/>
    <w:rsid w:val="008C6FE7"/>
    <w:rsid w:val="008C72C3"/>
    <w:rsid w:val="008C7314"/>
    <w:rsid w:val="008C7340"/>
    <w:rsid w:val="008C7820"/>
    <w:rsid w:val="008C7866"/>
    <w:rsid w:val="008C7C2A"/>
    <w:rsid w:val="008C7C2F"/>
    <w:rsid w:val="008D00FF"/>
    <w:rsid w:val="008D0315"/>
    <w:rsid w:val="008D04B4"/>
    <w:rsid w:val="008D0562"/>
    <w:rsid w:val="008D05A4"/>
    <w:rsid w:val="008D05C9"/>
    <w:rsid w:val="008D060F"/>
    <w:rsid w:val="008D062C"/>
    <w:rsid w:val="008D0782"/>
    <w:rsid w:val="008D07C7"/>
    <w:rsid w:val="008D0C67"/>
    <w:rsid w:val="008D1043"/>
    <w:rsid w:val="008D1088"/>
    <w:rsid w:val="008D10EC"/>
    <w:rsid w:val="008D1139"/>
    <w:rsid w:val="008D1176"/>
    <w:rsid w:val="008D1216"/>
    <w:rsid w:val="008D12D3"/>
    <w:rsid w:val="008D13F6"/>
    <w:rsid w:val="008D15DE"/>
    <w:rsid w:val="008D161B"/>
    <w:rsid w:val="008D1722"/>
    <w:rsid w:val="008D175E"/>
    <w:rsid w:val="008D1869"/>
    <w:rsid w:val="008D18A1"/>
    <w:rsid w:val="008D190E"/>
    <w:rsid w:val="008D1945"/>
    <w:rsid w:val="008D1950"/>
    <w:rsid w:val="008D19C5"/>
    <w:rsid w:val="008D1B04"/>
    <w:rsid w:val="008D1BE0"/>
    <w:rsid w:val="008D1DA5"/>
    <w:rsid w:val="008D1F1F"/>
    <w:rsid w:val="008D204A"/>
    <w:rsid w:val="008D2303"/>
    <w:rsid w:val="008D23AC"/>
    <w:rsid w:val="008D249A"/>
    <w:rsid w:val="008D2710"/>
    <w:rsid w:val="008D28A3"/>
    <w:rsid w:val="008D2B97"/>
    <w:rsid w:val="008D2E6B"/>
    <w:rsid w:val="008D3233"/>
    <w:rsid w:val="008D32A8"/>
    <w:rsid w:val="008D32BA"/>
    <w:rsid w:val="008D340E"/>
    <w:rsid w:val="008D35F8"/>
    <w:rsid w:val="008D36C5"/>
    <w:rsid w:val="008D36CD"/>
    <w:rsid w:val="008D372E"/>
    <w:rsid w:val="008D395D"/>
    <w:rsid w:val="008D3A02"/>
    <w:rsid w:val="008D3AD0"/>
    <w:rsid w:val="008D3B8B"/>
    <w:rsid w:val="008D3BFC"/>
    <w:rsid w:val="008D3EE8"/>
    <w:rsid w:val="008D3F8C"/>
    <w:rsid w:val="008D3FCF"/>
    <w:rsid w:val="008D3FEA"/>
    <w:rsid w:val="008D4011"/>
    <w:rsid w:val="008D423F"/>
    <w:rsid w:val="008D429E"/>
    <w:rsid w:val="008D455A"/>
    <w:rsid w:val="008D470A"/>
    <w:rsid w:val="008D4A7E"/>
    <w:rsid w:val="008D4AFC"/>
    <w:rsid w:val="008D4C5F"/>
    <w:rsid w:val="008D5103"/>
    <w:rsid w:val="008D515D"/>
    <w:rsid w:val="008D51BC"/>
    <w:rsid w:val="008D5221"/>
    <w:rsid w:val="008D53C0"/>
    <w:rsid w:val="008D54BA"/>
    <w:rsid w:val="008D54F7"/>
    <w:rsid w:val="008D55A6"/>
    <w:rsid w:val="008D5612"/>
    <w:rsid w:val="008D572E"/>
    <w:rsid w:val="008D5789"/>
    <w:rsid w:val="008D58DC"/>
    <w:rsid w:val="008D59D3"/>
    <w:rsid w:val="008D5A1A"/>
    <w:rsid w:val="008D5B3A"/>
    <w:rsid w:val="008D5B4E"/>
    <w:rsid w:val="008D5C18"/>
    <w:rsid w:val="008D5E2B"/>
    <w:rsid w:val="008D5E69"/>
    <w:rsid w:val="008D5E74"/>
    <w:rsid w:val="008D5EBD"/>
    <w:rsid w:val="008D6044"/>
    <w:rsid w:val="008D61B7"/>
    <w:rsid w:val="008D63F5"/>
    <w:rsid w:val="008D6764"/>
    <w:rsid w:val="008D67F5"/>
    <w:rsid w:val="008D6989"/>
    <w:rsid w:val="008D69C9"/>
    <w:rsid w:val="008D6D9D"/>
    <w:rsid w:val="008D6DB3"/>
    <w:rsid w:val="008D6F41"/>
    <w:rsid w:val="008D7066"/>
    <w:rsid w:val="008D71EE"/>
    <w:rsid w:val="008D738E"/>
    <w:rsid w:val="008D73D6"/>
    <w:rsid w:val="008D7453"/>
    <w:rsid w:val="008D7547"/>
    <w:rsid w:val="008D77AD"/>
    <w:rsid w:val="008D79E4"/>
    <w:rsid w:val="008D7C63"/>
    <w:rsid w:val="008D7C6E"/>
    <w:rsid w:val="008D7D6B"/>
    <w:rsid w:val="008D7DC7"/>
    <w:rsid w:val="008D7DDE"/>
    <w:rsid w:val="008D7DFF"/>
    <w:rsid w:val="008D7EFD"/>
    <w:rsid w:val="008D7F68"/>
    <w:rsid w:val="008D7F7B"/>
    <w:rsid w:val="008D7F8A"/>
    <w:rsid w:val="008E02AF"/>
    <w:rsid w:val="008E030F"/>
    <w:rsid w:val="008E0590"/>
    <w:rsid w:val="008E0608"/>
    <w:rsid w:val="008E0639"/>
    <w:rsid w:val="008E080E"/>
    <w:rsid w:val="008E083D"/>
    <w:rsid w:val="008E08D5"/>
    <w:rsid w:val="008E0A2A"/>
    <w:rsid w:val="008E0A5A"/>
    <w:rsid w:val="008E0A77"/>
    <w:rsid w:val="008E0BAE"/>
    <w:rsid w:val="008E0C99"/>
    <w:rsid w:val="008E0CAD"/>
    <w:rsid w:val="008E0D04"/>
    <w:rsid w:val="008E0DD4"/>
    <w:rsid w:val="008E0E84"/>
    <w:rsid w:val="008E1048"/>
    <w:rsid w:val="008E10B1"/>
    <w:rsid w:val="008E10E2"/>
    <w:rsid w:val="008E126C"/>
    <w:rsid w:val="008E15E4"/>
    <w:rsid w:val="008E17A5"/>
    <w:rsid w:val="008E17C7"/>
    <w:rsid w:val="008E17D4"/>
    <w:rsid w:val="008E1911"/>
    <w:rsid w:val="008E1953"/>
    <w:rsid w:val="008E1B90"/>
    <w:rsid w:val="008E1E33"/>
    <w:rsid w:val="008E1E41"/>
    <w:rsid w:val="008E1E94"/>
    <w:rsid w:val="008E1EE8"/>
    <w:rsid w:val="008E23AF"/>
    <w:rsid w:val="008E23C0"/>
    <w:rsid w:val="008E268C"/>
    <w:rsid w:val="008E2771"/>
    <w:rsid w:val="008E2822"/>
    <w:rsid w:val="008E2923"/>
    <w:rsid w:val="008E2978"/>
    <w:rsid w:val="008E2A08"/>
    <w:rsid w:val="008E2A0D"/>
    <w:rsid w:val="008E2BC6"/>
    <w:rsid w:val="008E2C36"/>
    <w:rsid w:val="008E2E43"/>
    <w:rsid w:val="008E2ED9"/>
    <w:rsid w:val="008E303C"/>
    <w:rsid w:val="008E308C"/>
    <w:rsid w:val="008E3195"/>
    <w:rsid w:val="008E319F"/>
    <w:rsid w:val="008E32F1"/>
    <w:rsid w:val="008E32FA"/>
    <w:rsid w:val="008E33DD"/>
    <w:rsid w:val="008E34AB"/>
    <w:rsid w:val="008E34E3"/>
    <w:rsid w:val="008E354E"/>
    <w:rsid w:val="008E35D7"/>
    <w:rsid w:val="008E3614"/>
    <w:rsid w:val="008E37C2"/>
    <w:rsid w:val="008E38B2"/>
    <w:rsid w:val="008E3976"/>
    <w:rsid w:val="008E39C9"/>
    <w:rsid w:val="008E3B23"/>
    <w:rsid w:val="008E3BD5"/>
    <w:rsid w:val="008E3D54"/>
    <w:rsid w:val="008E40F8"/>
    <w:rsid w:val="008E414C"/>
    <w:rsid w:val="008E4290"/>
    <w:rsid w:val="008E429D"/>
    <w:rsid w:val="008E42CF"/>
    <w:rsid w:val="008E4322"/>
    <w:rsid w:val="008E43A0"/>
    <w:rsid w:val="008E4479"/>
    <w:rsid w:val="008E4513"/>
    <w:rsid w:val="008E468C"/>
    <w:rsid w:val="008E49D2"/>
    <w:rsid w:val="008E4A4F"/>
    <w:rsid w:val="008E4AD1"/>
    <w:rsid w:val="008E4B11"/>
    <w:rsid w:val="008E4B63"/>
    <w:rsid w:val="008E4DDD"/>
    <w:rsid w:val="008E503D"/>
    <w:rsid w:val="008E5130"/>
    <w:rsid w:val="008E5161"/>
    <w:rsid w:val="008E5270"/>
    <w:rsid w:val="008E52BB"/>
    <w:rsid w:val="008E532B"/>
    <w:rsid w:val="008E540D"/>
    <w:rsid w:val="008E54CC"/>
    <w:rsid w:val="008E5610"/>
    <w:rsid w:val="008E568B"/>
    <w:rsid w:val="008E5776"/>
    <w:rsid w:val="008E591B"/>
    <w:rsid w:val="008E59C7"/>
    <w:rsid w:val="008E5ABA"/>
    <w:rsid w:val="008E5B6D"/>
    <w:rsid w:val="008E5E8F"/>
    <w:rsid w:val="008E60D5"/>
    <w:rsid w:val="008E622B"/>
    <w:rsid w:val="008E63C0"/>
    <w:rsid w:val="008E63EF"/>
    <w:rsid w:val="008E6406"/>
    <w:rsid w:val="008E6569"/>
    <w:rsid w:val="008E65C6"/>
    <w:rsid w:val="008E65F4"/>
    <w:rsid w:val="008E6760"/>
    <w:rsid w:val="008E68D1"/>
    <w:rsid w:val="008E6A13"/>
    <w:rsid w:val="008E6A2D"/>
    <w:rsid w:val="008E6B2B"/>
    <w:rsid w:val="008E6DE4"/>
    <w:rsid w:val="008E6EB5"/>
    <w:rsid w:val="008E6EEA"/>
    <w:rsid w:val="008E6F96"/>
    <w:rsid w:val="008E710E"/>
    <w:rsid w:val="008E727C"/>
    <w:rsid w:val="008E72AE"/>
    <w:rsid w:val="008E7392"/>
    <w:rsid w:val="008E743F"/>
    <w:rsid w:val="008E748F"/>
    <w:rsid w:val="008E77DD"/>
    <w:rsid w:val="008E79BA"/>
    <w:rsid w:val="008E7AF6"/>
    <w:rsid w:val="008E7C49"/>
    <w:rsid w:val="008E7E97"/>
    <w:rsid w:val="008F0115"/>
    <w:rsid w:val="008F034B"/>
    <w:rsid w:val="008F03C2"/>
    <w:rsid w:val="008F04E2"/>
    <w:rsid w:val="008F05B1"/>
    <w:rsid w:val="008F05C1"/>
    <w:rsid w:val="008F0670"/>
    <w:rsid w:val="008F0713"/>
    <w:rsid w:val="008F08E1"/>
    <w:rsid w:val="008F0A0F"/>
    <w:rsid w:val="008F0A2D"/>
    <w:rsid w:val="008F0B2A"/>
    <w:rsid w:val="008F0CF8"/>
    <w:rsid w:val="008F0EB6"/>
    <w:rsid w:val="008F0FC8"/>
    <w:rsid w:val="008F10F3"/>
    <w:rsid w:val="008F1133"/>
    <w:rsid w:val="008F1485"/>
    <w:rsid w:val="008F14D9"/>
    <w:rsid w:val="008F1552"/>
    <w:rsid w:val="008F157A"/>
    <w:rsid w:val="008F15C9"/>
    <w:rsid w:val="008F169F"/>
    <w:rsid w:val="008F1A34"/>
    <w:rsid w:val="008F1A4C"/>
    <w:rsid w:val="008F1B26"/>
    <w:rsid w:val="008F1BF6"/>
    <w:rsid w:val="008F1C4D"/>
    <w:rsid w:val="008F1D28"/>
    <w:rsid w:val="008F1D63"/>
    <w:rsid w:val="008F1E0A"/>
    <w:rsid w:val="008F1E5A"/>
    <w:rsid w:val="008F1E71"/>
    <w:rsid w:val="008F1EC2"/>
    <w:rsid w:val="008F1FB2"/>
    <w:rsid w:val="008F1FB9"/>
    <w:rsid w:val="008F20F4"/>
    <w:rsid w:val="008F2135"/>
    <w:rsid w:val="008F259C"/>
    <w:rsid w:val="008F26E4"/>
    <w:rsid w:val="008F27C3"/>
    <w:rsid w:val="008F27F1"/>
    <w:rsid w:val="008F2E18"/>
    <w:rsid w:val="008F3314"/>
    <w:rsid w:val="008F3672"/>
    <w:rsid w:val="008F36E0"/>
    <w:rsid w:val="008F3819"/>
    <w:rsid w:val="008F396F"/>
    <w:rsid w:val="008F39C3"/>
    <w:rsid w:val="008F3A42"/>
    <w:rsid w:val="008F3C6C"/>
    <w:rsid w:val="008F3C73"/>
    <w:rsid w:val="008F3CFA"/>
    <w:rsid w:val="008F3D7D"/>
    <w:rsid w:val="008F3DDB"/>
    <w:rsid w:val="008F3EF2"/>
    <w:rsid w:val="008F451D"/>
    <w:rsid w:val="008F46F4"/>
    <w:rsid w:val="008F47D2"/>
    <w:rsid w:val="008F493F"/>
    <w:rsid w:val="008F4942"/>
    <w:rsid w:val="008F4BC9"/>
    <w:rsid w:val="008F4BDA"/>
    <w:rsid w:val="008F4D66"/>
    <w:rsid w:val="008F4F63"/>
    <w:rsid w:val="008F50CF"/>
    <w:rsid w:val="008F51C3"/>
    <w:rsid w:val="008F51CC"/>
    <w:rsid w:val="008F51D2"/>
    <w:rsid w:val="008F5323"/>
    <w:rsid w:val="008F5377"/>
    <w:rsid w:val="008F539D"/>
    <w:rsid w:val="008F53FD"/>
    <w:rsid w:val="008F54CD"/>
    <w:rsid w:val="008F5584"/>
    <w:rsid w:val="008F569B"/>
    <w:rsid w:val="008F56F3"/>
    <w:rsid w:val="008F5917"/>
    <w:rsid w:val="008F59EA"/>
    <w:rsid w:val="008F5A84"/>
    <w:rsid w:val="008F5CDB"/>
    <w:rsid w:val="008F5CDD"/>
    <w:rsid w:val="008F5DE4"/>
    <w:rsid w:val="008F5F43"/>
    <w:rsid w:val="008F6100"/>
    <w:rsid w:val="008F6269"/>
    <w:rsid w:val="008F64BB"/>
    <w:rsid w:val="008F6553"/>
    <w:rsid w:val="008F6592"/>
    <w:rsid w:val="008F65B4"/>
    <w:rsid w:val="008F662D"/>
    <w:rsid w:val="008F66B7"/>
    <w:rsid w:val="008F67CB"/>
    <w:rsid w:val="008F67E9"/>
    <w:rsid w:val="008F683E"/>
    <w:rsid w:val="008F6854"/>
    <w:rsid w:val="008F6891"/>
    <w:rsid w:val="008F6942"/>
    <w:rsid w:val="008F6C12"/>
    <w:rsid w:val="008F6EA9"/>
    <w:rsid w:val="008F6FC8"/>
    <w:rsid w:val="008F72A4"/>
    <w:rsid w:val="008F72AC"/>
    <w:rsid w:val="008F75D0"/>
    <w:rsid w:val="008F76D1"/>
    <w:rsid w:val="008F78C2"/>
    <w:rsid w:val="008F7955"/>
    <w:rsid w:val="008F79F3"/>
    <w:rsid w:val="008F7A69"/>
    <w:rsid w:val="008F7B1F"/>
    <w:rsid w:val="008F7D84"/>
    <w:rsid w:val="008F7F12"/>
    <w:rsid w:val="0090002E"/>
    <w:rsid w:val="00900066"/>
    <w:rsid w:val="009000A6"/>
    <w:rsid w:val="00900110"/>
    <w:rsid w:val="0090016D"/>
    <w:rsid w:val="0090018D"/>
    <w:rsid w:val="0090023A"/>
    <w:rsid w:val="00900559"/>
    <w:rsid w:val="00900567"/>
    <w:rsid w:val="00900625"/>
    <w:rsid w:val="00900672"/>
    <w:rsid w:val="00900785"/>
    <w:rsid w:val="0090092B"/>
    <w:rsid w:val="0090093A"/>
    <w:rsid w:val="009009E0"/>
    <w:rsid w:val="009009E2"/>
    <w:rsid w:val="00900C18"/>
    <w:rsid w:val="00900C9E"/>
    <w:rsid w:val="00900D70"/>
    <w:rsid w:val="00900E65"/>
    <w:rsid w:val="00900E70"/>
    <w:rsid w:val="009010F0"/>
    <w:rsid w:val="0090125A"/>
    <w:rsid w:val="009012A7"/>
    <w:rsid w:val="00901305"/>
    <w:rsid w:val="00901352"/>
    <w:rsid w:val="009015A9"/>
    <w:rsid w:val="0090178F"/>
    <w:rsid w:val="00901918"/>
    <w:rsid w:val="00901998"/>
    <w:rsid w:val="00901A27"/>
    <w:rsid w:val="00901BBB"/>
    <w:rsid w:val="00901D63"/>
    <w:rsid w:val="00901E4A"/>
    <w:rsid w:val="00901E6E"/>
    <w:rsid w:val="00901EE4"/>
    <w:rsid w:val="00901FED"/>
    <w:rsid w:val="00902047"/>
    <w:rsid w:val="009021AF"/>
    <w:rsid w:val="00902433"/>
    <w:rsid w:val="00902482"/>
    <w:rsid w:val="0090255B"/>
    <w:rsid w:val="009026AC"/>
    <w:rsid w:val="0090288D"/>
    <w:rsid w:val="00902BB7"/>
    <w:rsid w:val="00902BF6"/>
    <w:rsid w:val="00902E80"/>
    <w:rsid w:val="00902F99"/>
    <w:rsid w:val="00903086"/>
    <w:rsid w:val="00903171"/>
    <w:rsid w:val="009031CE"/>
    <w:rsid w:val="0090327E"/>
    <w:rsid w:val="00903465"/>
    <w:rsid w:val="00903583"/>
    <w:rsid w:val="00903662"/>
    <w:rsid w:val="00903691"/>
    <w:rsid w:val="009036C4"/>
    <w:rsid w:val="00903700"/>
    <w:rsid w:val="0090382F"/>
    <w:rsid w:val="009038C0"/>
    <w:rsid w:val="00903A7A"/>
    <w:rsid w:val="00903AE8"/>
    <w:rsid w:val="00903BD6"/>
    <w:rsid w:val="00903C9B"/>
    <w:rsid w:val="00903CA4"/>
    <w:rsid w:val="00903F5C"/>
    <w:rsid w:val="00904250"/>
    <w:rsid w:val="009042D0"/>
    <w:rsid w:val="0090435C"/>
    <w:rsid w:val="00904500"/>
    <w:rsid w:val="00904606"/>
    <w:rsid w:val="00904C0E"/>
    <w:rsid w:val="00904F0C"/>
    <w:rsid w:val="00905081"/>
    <w:rsid w:val="00905150"/>
    <w:rsid w:val="00905204"/>
    <w:rsid w:val="00905229"/>
    <w:rsid w:val="00905431"/>
    <w:rsid w:val="0090544C"/>
    <w:rsid w:val="009055B8"/>
    <w:rsid w:val="00905954"/>
    <w:rsid w:val="00906175"/>
    <w:rsid w:val="009061E6"/>
    <w:rsid w:val="0090638D"/>
    <w:rsid w:val="00906453"/>
    <w:rsid w:val="00906602"/>
    <w:rsid w:val="0090667E"/>
    <w:rsid w:val="009067F6"/>
    <w:rsid w:val="0090699B"/>
    <w:rsid w:val="009069C2"/>
    <w:rsid w:val="00906A1A"/>
    <w:rsid w:val="00906AB8"/>
    <w:rsid w:val="00906AE2"/>
    <w:rsid w:val="00906B99"/>
    <w:rsid w:val="00906CEA"/>
    <w:rsid w:val="00907001"/>
    <w:rsid w:val="00907307"/>
    <w:rsid w:val="0090732C"/>
    <w:rsid w:val="009073AC"/>
    <w:rsid w:val="009073D6"/>
    <w:rsid w:val="00907436"/>
    <w:rsid w:val="00907442"/>
    <w:rsid w:val="00907482"/>
    <w:rsid w:val="00907612"/>
    <w:rsid w:val="009076AE"/>
    <w:rsid w:val="00907785"/>
    <w:rsid w:val="00907929"/>
    <w:rsid w:val="00907C9E"/>
    <w:rsid w:val="00907D73"/>
    <w:rsid w:val="00907EC4"/>
    <w:rsid w:val="00907ED0"/>
    <w:rsid w:val="00907F06"/>
    <w:rsid w:val="00907F2E"/>
    <w:rsid w:val="00907F8D"/>
    <w:rsid w:val="00907F8E"/>
    <w:rsid w:val="009101AD"/>
    <w:rsid w:val="0091064B"/>
    <w:rsid w:val="00910717"/>
    <w:rsid w:val="009107C1"/>
    <w:rsid w:val="009108C1"/>
    <w:rsid w:val="00910A01"/>
    <w:rsid w:val="00910B16"/>
    <w:rsid w:val="00910CA8"/>
    <w:rsid w:val="00910D79"/>
    <w:rsid w:val="00910EAD"/>
    <w:rsid w:val="00910F7A"/>
    <w:rsid w:val="00910FFE"/>
    <w:rsid w:val="009110CF"/>
    <w:rsid w:val="00911273"/>
    <w:rsid w:val="0091140D"/>
    <w:rsid w:val="00911428"/>
    <w:rsid w:val="009115C1"/>
    <w:rsid w:val="00911714"/>
    <w:rsid w:val="0091179F"/>
    <w:rsid w:val="009117AC"/>
    <w:rsid w:val="00911AFC"/>
    <w:rsid w:val="00911BC8"/>
    <w:rsid w:val="00911D78"/>
    <w:rsid w:val="00912090"/>
    <w:rsid w:val="00912233"/>
    <w:rsid w:val="00912354"/>
    <w:rsid w:val="0091235A"/>
    <w:rsid w:val="00912371"/>
    <w:rsid w:val="00912528"/>
    <w:rsid w:val="009129F0"/>
    <w:rsid w:val="009129FB"/>
    <w:rsid w:val="00912ACA"/>
    <w:rsid w:val="00912AD0"/>
    <w:rsid w:val="00912F0C"/>
    <w:rsid w:val="00912FF1"/>
    <w:rsid w:val="0091311E"/>
    <w:rsid w:val="00913191"/>
    <w:rsid w:val="00913278"/>
    <w:rsid w:val="0091338F"/>
    <w:rsid w:val="0091366A"/>
    <w:rsid w:val="009137D5"/>
    <w:rsid w:val="0091383A"/>
    <w:rsid w:val="00913892"/>
    <w:rsid w:val="009138DE"/>
    <w:rsid w:val="00913954"/>
    <w:rsid w:val="00913AD4"/>
    <w:rsid w:val="00913B22"/>
    <w:rsid w:val="00913D0E"/>
    <w:rsid w:val="00913F36"/>
    <w:rsid w:val="00913F81"/>
    <w:rsid w:val="00913FFC"/>
    <w:rsid w:val="00914025"/>
    <w:rsid w:val="009143E4"/>
    <w:rsid w:val="00914422"/>
    <w:rsid w:val="00914450"/>
    <w:rsid w:val="00914479"/>
    <w:rsid w:val="009145F1"/>
    <w:rsid w:val="009146B5"/>
    <w:rsid w:val="0091482C"/>
    <w:rsid w:val="00914857"/>
    <w:rsid w:val="00914897"/>
    <w:rsid w:val="00914A49"/>
    <w:rsid w:val="00914AD5"/>
    <w:rsid w:val="00914B92"/>
    <w:rsid w:val="00914BCF"/>
    <w:rsid w:val="00914C81"/>
    <w:rsid w:val="00914CAF"/>
    <w:rsid w:val="00914DCD"/>
    <w:rsid w:val="00914DD8"/>
    <w:rsid w:val="00914F76"/>
    <w:rsid w:val="0091503B"/>
    <w:rsid w:val="009153DA"/>
    <w:rsid w:val="00915477"/>
    <w:rsid w:val="0091562C"/>
    <w:rsid w:val="00915650"/>
    <w:rsid w:val="00915698"/>
    <w:rsid w:val="0091576A"/>
    <w:rsid w:val="00915939"/>
    <w:rsid w:val="009159A3"/>
    <w:rsid w:val="00915A10"/>
    <w:rsid w:val="00915A6A"/>
    <w:rsid w:val="00915ADD"/>
    <w:rsid w:val="00915CFB"/>
    <w:rsid w:val="00915DAA"/>
    <w:rsid w:val="00915E2F"/>
    <w:rsid w:val="00915F4C"/>
    <w:rsid w:val="00915FBC"/>
    <w:rsid w:val="0091601A"/>
    <w:rsid w:val="009161E8"/>
    <w:rsid w:val="009163B0"/>
    <w:rsid w:val="0091641A"/>
    <w:rsid w:val="009167B2"/>
    <w:rsid w:val="00916801"/>
    <w:rsid w:val="00916A29"/>
    <w:rsid w:val="00916B7D"/>
    <w:rsid w:val="00916D14"/>
    <w:rsid w:val="0091700F"/>
    <w:rsid w:val="0091721C"/>
    <w:rsid w:val="009174BA"/>
    <w:rsid w:val="009175BF"/>
    <w:rsid w:val="00917846"/>
    <w:rsid w:val="0091793C"/>
    <w:rsid w:val="00917A1B"/>
    <w:rsid w:val="00917A74"/>
    <w:rsid w:val="00917D06"/>
    <w:rsid w:val="00917E0E"/>
    <w:rsid w:val="00917F9E"/>
    <w:rsid w:val="00920068"/>
    <w:rsid w:val="009205C8"/>
    <w:rsid w:val="009205CE"/>
    <w:rsid w:val="009206C7"/>
    <w:rsid w:val="00920773"/>
    <w:rsid w:val="00920A34"/>
    <w:rsid w:val="00920BC4"/>
    <w:rsid w:val="00920BDC"/>
    <w:rsid w:val="00920BF8"/>
    <w:rsid w:val="00920CC4"/>
    <w:rsid w:val="00920DB3"/>
    <w:rsid w:val="00920DCB"/>
    <w:rsid w:val="00920E99"/>
    <w:rsid w:val="00920EF1"/>
    <w:rsid w:val="00921386"/>
    <w:rsid w:val="009214BE"/>
    <w:rsid w:val="00921844"/>
    <w:rsid w:val="00921845"/>
    <w:rsid w:val="009219D3"/>
    <w:rsid w:val="00921A0A"/>
    <w:rsid w:val="00921BDB"/>
    <w:rsid w:val="00921BF6"/>
    <w:rsid w:val="00921EF3"/>
    <w:rsid w:val="009220B1"/>
    <w:rsid w:val="0092214B"/>
    <w:rsid w:val="00922398"/>
    <w:rsid w:val="0092239D"/>
    <w:rsid w:val="009223AB"/>
    <w:rsid w:val="009224D7"/>
    <w:rsid w:val="00922726"/>
    <w:rsid w:val="0092279F"/>
    <w:rsid w:val="00922B26"/>
    <w:rsid w:val="00922B9C"/>
    <w:rsid w:val="00922F54"/>
    <w:rsid w:val="00922FE7"/>
    <w:rsid w:val="009231A2"/>
    <w:rsid w:val="00923315"/>
    <w:rsid w:val="00923332"/>
    <w:rsid w:val="009234A5"/>
    <w:rsid w:val="009234F0"/>
    <w:rsid w:val="0092354D"/>
    <w:rsid w:val="009235BE"/>
    <w:rsid w:val="00923705"/>
    <w:rsid w:val="00923823"/>
    <w:rsid w:val="00923922"/>
    <w:rsid w:val="009239B7"/>
    <w:rsid w:val="009239F0"/>
    <w:rsid w:val="00923C96"/>
    <w:rsid w:val="00923D31"/>
    <w:rsid w:val="00923E9A"/>
    <w:rsid w:val="00923EDF"/>
    <w:rsid w:val="0092416D"/>
    <w:rsid w:val="00924585"/>
    <w:rsid w:val="009248AA"/>
    <w:rsid w:val="00924988"/>
    <w:rsid w:val="00924AD8"/>
    <w:rsid w:val="00924B12"/>
    <w:rsid w:val="00924C48"/>
    <w:rsid w:val="00924C83"/>
    <w:rsid w:val="00924DC5"/>
    <w:rsid w:val="00924DFF"/>
    <w:rsid w:val="00924E59"/>
    <w:rsid w:val="00924EE6"/>
    <w:rsid w:val="00924F65"/>
    <w:rsid w:val="0092504D"/>
    <w:rsid w:val="009252F3"/>
    <w:rsid w:val="0092557C"/>
    <w:rsid w:val="009255C3"/>
    <w:rsid w:val="0092576F"/>
    <w:rsid w:val="009257C3"/>
    <w:rsid w:val="00925815"/>
    <w:rsid w:val="009258C8"/>
    <w:rsid w:val="009258CA"/>
    <w:rsid w:val="00925CB3"/>
    <w:rsid w:val="00925D0D"/>
    <w:rsid w:val="00925E89"/>
    <w:rsid w:val="00925E8A"/>
    <w:rsid w:val="009260C0"/>
    <w:rsid w:val="0092615A"/>
    <w:rsid w:val="009263B4"/>
    <w:rsid w:val="00926484"/>
    <w:rsid w:val="0092658C"/>
    <w:rsid w:val="00926625"/>
    <w:rsid w:val="009266A9"/>
    <w:rsid w:val="0092677D"/>
    <w:rsid w:val="0092689F"/>
    <w:rsid w:val="00926ABC"/>
    <w:rsid w:val="00926C70"/>
    <w:rsid w:val="00926DD9"/>
    <w:rsid w:val="00926EFE"/>
    <w:rsid w:val="00926F67"/>
    <w:rsid w:val="00926FE3"/>
    <w:rsid w:val="00927212"/>
    <w:rsid w:val="00927304"/>
    <w:rsid w:val="00927315"/>
    <w:rsid w:val="0092734E"/>
    <w:rsid w:val="009273F1"/>
    <w:rsid w:val="0092765E"/>
    <w:rsid w:val="009276AF"/>
    <w:rsid w:val="00927891"/>
    <w:rsid w:val="009278DE"/>
    <w:rsid w:val="0092798E"/>
    <w:rsid w:val="00927D3A"/>
    <w:rsid w:val="00927D75"/>
    <w:rsid w:val="00927DF6"/>
    <w:rsid w:val="0093002A"/>
    <w:rsid w:val="009300D4"/>
    <w:rsid w:val="00930128"/>
    <w:rsid w:val="0093025A"/>
    <w:rsid w:val="00930264"/>
    <w:rsid w:val="009304B1"/>
    <w:rsid w:val="009305D5"/>
    <w:rsid w:val="0093068A"/>
    <w:rsid w:val="009309CA"/>
    <w:rsid w:val="00930A97"/>
    <w:rsid w:val="00930CBF"/>
    <w:rsid w:val="00930D7C"/>
    <w:rsid w:val="00931018"/>
    <w:rsid w:val="0093106B"/>
    <w:rsid w:val="00931099"/>
    <w:rsid w:val="00931139"/>
    <w:rsid w:val="0093121F"/>
    <w:rsid w:val="00931247"/>
    <w:rsid w:val="009312F5"/>
    <w:rsid w:val="0093188F"/>
    <w:rsid w:val="009318DB"/>
    <w:rsid w:val="00931934"/>
    <w:rsid w:val="00931B1D"/>
    <w:rsid w:val="00931BB0"/>
    <w:rsid w:val="00931D52"/>
    <w:rsid w:val="00931DA6"/>
    <w:rsid w:val="00931E13"/>
    <w:rsid w:val="00931E1B"/>
    <w:rsid w:val="00931ED3"/>
    <w:rsid w:val="0093202B"/>
    <w:rsid w:val="00932108"/>
    <w:rsid w:val="0093210C"/>
    <w:rsid w:val="00932160"/>
    <w:rsid w:val="009321A7"/>
    <w:rsid w:val="009321EA"/>
    <w:rsid w:val="009323CC"/>
    <w:rsid w:val="009323F6"/>
    <w:rsid w:val="00932666"/>
    <w:rsid w:val="009326A0"/>
    <w:rsid w:val="0093278E"/>
    <w:rsid w:val="00932804"/>
    <w:rsid w:val="00932930"/>
    <w:rsid w:val="00932B0B"/>
    <w:rsid w:val="00932B1C"/>
    <w:rsid w:val="00932B24"/>
    <w:rsid w:val="00932BD2"/>
    <w:rsid w:val="00932C49"/>
    <w:rsid w:val="00932DE4"/>
    <w:rsid w:val="00932E8C"/>
    <w:rsid w:val="0093304C"/>
    <w:rsid w:val="0093310C"/>
    <w:rsid w:val="00933183"/>
    <w:rsid w:val="009331FF"/>
    <w:rsid w:val="00933261"/>
    <w:rsid w:val="0093337B"/>
    <w:rsid w:val="0093354D"/>
    <w:rsid w:val="009335E3"/>
    <w:rsid w:val="00933821"/>
    <w:rsid w:val="00933845"/>
    <w:rsid w:val="00933B13"/>
    <w:rsid w:val="00933BAB"/>
    <w:rsid w:val="00933D6A"/>
    <w:rsid w:val="00933DC3"/>
    <w:rsid w:val="00933FD8"/>
    <w:rsid w:val="00934184"/>
    <w:rsid w:val="0093419A"/>
    <w:rsid w:val="009342DE"/>
    <w:rsid w:val="00934523"/>
    <w:rsid w:val="0093478D"/>
    <w:rsid w:val="00934869"/>
    <w:rsid w:val="009348F9"/>
    <w:rsid w:val="00934A20"/>
    <w:rsid w:val="00934BA3"/>
    <w:rsid w:val="00934BAC"/>
    <w:rsid w:val="00934C3C"/>
    <w:rsid w:val="00934DB8"/>
    <w:rsid w:val="00934DDC"/>
    <w:rsid w:val="00934F27"/>
    <w:rsid w:val="009353B1"/>
    <w:rsid w:val="00935480"/>
    <w:rsid w:val="009354CC"/>
    <w:rsid w:val="009354D1"/>
    <w:rsid w:val="0093558B"/>
    <w:rsid w:val="009359ED"/>
    <w:rsid w:val="00935B4B"/>
    <w:rsid w:val="00935B4D"/>
    <w:rsid w:val="00935D75"/>
    <w:rsid w:val="00935E2F"/>
    <w:rsid w:val="00935E83"/>
    <w:rsid w:val="00935F34"/>
    <w:rsid w:val="00935FA9"/>
    <w:rsid w:val="00935FAE"/>
    <w:rsid w:val="0093605C"/>
    <w:rsid w:val="00936145"/>
    <w:rsid w:val="009362FC"/>
    <w:rsid w:val="00936707"/>
    <w:rsid w:val="00936807"/>
    <w:rsid w:val="00936956"/>
    <w:rsid w:val="00936B34"/>
    <w:rsid w:val="00936C64"/>
    <w:rsid w:val="00936D01"/>
    <w:rsid w:val="00936D58"/>
    <w:rsid w:val="00936F0A"/>
    <w:rsid w:val="00936F5A"/>
    <w:rsid w:val="00936F67"/>
    <w:rsid w:val="00937021"/>
    <w:rsid w:val="009370A0"/>
    <w:rsid w:val="009370BA"/>
    <w:rsid w:val="0093717A"/>
    <w:rsid w:val="00937228"/>
    <w:rsid w:val="009373A9"/>
    <w:rsid w:val="00937429"/>
    <w:rsid w:val="00937467"/>
    <w:rsid w:val="009374AE"/>
    <w:rsid w:val="0093754E"/>
    <w:rsid w:val="0093767B"/>
    <w:rsid w:val="009376D9"/>
    <w:rsid w:val="009377BB"/>
    <w:rsid w:val="0093792D"/>
    <w:rsid w:val="009379BE"/>
    <w:rsid w:val="00937B8E"/>
    <w:rsid w:val="00937E8F"/>
    <w:rsid w:val="00940051"/>
    <w:rsid w:val="0094027E"/>
    <w:rsid w:val="0094034D"/>
    <w:rsid w:val="00940491"/>
    <w:rsid w:val="009406B9"/>
    <w:rsid w:val="009408FE"/>
    <w:rsid w:val="00940959"/>
    <w:rsid w:val="00940A32"/>
    <w:rsid w:val="00940ABC"/>
    <w:rsid w:val="00940BA7"/>
    <w:rsid w:val="00940F26"/>
    <w:rsid w:val="00940FC6"/>
    <w:rsid w:val="009410E8"/>
    <w:rsid w:val="0094117D"/>
    <w:rsid w:val="00941194"/>
    <w:rsid w:val="009411D0"/>
    <w:rsid w:val="009411ED"/>
    <w:rsid w:val="009411EF"/>
    <w:rsid w:val="0094133E"/>
    <w:rsid w:val="00941468"/>
    <w:rsid w:val="009414F9"/>
    <w:rsid w:val="00941587"/>
    <w:rsid w:val="00941684"/>
    <w:rsid w:val="009417C2"/>
    <w:rsid w:val="009417CB"/>
    <w:rsid w:val="00941818"/>
    <w:rsid w:val="009418FC"/>
    <w:rsid w:val="0094197C"/>
    <w:rsid w:val="0094198A"/>
    <w:rsid w:val="00941A69"/>
    <w:rsid w:val="00941ADF"/>
    <w:rsid w:val="00941C95"/>
    <w:rsid w:val="00942168"/>
    <w:rsid w:val="009422BC"/>
    <w:rsid w:val="009423EE"/>
    <w:rsid w:val="00942434"/>
    <w:rsid w:val="00942650"/>
    <w:rsid w:val="00942975"/>
    <w:rsid w:val="00942B9B"/>
    <w:rsid w:val="00942C36"/>
    <w:rsid w:val="00942D92"/>
    <w:rsid w:val="00942DC5"/>
    <w:rsid w:val="00943212"/>
    <w:rsid w:val="00943263"/>
    <w:rsid w:val="009432E4"/>
    <w:rsid w:val="009433A3"/>
    <w:rsid w:val="0094340D"/>
    <w:rsid w:val="009435E3"/>
    <w:rsid w:val="00943869"/>
    <w:rsid w:val="009438F0"/>
    <w:rsid w:val="00943A1D"/>
    <w:rsid w:val="00943A87"/>
    <w:rsid w:val="00943E1F"/>
    <w:rsid w:val="00943FCE"/>
    <w:rsid w:val="00943FEA"/>
    <w:rsid w:val="0094400E"/>
    <w:rsid w:val="009440EC"/>
    <w:rsid w:val="00944195"/>
    <w:rsid w:val="009442D8"/>
    <w:rsid w:val="00944522"/>
    <w:rsid w:val="009445D6"/>
    <w:rsid w:val="009446C8"/>
    <w:rsid w:val="009446D6"/>
    <w:rsid w:val="0094483A"/>
    <w:rsid w:val="009448F7"/>
    <w:rsid w:val="0094491B"/>
    <w:rsid w:val="00944C14"/>
    <w:rsid w:val="00944D1D"/>
    <w:rsid w:val="00944DB6"/>
    <w:rsid w:val="00945042"/>
    <w:rsid w:val="009450E3"/>
    <w:rsid w:val="0094518C"/>
    <w:rsid w:val="0094519C"/>
    <w:rsid w:val="009453CC"/>
    <w:rsid w:val="00945413"/>
    <w:rsid w:val="00945472"/>
    <w:rsid w:val="00945481"/>
    <w:rsid w:val="00945510"/>
    <w:rsid w:val="00945671"/>
    <w:rsid w:val="0094576F"/>
    <w:rsid w:val="00945970"/>
    <w:rsid w:val="00945C80"/>
    <w:rsid w:val="00945D8F"/>
    <w:rsid w:val="00945DDE"/>
    <w:rsid w:val="00945ED1"/>
    <w:rsid w:val="00946038"/>
    <w:rsid w:val="0094608C"/>
    <w:rsid w:val="00946150"/>
    <w:rsid w:val="0094630D"/>
    <w:rsid w:val="00946499"/>
    <w:rsid w:val="00946552"/>
    <w:rsid w:val="009467A7"/>
    <w:rsid w:val="009467AC"/>
    <w:rsid w:val="0094698F"/>
    <w:rsid w:val="00946AA5"/>
    <w:rsid w:val="00946C12"/>
    <w:rsid w:val="00946CB7"/>
    <w:rsid w:val="00946DCE"/>
    <w:rsid w:val="00946E33"/>
    <w:rsid w:val="00946EA1"/>
    <w:rsid w:val="00947141"/>
    <w:rsid w:val="009473D1"/>
    <w:rsid w:val="009474A4"/>
    <w:rsid w:val="0094760C"/>
    <w:rsid w:val="0094770E"/>
    <w:rsid w:val="00947B9F"/>
    <w:rsid w:val="00947C3A"/>
    <w:rsid w:val="00947E0A"/>
    <w:rsid w:val="00947F0D"/>
    <w:rsid w:val="00947F92"/>
    <w:rsid w:val="0095009B"/>
    <w:rsid w:val="009501D5"/>
    <w:rsid w:val="00950240"/>
    <w:rsid w:val="009504C4"/>
    <w:rsid w:val="00950597"/>
    <w:rsid w:val="009506BD"/>
    <w:rsid w:val="0095086A"/>
    <w:rsid w:val="009508FF"/>
    <w:rsid w:val="00950943"/>
    <w:rsid w:val="00950967"/>
    <w:rsid w:val="0095098A"/>
    <w:rsid w:val="00950D7F"/>
    <w:rsid w:val="00950D94"/>
    <w:rsid w:val="00951041"/>
    <w:rsid w:val="0095109A"/>
    <w:rsid w:val="009510B1"/>
    <w:rsid w:val="00951293"/>
    <w:rsid w:val="00951452"/>
    <w:rsid w:val="009514BD"/>
    <w:rsid w:val="00951614"/>
    <w:rsid w:val="00951678"/>
    <w:rsid w:val="00951822"/>
    <w:rsid w:val="009518B8"/>
    <w:rsid w:val="00951B6D"/>
    <w:rsid w:val="00951E68"/>
    <w:rsid w:val="00952039"/>
    <w:rsid w:val="009521B4"/>
    <w:rsid w:val="00952393"/>
    <w:rsid w:val="009526E3"/>
    <w:rsid w:val="00952A31"/>
    <w:rsid w:val="00952BBC"/>
    <w:rsid w:val="00952D2D"/>
    <w:rsid w:val="00952D84"/>
    <w:rsid w:val="00952DD2"/>
    <w:rsid w:val="00952EAF"/>
    <w:rsid w:val="00952FFC"/>
    <w:rsid w:val="00953121"/>
    <w:rsid w:val="009532A4"/>
    <w:rsid w:val="009534A0"/>
    <w:rsid w:val="009535B2"/>
    <w:rsid w:val="0095374B"/>
    <w:rsid w:val="0095395E"/>
    <w:rsid w:val="009539D4"/>
    <w:rsid w:val="009539F3"/>
    <w:rsid w:val="00953BB4"/>
    <w:rsid w:val="00953C55"/>
    <w:rsid w:val="00953D43"/>
    <w:rsid w:val="00953E3C"/>
    <w:rsid w:val="00953E7A"/>
    <w:rsid w:val="00953EA9"/>
    <w:rsid w:val="00953F34"/>
    <w:rsid w:val="00954039"/>
    <w:rsid w:val="0095408E"/>
    <w:rsid w:val="0095412F"/>
    <w:rsid w:val="009542DD"/>
    <w:rsid w:val="009543FB"/>
    <w:rsid w:val="009544C8"/>
    <w:rsid w:val="0095458F"/>
    <w:rsid w:val="00954679"/>
    <w:rsid w:val="009546D0"/>
    <w:rsid w:val="0095477E"/>
    <w:rsid w:val="00954936"/>
    <w:rsid w:val="009549B9"/>
    <w:rsid w:val="00954D16"/>
    <w:rsid w:val="00954F54"/>
    <w:rsid w:val="00955410"/>
    <w:rsid w:val="00955448"/>
    <w:rsid w:val="0095577E"/>
    <w:rsid w:val="009557EC"/>
    <w:rsid w:val="00955851"/>
    <w:rsid w:val="0095588E"/>
    <w:rsid w:val="00955A0D"/>
    <w:rsid w:val="00955AE7"/>
    <w:rsid w:val="00955B05"/>
    <w:rsid w:val="00955B4D"/>
    <w:rsid w:val="00955F6F"/>
    <w:rsid w:val="00955FEC"/>
    <w:rsid w:val="009560DC"/>
    <w:rsid w:val="00956272"/>
    <w:rsid w:val="00956358"/>
    <w:rsid w:val="0095638F"/>
    <w:rsid w:val="009564F3"/>
    <w:rsid w:val="009565B4"/>
    <w:rsid w:val="009565E3"/>
    <w:rsid w:val="0095676C"/>
    <w:rsid w:val="0095679E"/>
    <w:rsid w:val="00956828"/>
    <w:rsid w:val="00956A21"/>
    <w:rsid w:val="00956B9D"/>
    <w:rsid w:val="00956E74"/>
    <w:rsid w:val="0095714E"/>
    <w:rsid w:val="009574F2"/>
    <w:rsid w:val="009575D7"/>
    <w:rsid w:val="009576F0"/>
    <w:rsid w:val="0095788F"/>
    <w:rsid w:val="009578C1"/>
    <w:rsid w:val="009578D2"/>
    <w:rsid w:val="00957C07"/>
    <w:rsid w:val="00957E1D"/>
    <w:rsid w:val="00960034"/>
    <w:rsid w:val="00960285"/>
    <w:rsid w:val="009602D0"/>
    <w:rsid w:val="0096038E"/>
    <w:rsid w:val="00960466"/>
    <w:rsid w:val="009604CB"/>
    <w:rsid w:val="009608E6"/>
    <w:rsid w:val="00960937"/>
    <w:rsid w:val="00960A02"/>
    <w:rsid w:val="00960AE2"/>
    <w:rsid w:val="00960B5E"/>
    <w:rsid w:val="00960B7A"/>
    <w:rsid w:val="00960C92"/>
    <w:rsid w:val="00960CE4"/>
    <w:rsid w:val="00960E35"/>
    <w:rsid w:val="00960ECA"/>
    <w:rsid w:val="00960FAF"/>
    <w:rsid w:val="0096109B"/>
    <w:rsid w:val="00961177"/>
    <w:rsid w:val="00961376"/>
    <w:rsid w:val="009613DB"/>
    <w:rsid w:val="00961488"/>
    <w:rsid w:val="0096156F"/>
    <w:rsid w:val="009615F5"/>
    <w:rsid w:val="009618B6"/>
    <w:rsid w:val="009618C9"/>
    <w:rsid w:val="009619D7"/>
    <w:rsid w:val="00961B4A"/>
    <w:rsid w:val="00961BD1"/>
    <w:rsid w:val="00961D42"/>
    <w:rsid w:val="00961ED3"/>
    <w:rsid w:val="00962405"/>
    <w:rsid w:val="009624EE"/>
    <w:rsid w:val="00962660"/>
    <w:rsid w:val="00962745"/>
    <w:rsid w:val="00962768"/>
    <w:rsid w:val="00962899"/>
    <w:rsid w:val="00962B05"/>
    <w:rsid w:val="00962B5C"/>
    <w:rsid w:val="00962BB7"/>
    <w:rsid w:val="00962C7C"/>
    <w:rsid w:val="00962F6D"/>
    <w:rsid w:val="00962FA6"/>
    <w:rsid w:val="0096302D"/>
    <w:rsid w:val="0096322A"/>
    <w:rsid w:val="00963330"/>
    <w:rsid w:val="009633C3"/>
    <w:rsid w:val="00963421"/>
    <w:rsid w:val="009634B0"/>
    <w:rsid w:val="0096357A"/>
    <w:rsid w:val="0096357B"/>
    <w:rsid w:val="009635BF"/>
    <w:rsid w:val="009638FC"/>
    <w:rsid w:val="00963AE4"/>
    <w:rsid w:val="00963B14"/>
    <w:rsid w:val="00963BC4"/>
    <w:rsid w:val="00963C98"/>
    <w:rsid w:val="00963CC8"/>
    <w:rsid w:val="00963CCE"/>
    <w:rsid w:val="00963D5E"/>
    <w:rsid w:val="00963DB7"/>
    <w:rsid w:val="00963E6D"/>
    <w:rsid w:val="00963E6E"/>
    <w:rsid w:val="00963F9F"/>
    <w:rsid w:val="00964060"/>
    <w:rsid w:val="00964065"/>
    <w:rsid w:val="0096413D"/>
    <w:rsid w:val="009641CB"/>
    <w:rsid w:val="009644FC"/>
    <w:rsid w:val="009647D6"/>
    <w:rsid w:val="0096487E"/>
    <w:rsid w:val="00964918"/>
    <w:rsid w:val="0096497B"/>
    <w:rsid w:val="009649D7"/>
    <w:rsid w:val="00964C9E"/>
    <w:rsid w:val="00964D21"/>
    <w:rsid w:val="00964D6D"/>
    <w:rsid w:val="00964DEC"/>
    <w:rsid w:val="00965036"/>
    <w:rsid w:val="0096508B"/>
    <w:rsid w:val="00965518"/>
    <w:rsid w:val="0096574B"/>
    <w:rsid w:val="009658F2"/>
    <w:rsid w:val="009659AA"/>
    <w:rsid w:val="009659B4"/>
    <w:rsid w:val="00965FA7"/>
    <w:rsid w:val="00966167"/>
    <w:rsid w:val="0096626C"/>
    <w:rsid w:val="0096635C"/>
    <w:rsid w:val="0096654A"/>
    <w:rsid w:val="00966566"/>
    <w:rsid w:val="0096657D"/>
    <w:rsid w:val="00966696"/>
    <w:rsid w:val="0096698E"/>
    <w:rsid w:val="00966A05"/>
    <w:rsid w:val="00966C5A"/>
    <w:rsid w:val="00966C7D"/>
    <w:rsid w:val="00966CFA"/>
    <w:rsid w:val="00966D25"/>
    <w:rsid w:val="00966D87"/>
    <w:rsid w:val="00966D91"/>
    <w:rsid w:val="00966DC7"/>
    <w:rsid w:val="00966F47"/>
    <w:rsid w:val="00966F98"/>
    <w:rsid w:val="00967102"/>
    <w:rsid w:val="00967270"/>
    <w:rsid w:val="009674E6"/>
    <w:rsid w:val="009674EC"/>
    <w:rsid w:val="00967563"/>
    <w:rsid w:val="00967711"/>
    <w:rsid w:val="00967914"/>
    <w:rsid w:val="009679EE"/>
    <w:rsid w:val="009679F8"/>
    <w:rsid w:val="00967B02"/>
    <w:rsid w:val="00967B1B"/>
    <w:rsid w:val="00967DCF"/>
    <w:rsid w:val="00967EDE"/>
    <w:rsid w:val="00967F7C"/>
    <w:rsid w:val="0097008E"/>
    <w:rsid w:val="009700AE"/>
    <w:rsid w:val="0097017B"/>
    <w:rsid w:val="00970224"/>
    <w:rsid w:val="0097025B"/>
    <w:rsid w:val="009703C3"/>
    <w:rsid w:val="0097040B"/>
    <w:rsid w:val="0097042D"/>
    <w:rsid w:val="009707F0"/>
    <w:rsid w:val="0097092A"/>
    <w:rsid w:val="009709FB"/>
    <w:rsid w:val="009709FE"/>
    <w:rsid w:val="00970BE8"/>
    <w:rsid w:val="00970C6E"/>
    <w:rsid w:val="00970CD1"/>
    <w:rsid w:val="00970DBA"/>
    <w:rsid w:val="00970E5A"/>
    <w:rsid w:val="00970F49"/>
    <w:rsid w:val="00970F63"/>
    <w:rsid w:val="0097102D"/>
    <w:rsid w:val="00971123"/>
    <w:rsid w:val="009714FB"/>
    <w:rsid w:val="00971615"/>
    <w:rsid w:val="00971662"/>
    <w:rsid w:val="009717F5"/>
    <w:rsid w:val="00971909"/>
    <w:rsid w:val="00971914"/>
    <w:rsid w:val="00971A80"/>
    <w:rsid w:val="00971B4A"/>
    <w:rsid w:val="00971EC0"/>
    <w:rsid w:val="00971EE5"/>
    <w:rsid w:val="00971FF5"/>
    <w:rsid w:val="0097206D"/>
    <w:rsid w:val="009720CE"/>
    <w:rsid w:val="0097210F"/>
    <w:rsid w:val="00972117"/>
    <w:rsid w:val="0097219F"/>
    <w:rsid w:val="009721FC"/>
    <w:rsid w:val="00972780"/>
    <w:rsid w:val="009727FE"/>
    <w:rsid w:val="0097293E"/>
    <w:rsid w:val="009729B4"/>
    <w:rsid w:val="00972BED"/>
    <w:rsid w:val="00972C6A"/>
    <w:rsid w:val="00972D96"/>
    <w:rsid w:val="0097333B"/>
    <w:rsid w:val="00973709"/>
    <w:rsid w:val="00973787"/>
    <w:rsid w:val="009737D4"/>
    <w:rsid w:val="0097385B"/>
    <w:rsid w:val="00973904"/>
    <w:rsid w:val="00973A7F"/>
    <w:rsid w:val="00973B38"/>
    <w:rsid w:val="00973E76"/>
    <w:rsid w:val="00973F83"/>
    <w:rsid w:val="00973FDE"/>
    <w:rsid w:val="00973FE4"/>
    <w:rsid w:val="00974078"/>
    <w:rsid w:val="009740A5"/>
    <w:rsid w:val="009740D3"/>
    <w:rsid w:val="009741B4"/>
    <w:rsid w:val="00974235"/>
    <w:rsid w:val="009743AB"/>
    <w:rsid w:val="00974439"/>
    <w:rsid w:val="009745D5"/>
    <w:rsid w:val="00974716"/>
    <w:rsid w:val="009747C8"/>
    <w:rsid w:val="00974F31"/>
    <w:rsid w:val="00974FBC"/>
    <w:rsid w:val="0097507C"/>
    <w:rsid w:val="00975280"/>
    <w:rsid w:val="009752B9"/>
    <w:rsid w:val="00975519"/>
    <w:rsid w:val="0097552E"/>
    <w:rsid w:val="009755CA"/>
    <w:rsid w:val="009756D7"/>
    <w:rsid w:val="0097584C"/>
    <w:rsid w:val="00975B47"/>
    <w:rsid w:val="00975E26"/>
    <w:rsid w:val="009761A3"/>
    <w:rsid w:val="0097639F"/>
    <w:rsid w:val="0097655F"/>
    <w:rsid w:val="009766AF"/>
    <w:rsid w:val="009767F6"/>
    <w:rsid w:val="0097688E"/>
    <w:rsid w:val="009768A7"/>
    <w:rsid w:val="009768BC"/>
    <w:rsid w:val="009769DE"/>
    <w:rsid w:val="00976C19"/>
    <w:rsid w:val="00976C25"/>
    <w:rsid w:val="00976D22"/>
    <w:rsid w:val="00976EA1"/>
    <w:rsid w:val="00977117"/>
    <w:rsid w:val="0097740E"/>
    <w:rsid w:val="00977447"/>
    <w:rsid w:val="00977714"/>
    <w:rsid w:val="00977895"/>
    <w:rsid w:val="00977AAF"/>
    <w:rsid w:val="00977B03"/>
    <w:rsid w:val="00977C76"/>
    <w:rsid w:val="00977D87"/>
    <w:rsid w:val="00977EEC"/>
    <w:rsid w:val="00977EF1"/>
    <w:rsid w:val="00977F96"/>
    <w:rsid w:val="00980050"/>
    <w:rsid w:val="00980186"/>
    <w:rsid w:val="00980414"/>
    <w:rsid w:val="00980430"/>
    <w:rsid w:val="00980480"/>
    <w:rsid w:val="00980A30"/>
    <w:rsid w:val="00980A42"/>
    <w:rsid w:val="00980B5E"/>
    <w:rsid w:val="00980C1B"/>
    <w:rsid w:val="00980CEF"/>
    <w:rsid w:val="00980D49"/>
    <w:rsid w:val="00980DD3"/>
    <w:rsid w:val="00980F14"/>
    <w:rsid w:val="00980F7F"/>
    <w:rsid w:val="009812B6"/>
    <w:rsid w:val="009812D3"/>
    <w:rsid w:val="00981323"/>
    <w:rsid w:val="009813AC"/>
    <w:rsid w:val="00981577"/>
    <w:rsid w:val="0098196F"/>
    <w:rsid w:val="00981A50"/>
    <w:rsid w:val="00981B19"/>
    <w:rsid w:val="00981B3C"/>
    <w:rsid w:val="00981C30"/>
    <w:rsid w:val="00981D6D"/>
    <w:rsid w:val="00981E5A"/>
    <w:rsid w:val="00981F62"/>
    <w:rsid w:val="00982004"/>
    <w:rsid w:val="009820ED"/>
    <w:rsid w:val="0098213D"/>
    <w:rsid w:val="0098213E"/>
    <w:rsid w:val="009821BA"/>
    <w:rsid w:val="0098252A"/>
    <w:rsid w:val="0098256B"/>
    <w:rsid w:val="009825BA"/>
    <w:rsid w:val="0098287F"/>
    <w:rsid w:val="009828FF"/>
    <w:rsid w:val="00982B1C"/>
    <w:rsid w:val="00982DD8"/>
    <w:rsid w:val="00982F8D"/>
    <w:rsid w:val="00982FE1"/>
    <w:rsid w:val="009832D8"/>
    <w:rsid w:val="009834BF"/>
    <w:rsid w:val="009836F0"/>
    <w:rsid w:val="0098375F"/>
    <w:rsid w:val="009837E8"/>
    <w:rsid w:val="00983840"/>
    <w:rsid w:val="00983854"/>
    <w:rsid w:val="00983938"/>
    <w:rsid w:val="00983B02"/>
    <w:rsid w:val="00983C37"/>
    <w:rsid w:val="00983E3A"/>
    <w:rsid w:val="00983E90"/>
    <w:rsid w:val="00983F5A"/>
    <w:rsid w:val="009841FA"/>
    <w:rsid w:val="00984273"/>
    <w:rsid w:val="00984284"/>
    <w:rsid w:val="009842AD"/>
    <w:rsid w:val="00984461"/>
    <w:rsid w:val="009844ED"/>
    <w:rsid w:val="00984578"/>
    <w:rsid w:val="009846D4"/>
    <w:rsid w:val="00984719"/>
    <w:rsid w:val="009847A7"/>
    <w:rsid w:val="00984A22"/>
    <w:rsid w:val="00984AA2"/>
    <w:rsid w:val="00984CF2"/>
    <w:rsid w:val="00984ED6"/>
    <w:rsid w:val="0098507C"/>
    <w:rsid w:val="009850A8"/>
    <w:rsid w:val="009851A5"/>
    <w:rsid w:val="0098528F"/>
    <w:rsid w:val="0098575B"/>
    <w:rsid w:val="0098579C"/>
    <w:rsid w:val="00985C8A"/>
    <w:rsid w:val="00985D0E"/>
    <w:rsid w:val="00985E85"/>
    <w:rsid w:val="00985ED8"/>
    <w:rsid w:val="00985EFB"/>
    <w:rsid w:val="00986139"/>
    <w:rsid w:val="00986212"/>
    <w:rsid w:val="00986303"/>
    <w:rsid w:val="00986465"/>
    <w:rsid w:val="0098657A"/>
    <w:rsid w:val="00986660"/>
    <w:rsid w:val="0098673E"/>
    <w:rsid w:val="00986771"/>
    <w:rsid w:val="009867B2"/>
    <w:rsid w:val="00986875"/>
    <w:rsid w:val="00986A17"/>
    <w:rsid w:val="00986B38"/>
    <w:rsid w:val="00986CEC"/>
    <w:rsid w:val="00986D66"/>
    <w:rsid w:val="00986DAA"/>
    <w:rsid w:val="00986DD2"/>
    <w:rsid w:val="00986FA3"/>
    <w:rsid w:val="00987018"/>
    <w:rsid w:val="009870DD"/>
    <w:rsid w:val="0098720F"/>
    <w:rsid w:val="0098724E"/>
    <w:rsid w:val="00987282"/>
    <w:rsid w:val="00987308"/>
    <w:rsid w:val="0098735D"/>
    <w:rsid w:val="009874B8"/>
    <w:rsid w:val="009876C8"/>
    <w:rsid w:val="0098787C"/>
    <w:rsid w:val="00987B2F"/>
    <w:rsid w:val="0098979C"/>
    <w:rsid w:val="009902C7"/>
    <w:rsid w:val="00990369"/>
    <w:rsid w:val="0099075B"/>
    <w:rsid w:val="00990958"/>
    <w:rsid w:val="00990995"/>
    <w:rsid w:val="00990ACD"/>
    <w:rsid w:val="00990C2A"/>
    <w:rsid w:val="00990C97"/>
    <w:rsid w:val="00990CB8"/>
    <w:rsid w:val="00990D00"/>
    <w:rsid w:val="00990D36"/>
    <w:rsid w:val="00990D4C"/>
    <w:rsid w:val="00990D5E"/>
    <w:rsid w:val="00990FF9"/>
    <w:rsid w:val="009910B2"/>
    <w:rsid w:val="0099118D"/>
    <w:rsid w:val="00991322"/>
    <w:rsid w:val="009913A1"/>
    <w:rsid w:val="009913A8"/>
    <w:rsid w:val="009914B7"/>
    <w:rsid w:val="009914C8"/>
    <w:rsid w:val="009915B4"/>
    <w:rsid w:val="0099186A"/>
    <w:rsid w:val="0099188F"/>
    <w:rsid w:val="009918B6"/>
    <w:rsid w:val="00991986"/>
    <w:rsid w:val="009919A6"/>
    <w:rsid w:val="00991AB3"/>
    <w:rsid w:val="00991AB9"/>
    <w:rsid w:val="00991B47"/>
    <w:rsid w:val="00991E4B"/>
    <w:rsid w:val="00992025"/>
    <w:rsid w:val="009920E0"/>
    <w:rsid w:val="009921CB"/>
    <w:rsid w:val="00992599"/>
    <w:rsid w:val="00992611"/>
    <w:rsid w:val="0099273F"/>
    <w:rsid w:val="0099290F"/>
    <w:rsid w:val="00992B3F"/>
    <w:rsid w:val="00992C91"/>
    <w:rsid w:val="00992F54"/>
    <w:rsid w:val="0099304B"/>
    <w:rsid w:val="0099312A"/>
    <w:rsid w:val="009931DF"/>
    <w:rsid w:val="00993532"/>
    <w:rsid w:val="009938F8"/>
    <w:rsid w:val="00993AD6"/>
    <w:rsid w:val="00993B95"/>
    <w:rsid w:val="00993BC0"/>
    <w:rsid w:val="00993CC8"/>
    <w:rsid w:val="00993D1C"/>
    <w:rsid w:val="00993D26"/>
    <w:rsid w:val="00993DD0"/>
    <w:rsid w:val="00993DFE"/>
    <w:rsid w:val="00993F0C"/>
    <w:rsid w:val="00993F78"/>
    <w:rsid w:val="00993F91"/>
    <w:rsid w:val="00994044"/>
    <w:rsid w:val="00994175"/>
    <w:rsid w:val="00994181"/>
    <w:rsid w:val="0099423A"/>
    <w:rsid w:val="00994269"/>
    <w:rsid w:val="009943C2"/>
    <w:rsid w:val="009944AA"/>
    <w:rsid w:val="0099499F"/>
    <w:rsid w:val="009949C4"/>
    <w:rsid w:val="00994AE9"/>
    <w:rsid w:val="00994B91"/>
    <w:rsid w:val="00994D93"/>
    <w:rsid w:val="00994DD6"/>
    <w:rsid w:val="00994EB1"/>
    <w:rsid w:val="0099501C"/>
    <w:rsid w:val="0099516A"/>
    <w:rsid w:val="009953E5"/>
    <w:rsid w:val="00995491"/>
    <w:rsid w:val="00995654"/>
    <w:rsid w:val="0099580B"/>
    <w:rsid w:val="0099593B"/>
    <w:rsid w:val="00995970"/>
    <w:rsid w:val="00995BC0"/>
    <w:rsid w:val="00995DA4"/>
    <w:rsid w:val="00995E8E"/>
    <w:rsid w:val="00995F28"/>
    <w:rsid w:val="00995F87"/>
    <w:rsid w:val="0099608E"/>
    <w:rsid w:val="00996210"/>
    <w:rsid w:val="0099624E"/>
    <w:rsid w:val="00996397"/>
    <w:rsid w:val="009963E7"/>
    <w:rsid w:val="00996416"/>
    <w:rsid w:val="009965B8"/>
    <w:rsid w:val="00996870"/>
    <w:rsid w:val="00996892"/>
    <w:rsid w:val="00996897"/>
    <w:rsid w:val="009968B8"/>
    <w:rsid w:val="00996AC5"/>
    <w:rsid w:val="00996BDA"/>
    <w:rsid w:val="00996BF1"/>
    <w:rsid w:val="00996E69"/>
    <w:rsid w:val="00996E9E"/>
    <w:rsid w:val="00996EB5"/>
    <w:rsid w:val="009970F2"/>
    <w:rsid w:val="0099714B"/>
    <w:rsid w:val="00997267"/>
    <w:rsid w:val="00997273"/>
    <w:rsid w:val="00997309"/>
    <w:rsid w:val="00997528"/>
    <w:rsid w:val="00997547"/>
    <w:rsid w:val="009976B0"/>
    <w:rsid w:val="00997797"/>
    <w:rsid w:val="00997967"/>
    <w:rsid w:val="009979D3"/>
    <w:rsid w:val="00997AF8"/>
    <w:rsid w:val="00997BC1"/>
    <w:rsid w:val="00997BDD"/>
    <w:rsid w:val="00997C50"/>
    <w:rsid w:val="00997CC1"/>
    <w:rsid w:val="00997D4B"/>
    <w:rsid w:val="00997D4D"/>
    <w:rsid w:val="00997E5A"/>
    <w:rsid w:val="00997FD1"/>
    <w:rsid w:val="009A003F"/>
    <w:rsid w:val="009A0073"/>
    <w:rsid w:val="009A00E8"/>
    <w:rsid w:val="009A0180"/>
    <w:rsid w:val="009A041E"/>
    <w:rsid w:val="009A0521"/>
    <w:rsid w:val="009A052B"/>
    <w:rsid w:val="009A0684"/>
    <w:rsid w:val="009A0C01"/>
    <w:rsid w:val="009A0CA0"/>
    <w:rsid w:val="009A0CA4"/>
    <w:rsid w:val="009A0CD7"/>
    <w:rsid w:val="009A0DE1"/>
    <w:rsid w:val="009A0F03"/>
    <w:rsid w:val="009A0FE7"/>
    <w:rsid w:val="009A1134"/>
    <w:rsid w:val="009A1137"/>
    <w:rsid w:val="009A1276"/>
    <w:rsid w:val="009A1298"/>
    <w:rsid w:val="009A13B4"/>
    <w:rsid w:val="009A1428"/>
    <w:rsid w:val="009A1448"/>
    <w:rsid w:val="009A1782"/>
    <w:rsid w:val="009A18F8"/>
    <w:rsid w:val="009A190B"/>
    <w:rsid w:val="009A19AF"/>
    <w:rsid w:val="009A1B01"/>
    <w:rsid w:val="009A1B97"/>
    <w:rsid w:val="009A1D7A"/>
    <w:rsid w:val="009A1F1E"/>
    <w:rsid w:val="009A1FC0"/>
    <w:rsid w:val="009A23AE"/>
    <w:rsid w:val="009A25A6"/>
    <w:rsid w:val="009A2713"/>
    <w:rsid w:val="009A277D"/>
    <w:rsid w:val="009A29E1"/>
    <w:rsid w:val="009A2A49"/>
    <w:rsid w:val="009A2A74"/>
    <w:rsid w:val="009A2A94"/>
    <w:rsid w:val="009A2AF3"/>
    <w:rsid w:val="009A2C53"/>
    <w:rsid w:val="009A2C9A"/>
    <w:rsid w:val="009A2DC3"/>
    <w:rsid w:val="009A301C"/>
    <w:rsid w:val="009A3203"/>
    <w:rsid w:val="009A328E"/>
    <w:rsid w:val="009A32EB"/>
    <w:rsid w:val="009A335D"/>
    <w:rsid w:val="009A33C5"/>
    <w:rsid w:val="009A3572"/>
    <w:rsid w:val="009A35ED"/>
    <w:rsid w:val="009A3620"/>
    <w:rsid w:val="009A36F0"/>
    <w:rsid w:val="009A3765"/>
    <w:rsid w:val="009A3773"/>
    <w:rsid w:val="009A37DC"/>
    <w:rsid w:val="009A3830"/>
    <w:rsid w:val="009A393D"/>
    <w:rsid w:val="009A3A90"/>
    <w:rsid w:val="009A3ACD"/>
    <w:rsid w:val="009A3ADD"/>
    <w:rsid w:val="009A3B30"/>
    <w:rsid w:val="009A3B5A"/>
    <w:rsid w:val="009A3CC2"/>
    <w:rsid w:val="009A3D77"/>
    <w:rsid w:val="009A3E32"/>
    <w:rsid w:val="009A4068"/>
    <w:rsid w:val="009A41B1"/>
    <w:rsid w:val="009A41B5"/>
    <w:rsid w:val="009A4282"/>
    <w:rsid w:val="009A4468"/>
    <w:rsid w:val="009A4692"/>
    <w:rsid w:val="009A47AA"/>
    <w:rsid w:val="009A47C7"/>
    <w:rsid w:val="009A48A1"/>
    <w:rsid w:val="009A49AC"/>
    <w:rsid w:val="009A49E6"/>
    <w:rsid w:val="009A4B0D"/>
    <w:rsid w:val="009A4DD9"/>
    <w:rsid w:val="009A4F23"/>
    <w:rsid w:val="009A4F3C"/>
    <w:rsid w:val="009A4FBF"/>
    <w:rsid w:val="009A517E"/>
    <w:rsid w:val="009A5223"/>
    <w:rsid w:val="009A5245"/>
    <w:rsid w:val="009A53BC"/>
    <w:rsid w:val="009A550D"/>
    <w:rsid w:val="009A5533"/>
    <w:rsid w:val="009A572C"/>
    <w:rsid w:val="009A5783"/>
    <w:rsid w:val="009A57F0"/>
    <w:rsid w:val="009A58EE"/>
    <w:rsid w:val="009A5B1D"/>
    <w:rsid w:val="009A5B85"/>
    <w:rsid w:val="009A5CE0"/>
    <w:rsid w:val="009A5E02"/>
    <w:rsid w:val="009A5E19"/>
    <w:rsid w:val="009A5E40"/>
    <w:rsid w:val="009A6151"/>
    <w:rsid w:val="009A6296"/>
    <w:rsid w:val="009A6321"/>
    <w:rsid w:val="009A672F"/>
    <w:rsid w:val="009A677E"/>
    <w:rsid w:val="009A69CA"/>
    <w:rsid w:val="009A6C8B"/>
    <w:rsid w:val="009A6E48"/>
    <w:rsid w:val="009A6E67"/>
    <w:rsid w:val="009A72D2"/>
    <w:rsid w:val="009A7359"/>
    <w:rsid w:val="009A77CC"/>
    <w:rsid w:val="009A788C"/>
    <w:rsid w:val="009A7936"/>
    <w:rsid w:val="009A7B48"/>
    <w:rsid w:val="009A7B6B"/>
    <w:rsid w:val="009A7CE0"/>
    <w:rsid w:val="009B0267"/>
    <w:rsid w:val="009B0277"/>
    <w:rsid w:val="009B0284"/>
    <w:rsid w:val="009B0285"/>
    <w:rsid w:val="009B02A8"/>
    <w:rsid w:val="009B02EE"/>
    <w:rsid w:val="009B042E"/>
    <w:rsid w:val="009B0482"/>
    <w:rsid w:val="009B0489"/>
    <w:rsid w:val="009B0586"/>
    <w:rsid w:val="009B05A5"/>
    <w:rsid w:val="009B05C7"/>
    <w:rsid w:val="009B060D"/>
    <w:rsid w:val="009B06C1"/>
    <w:rsid w:val="009B07D2"/>
    <w:rsid w:val="009B0961"/>
    <w:rsid w:val="009B09AF"/>
    <w:rsid w:val="009B0DC2"/>
    <w:rsid w:val="009B0EE9"/>
    <w:rsid w:val="009B1160"/>
    <w:rsid w:val="009B16F2"/>
    <w:rsid w:val="009B1749"/>
    <w:rsid w:val="009B1979"/>
    <w:rsid w:val="009B1A58"/>
    <w:rsid w:val="009B1A85"/>
    <w:rsid w:val="009B1E0A"/>
    <w:rsid w:val="009B2075"/>
    <w:rsid w:val="009B217E"/>
    <w:rsid w:val="009B24B4"/>
    <w:rsid w:val="009B24C9"/>
    <w:rsid w:val="009B2522"/>
    <w:rsid w:val="009B258F"/>
    <w:rsid w:val="009B289D"/>
    <w:rsid w:val="009B28C6"/>
    <w:rsid w:val="009B28D9"/>
    <w:rsid w:val="009B2A42"/>
    <w:rsid w:val="009B2B3D"/>
    <w:rsid w:val="009B2E08"/>
    <w:rsid w:val="009B2EC8"/>
    <w:rsid w:val="009B30FD"/>
    <w:rsid w:val="009B31AD"/>
    <w:rsid w:val="009B33BD"/>
    <w:rsid w:val="009B386C"/>
    <w:rsid w:val="009B38DA"/>
    <w:rsid w:val="009B3B8D"/>
    <w:rsid w:val="009B3C78"/>
    <w:rsid w:val="009B3F49"/>
    <w:rsid w:val="009B3FB8"/>
    <w:rsid w:val="009B400D"/>
    <w:rsid w:val="009B4435"/>
    <w:rsid w:val="009B4551"/>
    <w:rsid w:val="009B4553"/>
    <w:rsid w:val="009B4636"/>
    <w:rsid w:val="009B4665"/>
    <w:rsid w:val="009B4802"/>
    <w:rsid w:val="009B4818"/>
    <w:rsid w:val="009B4879"/>
    <w:rsid w:val="009B4F57"/>
    <w:rsid w:val="009B4F81"/>
    <w:rsid w:val="009B503A"/>
    <w:rsid w:val="009B5185"/>
    <w:rsid w:val="009B535F"/>
    <w:rsid w:val="009B5778"/>
    <w:rsid w:val="009B595C"/>
    <w:rsid w:val="009B59EA"/>
    <w:rsid w:val="009B5B17"/>
    <w:rsid w:val="009B5BCB"/>
    <w:rsid w:val="009B5DC0"/>
    <w:rsid w:val="009B5DD8"/>
    <w:rsid w:val="009B5E2D"/>
    <w:rsid w:val="009B5EA6"/>
    <w:rsid w:val="009B5EE4"/>
    <w:rsid w:val="009B6054"/>
    <w:rsid w:val="009B6078"/>
    <w:rsid w:val="009B6342"/>
    <w:rsid w:val="009B6361"/>
    <w:rsid w:val="009B6535"/>
    <w:rsid w:val="009B66FF"/>
    <w:rsid w:val="009B6A6F"/>
    <w:rsid w:val="009B6C64"/>
    <w:rsid w:val="009B6CCD"/>
    <w:rsid w:val="009B6D3D"/>
    <w:rsid w:val="009B6F86"/>
    <w:rsid w:val="009B7017"/>
    <w:rsid w:val="009B70C3"/>
    <w:rsid w:val="009B70DF"/>
    <w:rsid w:val="009B7224"/>
    <w:rsid w:val="009B741C"/>
    <w:rsid w:val="009B76C3"/>
    <w:rsid w:val="009B7745"/>
    <w:rsid w:val="009B7793"/>
    <w:rsid w:val="009B7A38"/>
    <w:rsid w:val="009B7AB8"/>
    <w:rsid w:val="009B7BE4"/>
    <w:rsid w:val="009B7E44"/>
    <w:rsid w:val="009B7EDC"/>
    <w:rsid w:val="009B7FC8"/>
    <w:rsid w:val="009C009E"/>
    <w:rsid w:val="009C0122"/>
    <w:rsid w:val="009C0311"/>
    <w:rsid w:val="009C035D"/>
    <w:rsid w:val="009C0438"/>
    <w:rsid w:val="009C05C8"/>
    <w:rsid w:val="009C0602"/>
    <w:rsid w:val="009C06E1"/>
    <w:rsid w:val="009C08AA"/>
    <w:rsid w:val="009C0973"/>
    <w:rsid w:val="009C0BAC"/>
    <w:rsid w:val="009C0C14"/>
    <w:rsid w:val="009C0C5D"/>
    <w:rsid w:val="009C0C68"/>
    <w:rsid w:val="009C0D44"/>
    <w:rsid w:val="009C1021"/>
    <w:rsid w:val="009C12DC"/>
    <w:rsid w:val="009C1365"/>
    <w:rsid w:val="009C1407"/>
    <w:rsid w:val="009C155F"/>
    <w:rsid w:val="009C16F7"/>
    <w:rsid w:val="009C18B5"/>
    <w:rsid w:val="009C1D4A"/>
    <w:rsid w:val="009C1E40"/>
    <w:rsid w:val="009C20D9"/>
    <w:rsid w:val="009C213C"/>
    <w:rsid w:val="009C2225"/>
    <w:rsid w:val="009C22FD"/>
    <w:rsid w:val="009C2337"/>
    <w:rsid w:val="009C2409"/>
    <w:rsid w:val="009C2707"/>
    <w:rsid w:val="009C27AF"/>
    <w:rsid w:val="009C27EA"/>
    <w:rsid w:val="009C2B92"/>
    <w:rsid w:val="009C2CF1"/>
    <w:rsid w:val="009C2E10"/>
    <w:rsid w:val="009C30A5"/>
    <w:rsid w:val="009C319C"/>
    <w:rsid w:val="009C31E9"/>
    <w:rsid w:val="009C3291"/>
    <w:rsid w:val="009C32D0"/>
    <w:rsid w:val="009C3306"/>
    <w:rsid w:val="009C3352"/>
    <w:rsid w:val="009C3416"/>
    <w:rsid w:val="009C389B"/>
    <w:rsid w:val="009C3998"/>
    <w:rsid w:val="009C3B14"/>
    <w:rsid w:val="009C3CBF"/>
    <w:rsid w:val="009C42A3"/>
    <w:rsid w:val="009C42D1"/>
    <w:rsid w:val="009C45BD"/>
    <w:rsid w:val="009C466A"/>
    <w:rsid w:val="009C4702"/>
    <w:rsid w:val="009C4741"/>
    <w:rsid w:val="009C4871"/>
    <w:rsid w:val="009C496E"/>
    <w:rsid w:val="009C4B14"/>
    <w:rsid w:val="009C4BEF"/>
    <w:rsid w:val="009C4C49"/>
    <w:rsid w:val="009C4D88"/>
    <w:rsid w:val="009C4DBF"/>
    <w:rsid w:val="009C51F7"/>
    <w:rsid w:val="009C520D"/>
    <w:rsid w:val="009C527F"/>
    <w:rsid w:val="009C5321"/>
    <w:rsid w:val="009C54FE"/>
    <w:rsid w:val="009C560E"/>
    <w:rsid w:val="009C57AA"/>
    <w:rsid w:val="009C57E3"/>
    <w:rsid w:val="009C58EA"/>
    <w:rsid w:val="009C5961"/>
    <w:rsid w:val="009C5A57"/>
    <w:rsid w:val="009C5A68"/>
    <w:rsid w:val="009C5B16"/>
    <w:rsid w:val="009C5BCD"/>
    <w:rsid w:val="009C5BE4"/>
    <w:rsid w:val="009C6083"/>
    <w:rsid w:val="009C6105"/>
    <w:rsid w:val="009C615B"/>
    <w:rsid w:val="009C6190"/>
    <w:rsid w:val="009C634D"/>
    <w:rsid w:val="009C6388"/>
    <w:rsid w:val="009C63A6"/>
    <w:rsid w:val="009C648B"/>
    <w:rsid w:val="009C6538"/>
    <w:rsid w:val="009C6839"/>
    <w:rsid w:val="009C6E06"/>
    <w:rsid w:val="009C6FB0"/>
    <w:rsid w:val="009C71EC"/>
    <w:rsid w:val="009C7301"/>
    <w:rsid w:val="009C744C"/>
    <w:rsid w:val="009C745F"/>
    <w:rsid w:val="009C7579"/>
    <w:rsid w:val="009C76AB"/>
    <w:rsid w:val="009C78C6"/>
    <w:rsid w:val="009C7966"/>
    <w:rsid w:val="009C7A8A"/>
    <w:rsid w:val="009C7B56"/>
    <w:rsid w:val="009C7C08"/>
    <w:rsid w:val="009C7C23"/>
    <w:rsid w:val="009C7E13"/>
    <w:rsid w:val="009C7F0D"/>
    <w:rsid w:val="009D03D3"/>
    <w:rsid w:val="009D0414"/>
    <w:rsid w:val="009D0620"/>
    <w:rsid w:val="009D07F1"/>
    <w:rsid w:val="009D0BB1"/>
    <w:rsid w:val="009D0C11"/>
    <w:rsid w:val="009D0E50"/>
    <w:rsid w:val="009D0E96"/>
    <w:rsid w:val="009D0EE0"/>
    <w:rsid w:val="009D0F50"/>
    <w:rsid w:val="009D10DD"/>
    <w:rsid w:val="009D1269"/>
    <w:rsid w:val="009D1276"/>
    <w:rsid w:val="009D12AB"/>
    <w:rsid w:val="009D1310"/>
    <w:rsid w:val="009D1629"/>
    <w:rsid w:val="009D16B2"/>
    <w:rsid w:val="009D17DB"/>
    <w:rsid w:val="009D197D"/>
    <w:rsid w:val="009D1AAC"/>
    <w:rsid w:val="009D1AF0"/>
    <w:rsid w:val="009D1B34"/>
    <w:rsid w:val="009D1B65"/>
    <w:rsid w:val="009D1B96"/>
    <w:rsid w:val="009D1D18"/>
    <w:rsid w:val="009D1EB3"/>
    <w:rsid w:val="009D206C"/>
    <w:rsid w:val="009D2075"/>
    <w:rsid w:val="009D20D4"/>
    <w:rsid w:val="009D2114"/>
    <w:rsid w:val="009D2295"/>
    <w:rsid w:val="009D2332"/>
    <w:rsid w:val="009D2456"/>
    <w:rsid w:val="009D256C"/>
    <w:rsid w:val="009D25BD"/>
    <w:rsid w:val="009D26C7"/>
    <w:rsid w:val="009D278A"/>
    <w:rsid w:val="009D281B"/>
    <w:rsid w:val="009D2EDB"/>
    <w:rsid w:val="009D2F75"/>
    <w:rsid w:val="009D2F98"/>
    <w:rsid w:val="009D2FC3"/>
    <w:rsid w:val="009D2FE3"/>
    <w:rsid w:val="009D305D"/>
    <w:rsid w:val="009D3113"/>
    <w:rsid w:val="009D3197"/>
    <w:rsid w:val="009D32B2"/>
    <w:rsid w:val="009D3486"/>
    <w:rsid w:val="009D3659"/>
    <w:rsid w:val="009D3677"/>
    <w:rsid w:val="009D36B0"/>
    <w:rsid w:val="009D39F6"/>
    <w:rsid w:val="009D3B29"/>
    <w:rsid w:val="009D3BED"/>
    <w:rsid w:val="009D3CDC"/>
    <w:rsid w:val="009D3FD7"/>
    <w:rsid w:val="009D40F6"/>
    <w:rsid w:val="009D4103"/>
    <w:rsid w:val="009D433F"/>
    <w:rsid w:val="009D4448"/>
    <w:rsid w:val="009D44D2"/>
    <w:rsid w:val="009D451E"/>
    <w:rsid w:val="009D4659"/>
    <w:rsid w:val="009D4693"/>
    <w:rsid w:val="009D46E3"/>
    <w:rsid w:val="009D4769"/>
    <w:rsid w:val="009D4A80"/>
    <w:rsid w:val="009D4B9D"/>
    <w:rsid w:val="009D4BBA"/>
    <w:rsid w:val="009D4BEB"/>
    <w:rsid w:val="009D4D87"/>
    <w:rsid w:val="009D4E87"/>
    <w:rsid w:val="009D4EFF"/>
    <w:rsid w:val="009D4F52"/>
    <w:rsid w:val="009D4FE0"/>
    <w:rsid w:val="009D529C"/>
    <w:rsid w:val="009D52B2"/>
    <w:rsid w:val="009D5370"/>
    <w:rsid w:val="009D54A4"/>
    <w:rsid w:val="009D56B4"/>
    <w:rsid w:val="009D56F7"/>
    <w:rsid w:val="009D58B4"/>
    <w:rsid w:val="009D5A5E"/>
    <w:rsid w:val="009D5BF1"/>
    <w:rsid w:val="009D5EC9"/>
    <w:rsid w:val="009D61EE"/>
    <w:rsid w:val="009D6260"/>
    <w:rsid w:val="009D62DE"/>
    <w:rsid w:val="009D649D"/>
    <w:rsid w:val="009D6516"/>
    <w:rsid w:val="009D6562"/>
    <w:rsid w:val="009D66B8"/>
    <w:rsid w:val="009D670A"/>
    <w:rsid w:val="009D696D"/>
    <w:rsid w:val="009D6A03"/>
    <w:rsid w:val="009D6A12"/>
    <w:rsid w:val="009D6BD5"/>
    <w:rsid w:val="009D6F0E"/>
    <w:rsid w:val="009D6FC4"/>
    <w:rsid w:val="009D6FDE"/>
    <w:rsid w:val="009D70E0"/>
    <w:rsid w:val="009D7549"/>
    <w:rsid w:val="009D76F3"/>
    <w:rsid w:val="009D7701"/>
    <w:rsid w:val="009D77AE"/>
    <w:rsid w:val="009D7997"/>
    <w:rsid w:val="009D79F1"/>
    <w:rsid w:val="009D79FE"/>
    <w:rsid w:val="009D7A3B"/>
    <w:rsid w:val="009D7C2E"/>
    <w:rsid w:val="009D7D07"/>
    <w:rsid w:val="009D7E3B"/>
    <w:rsid w:val="009D7E71"/>
    <w:rsid w:val="009D7F93"/>
    <w:rsid w:val="009E003C"/>
    <w:rsid w:val="009E0229"/>
    <w:rsid w:val="009E0299"/>
    <w:rsid w:val="009E0578"/>
    <w:rsid w:val="009E0648"/>
    <w:rsid w:val="009E08D4"/>
    <w:rsid w:val="009E091C"/>
    <w:rsid w:val="009E0977"/>
    <w:rsid w:val="009E0CD4"/>
    <w:rsid w:val="009E0D8E"/>
    <w:rsid w:val="009E117D"/>
    <w:rsid w:val="009E11C8"/>
    <w:rsid w:val="009E1427"/>
    <w:rsid w:val="009E14F3"/>
    <w:rsid w:val="009E15F5"/>
    <w:rsid w:val="009E16DA"/>
    <w:rsid w:val="009E184C"/>
    <w:rsid w:val="009E1BFF"/>
    <w:rsid w:val="009E1D5B"/>
    <w:rsid w:val="009E2073"/>
    <w:rsid w:val="009E20B9"/>
    <w:rsid w:val="009E2130"/>
    <w:rsid w:val="009E214A"/>
    <w:rsid w:val="009E21AF"/>
    <w:rsid w:val="009E21F1"/>
    <w:rsid w:val="009E247C"/>
    <w:rsid w:val="009E2488"/>
    <w:rsid w:val="009E2622"/>
    <w:rsid w:val="009E2637"/>
    <w:rsid w:val="009E2671"/>
    <w:rsid w:val="009E29C0"/>
    <w:rsid w:val="009E2A4E"/>
    <w:rsid w:val="009E2AA1"/>
    <w:rsid w:val="009E2B61"/>
    <w:rsid w:val="009E2D81"/>
    <w:rsid w:val="009E2DB0"/>
    <w:rsid w:val="009E3377"/>
    <w:rsid w:val="009E3489"/>
    <w:rsid w:val="009E34C8"/>
    <w:rsid w:val="009E35E2"/>
    <w:rsid w:val="009E3707"/>
    <w:rsid w:val="009E385B"/>
    <w:rsid w:val="009E38DA"/>
    <w:rsid w:val="009E3B36"/>
    <w:rsid w:val="009E3B85"/>
    <w:rsid w:val="009E3B9E"/>
    <w:rsid w:val="009E3FAC"/>
    <w:rsid w:val="009E41D0"/>
    <w:rsid w:val="009E49F5"/>
    <w:rsid w:val="009E4A46"/>
    <w:rsid w:val="009E4A5C"/>
    <w:rsid w:val="009E4AC7"/>
    <w:rsid w:val="009E4B83"/>
    <w:rsid w:val="009E4D73"/>
    <w:rsid w:val="009E4E76"/>
    <w:rsid w:val="009E4F45"/>
    <w:rsid w:val="009E4FD1"/>
    <w:rsid w:val="009E5067"/>
    <w:rsid w:val="009E530D"/>
    <w:rsid w:val="009E5411"/>
    <w:rsid w:val="009E5755"/>
    <w:rsid w:val="009E5978"/>
    <w:rsid w:val="009E5C22"/>
    <w:rsid w:val="009E5DBA"/>
    <w:rsid w:val="009E60C3"/>
    <w:rsid w:val="009E670D"/>
    <w:rsid w:val="009E677A"/>
    <w:rsid w:val="009E6D94"/>
    <w:rsid w:val="009E6EE8"/>
    <w:rsid w:val="009E6FDD"/>
    <w:rsid w:val="009E7211"/>
    <w:rsid w:val="009E739C"/>
    <w:rsid w:val="009E76C6"/>
    <w:rsid w:val="009E76D3"/>
    <w:rsid w:val="009E795B"/>
    <w:rsid w:val="009E7A8E"/>
    <w:rsid w:val="009E7C2C"/>
    <w:rsid w:val="009E7FBA"/>
    <w:rsid w:val="009E7FC9"/>
    <w:rsid w:val="009F00DD"/>
    <w:rsid w:val="009F072C"/>
    <w:rsid w:val="009F08AE"/>
    <w:rsid w:val="009F0BC5"/>
    <w:rsid w:val="009F0EA4"/>
    <w:rsid w:val="009F0F6F"/>
    <w:rsid w:val="009F0FD3"/>
    <w:rsid w:val="009F105B"/>
    <w:rsid w:val="009F120F"/>
    <w:rsid w:val="009F1296"/>
    <w:rsid w:val="009F13B3"/>
    <w:rsid w:val="009F155A"/>
    <w:rsid w:val="009F1879"/>
    <w:rsid w:val="009F191D"/>
    <w:rsid w:val="009F1985"/>
    <w:rsid w:val="009F1A48"/>
    <w:rsid w:val="009F1A88"/>
    <w:rsid w:val="009F1A8D"/>
    <w:rsid w:val="009F1D2E"/>
    <w:rsid w:val="009F1E4B"/>
    <w:rsid w:val="009F1FFC"/>
    <w:rsid w:val="009F20C4"/>
    <w:rsid w:val="009F20D1"/>
    <w:rsid w:val="009F2256"/>
    <w:rsid w:val="009F23BF"/>
    <w:rsid w:val="009F2486"/>
    <w:rsid w:val="009F252C"/>
    <w:rsid w:val="009F26EA"/>
    <w:rsid w:val="009F2A69"/>
    <w:rsid w:val="009F2BA8"/>
    <w:rsid w:val="009F2BE7"/>
    <w:rsid w:val="009F2DED"/>
    <w:rsid w:val="009F3022"/>
    <w:rsid w:val="009F309A"/>
    <w:rsid w:val="009F357E"/>
    <w:rsid w:val="009F365E"/>
    <w:rsid w:val="009F379D"/>
    <w:rsid w:val="009F398A"/>
    <w:rsid w:val="009F3BAB"/>
    <w:rsid w:val="009F3BCE"/>
    <w:rsid w:val="009F3BD2"/>
    <w:rsid w:val="009F3DA7"/>
    <w:rsid w:val="009F3DB1"/>
    <w:rsid w:val="009F3E0E"/>
    <w:rsid w:val="009F3EB8"/>
    <w:rsid w:val="009F4030"/>
    <w:rsid w:val="009F42A7"/>
    <w:rsid w:val="009F42C1"/>
    <w:rsid w:val="009F42DC"/>
    <w:rsid w:val="009F43F4"/>
    <w:rsid w:val="009F445E"/>
    <w:rsid w:val="009F461D"/>
    <w:rsid w:val="009F49BF"/>
    <w:rsid w:val="009F4A3C"/>
    <w:rsid w:val="009F4B9A"/>
    <w:rsid w:val="009F4F64"/>
    <w:rsid w:val="009F503E"/>
    <w:rsid w:val="009F5179"/>
    <w:rsid w:val="009F523A"/>
    <w:rsid w:val="009F525E"/>
    <w:rsid w:val="009F527E"/>
    <w:rsid w:val="009F52E8"/>
    <w:rsid w:val="009F5571"/>
    <w:rsid w:val="009F55E2"/>
    <w:rsid w:val="009F55E5"/>
    <w:rsid w:val="009F5681"/>
    <w:rsid w:val="009F590C"/>
    <w:rsid w:val="009F5934"/>
    <w:rsid w:val="009F597B"/>
    <w:rsid w:val="009F5AF2"/>
    <w:rsid w:val="009F5BE5"/>
    <w:rsid w:val="009F5CEC"/>
    <w:rsid w:val="009F5D79"/>
    <w:rsid w:val="009F5EFE"/>
    <w:rsid w:val="009F5F4D"/>
    <w:rsid w:val="009F5FE3"/>
    <w:rsid w:val="009F61A2"/>
    <w:rsid w:val="009F62E0"/>
    <w:rsid w:val="009F6471"/>
    <w:rsid w:val="009F64F6"/>
    <w:rsid w:val="009F6642"/>
    <w:rsid w:val="009F6860"/>
    <w:rsid w:val="009F6B9A"/>
    <w:rsid w:val="009F6BDC"/>
    <w:rsid w:val="009F6D37"/>
    <w:rsid w:val="009F6D8E"/>
    <w:rsid w:val="009F6DDD"/>
    <w:rsid w:val="009F6E22"/>
    <w:rsid w:val="009F6F0C"/>
    <w:rsid w:val="009F70D9"/>
    <w:rsid w:val="009F71AE"/>
    <w:rsid w:val="009F7216"/>
    <w:rsid w:val="009F72DB"/>
    <w:rsid w:val="009F72FC"/>
    <w:rsid w:val="009F74FC"/>
    <w:rsid w:val="009F76B1"/>
    <w:rsid w:val="009F77FD"/>
    <w:rsid w:val="009F7846"/>
    <w:rsid w:val="009F78FB"/>
    <w:rsid w:val="009F7997"/>
    <w:rsid w:val="009F7B86"/>
    <w:rsid w:val="009F7D7F"/>
    <w:rsid w:val="009F7DCE"/>
    <w:rsid w:val="009F7E66"/>
    <w:rsid w:val="009F7E80"/>
    <w:rsid w:val="009F7F0A"/>
    <w:rsid w:val="00A00059"/>
    <w:rsid w:val="00A0010C"/>
    <w:rsid w:val="00A001E8"/>
    <w:rsid w:val="00A0056D"/>
    <w:rsid w:val="00A005D5"/>
    <w:rsid w:val="00A0090F"/>
    <w:rsid w:val="00A00990"/>
    <w:rsid w:val="00A00A6E"/>
    <w:rsid w:val="00A00AE6"/>
    <w:rsid w:val="00A00C3E"/>
    <w:rsid w:val="00A00F54"/>
    <w:rsid w:val="00A00F8A"/>
    <w:rsid w:val="00A01053"/>
    <w:rsid w:val="00A010C3"/>
    <w:rsid w:val="00A01389"/>
    <w:rsid w:val="00A01568"/>
    <w:rsid w:val="00A01581"/>
    <w:rsid w:val="00A018DE"/>
    <w:rsid w:val="00A01937"/>
    <w:rsid w:val="00A01965"/>
    <w:rsid w:val="00A0197B"/>
    <w:rsid w:val="00A01DF0"/>
    <w:rsid w:val="00A01E75"/>
    <w:rsid w:val="00A01EC4"/>
    <w:rsid w:val="00A01FA4"/>
    <w:rsid w:val="00A01FFA"/>
    <w:rsid w:val="00A0206F"/>
    <w:rsid w:val="00A02173"/>
    <w:rsid w:val="00A02251"/>
    <w:rsid w:val="00A024D3"/>
    <w:rsid w:val="00A02557"/>
    <w:rsid w:val="00A0258E"/>
    <w:rsid w:val="00A025CA"/>
    <w:rsid w:val="00A026C9"/>
    <w:rsid w:val="00A02890"/>
    <w:rsid w:val="00A02C6D"/>
    <w:rsid w:val="00A02DE4"/>
    <w:rsid w:val="00A0303B"/>
    <w:rsid w:val="00A03556"/>
    <w:rsid w:val="00A03577"/>
    <w:rsid w:val="00A035C7"/>
    <w:rsid w:val="00A0365D"/>
    <w:rsid w:val="00A0373A"/>
    <w:rsid w:val="00A037F5"/>
    <w:rsid w:val="00A03820"/>
    <w:rsid w:val="00A03911"/>
    <w:rsid w:val="00A03928"/>
    <w:rsid w:val="00A0393E"/>
    <w:rsid w:val="00A03A01"/>
    <w:rsid w:val="00A03BCF"/>
    <w:rsid w:val="00A03C00"/>
    <w:rsid w:val="00A03E01"/>
    <w:rsid w:val="00A03E2B"/>
    <w:rsid w:val="00A03FA3"/>
    <w:rsid w:val="00A0406E"/>
    <w:rsid w:val="00A040AE"/>
    <w:rsid w:val="00A040D7"/>
    <w:rsid w:val="00A040E9"/>
    <w:rsid w:val="00A04251"/>
    <w:rsid w:val="00A04312"/>
    <w:rsid w:val="00A0432F"/>
    <w:rsid w:val="00A043E3"/>
    <w:rsid w:val="00A04496"/>
    <w:rsid w:val="00A045EE"/>
    <w:rsid w:val="00A045FD"/>
    <w:rsid w:val="00A04998"/>
    <w:rsid w:val="00A049BC"/>
    <w:rsid w:val="00A04E01"/>
    <w:rsid w:val="00A04E18"/>
    <w:rsid w:val="00A04EE2"/>
    <w:rsid w:val="00A04FEB"/>
    <w:rsid w:val="00A050FD"/>
    <w:rsid w:val="00A053C0"/>
    <w:rsid w:val="00A0577A"/>
    <w:rsid w:val="00A05876"/>
    <w:rsid w:val="00A059E2"/>
    <w:rsid w:val="00A05BD1"/>
    <w:rsid w:val="00A05BEC"/>
    <w:rsid w:val="00A05C1F"/>
    <w:rsid w:val="00A05DB4"/>
    <w:rsid w:val="00A05EFA"/>
    <w:rsid w:val="00A06161"/>
    <w:rsid w:val="00A06378"/>
    <w:rsid w:val="00A063CD"/>
    <w:rsid w:val="00A06585"/>
    <w:rsid w:val="00A065DA"/>
    <w:rsid w:val="00A06686"/>
    <w:rsid w:val="00A066F1"/>
    <w:rsid w:val="00A06856"/>
    <w:rsid w:val="00A06998"/>
    <w:rsid w:val="00A0699E"/>
    <w:rsid w:val="00A069B8"/>
    <w:rsid w:val="00A06B8B"/>
    <w:rsid w:val="00A06E23"/>
    <w:rsid w:val="00A06F06"/>
    <w:rsid w:val="00A06F8C"/>
    <w:rsid w:val="00A070F2"/>
    <w:rsid w:val="00A07115"/>
    <w:rsid w:val="00A07128"/>
    <w:rsid w:val="00A07183"/>
    <w:rsid w:val="00A0720F"/>
    <w:rsid w:val="00A0733A"/>
    <w:rsid w:val="00A07423"/>
    <w:rsid w:val="00A0755B"/>
    <w:rsid w:val="00A0767F"/>
    <w:rsid w:val="00A077B7"/>
    <w:rsid w:val="00A078A0"/>
    <w:rsid w:val="00A07B67"/>
    <w:rsid w:val="00A07F7E"/>
    <w:rsid w:val="00A101B4"/>
    <w:rsid w:val="00A1020B"/>
    <w:rsid w:val="00A1022D"/>
    <w:rsid w:val="00A10322"/>
    <w:rsid w:val="00A1038B"/>
    <w:rsid w:val="00A10472"/>
    <w:rsid w:val="00A104EE"/>
    <w:rsid w:val="00A10519"/>
    <w:rsid w:val="00A105B6"/>
    <w:rsid w:val="00A1076D"/>
    <w:rsid w:val="00A107DE"/>
    <w:rsid w:val="00A10856"/>
    <w:rsid w:val="00A10A23"/>
    <w:rsid w:val="00A10C30"/>
    <w:rsid w:val="00A10CD2"/>
    <w:rsid w:val="00A10F22"/>
    <w:rsid w:val="00A110DF"/>
    <w:rsid w:val="00A111CD"/>
    <w:rsid w:val="00A1121C"/>
    <w:rsid w:val="00A112BA"/>
    <w:rsid w:val="00A1131A"/>
    <w:rsid w:val="00A113FB"/>
    <w:rsid w:val="00A1145D"/>
    <w:rsid w:val="00A11546"/>
    <w:rsid w:val="00A115B1"/>
    <w:rsid w:val="00A1175F"/>
    <w:rsid w:val="00A11910"/>
    <w:rsid w:val="00A11911"/>
    <w:rsid w:val="00A11A45"/>
    <w:rsid w:val="00A11A80"/>
    <w:rsid w:val="00A11BE2"/>
    <w:rsid w:val="00A11C81"/>
    <w:rsid w:val="00A11D3F"/>
    <w:rsid w:val="00A11E59"/>
    <w:rsid w:val="00A11E6F"/>
    <w:rsid w:val="00A11F43"/>
    <w:rsid w:val="00A11FBA"/>
    <w:rsid w:val="00A12031"/>
    <w:rsid w:val="00A1207A"/>
    <w:rsid w:val="00A1211F"/>
    <w:rsid w:val="00A121C4"/>
    <w:rsid w:val="00A122A7"/>
    <w:rsid w:val="00A12378"/>
    <w:rsid w:val="00A123EB"/>
    <w:rsid w:val="00A125E8"/>
    <w:rsid w:val="00A127AD"/>
    <w:rsid w:val="00A127ED"/>
    <w:rsid w:val="00A12823"/>
    <w:rsid w:val="00A129BE"/>
    <w:rsid w:val="00A129F8"/>
    <w:rsid w:val="00A12AB8"/>
    <w:rsid w:val="00A12C85"/>
    <w:rsid w:val="00A12FB3"/>
    <w:rsid w:val="00A12FE6"/>
    <w:rsid w:val="00A1302F"/>
    <w:rsid w:val="00A1311F"/>
    <w:rsid w:val="00A13148"/>
    <w:rsid w:val="00A13297"/>
    <w:rsid w:val="00A1341A"/>
    <w:rsid w:val="00A1362A"/>
    <w:rsid w:val="00A13634"/>
    <w:rsid w:val="00A137D0"/>
    <w:rsid w:val="00A137FE"/>
    <w:rsid w:val="00A13807"/>
    <w:rsid w:val="00A138BB"/>
    <w:rsid w:val="00A138BF"/>
    <w:rsid w:val="00A138CA"/>
    <w:rsid w:val="00A13ADF"/>
    <w:rsid w:val="00A13BFA"/>
    <w:rsid w:val="00A13CC6"/>
    <w:rsid w:val="00A13DF5"/>
    <w:rsid w:val="00A13EC5"/>
    <w:rsid w:val="00A13EE0"/>
    <w:rsid w:val="00A1406E"/>
    <w:rsid w:val="00A140C8"/>
    <w:rsid w:val="00A140F8"/>
    <w:rsid w:val="00A141D3"/>
    <w:rsid w:val="00A1424C"/>
    <w:rsid w:val="00A142FA"/>
    <w:rsid w:val="00A1445D"/>
    <w:rsid w:val="00A144F9"/>
    <w:rsid w:val="00A14558"/>
    <w:rsid w:val="00A14629"/>
    <w:rsid w:val="00A14721"/>
    <w:rsid w:val="00A14AF2"/>
    <w:rsid w:val="00A14D51"/>
    <w:rsid w:val="00A14D58"/>
    <w:rsid w:val="00A14E29"/>
    <w:rsid w:val="00A14EF7"/>
    <w:rsid w:val="00A14F48"/>
    <w:rsid w:val="00A150FE"/>
    <w:rsid w:val="00A1513E"/>
    <w:rsid w:val="00A153D8"/>
    <w:rsid w:val="00A154F4"/>
    <w:rsid w:val="00A15644"/>
    <w:rsid w:val="00A15649"/>
    <w:rsid w:val="00A1585F"/>
    <w:rsid w:val="00A15895"/>
    <w:rsid w:val="00A158B8"/>
    <w:rsid w:val="00A1593C"/>
    <w:rsid w:val="00A15945"/>
    <w:rsid w:val="00A15AF5"/>
    <w:rsid w:val="00A15CF3"/>
    <w:rsid w:val="00A15E1B"/>
    <w:rsid w:val="00A15F0A"/>
    <w:rsid w:val="00A15FEC"/>
    <w:rsid w:val="00A162FE"/>
    <w:rsid w:val="00A16335"/>
    <w:rsid w:val="00A16449"/>
    <w:rsid w:val="00A16643"/>
    <w:rsid w:val="00A1664C"/>
    <w:rsid w:val="00A166A0"/>
    <w:rsid w:val="00A16D30"/>
    <w:rsid w:val="00A16E1E"/>
    <w:rsid w:val="00A16EC6"/>
    <w:rsid w:val="00A171F1"/>
    <w:rsid w:val="00A1724B"/>
    <w:rsid w:val="00A17290"/>
    <w:rsid w:val="00A175DD"/>
    <w:rsid w:val="00A177B3"/>
    <w:rsid w:val="00A1798A"/>
    <w:rsid w:val="00A17B48"/>
    <w:rsid w:val="00A17C76"/>
    <w:rsid w:val="00A17CBC"/>
    <w:rsid w:val="00A17F1B"/>
    <w:rsid w:val="00A2002B"/>
    <w:rsid w:val="00A2011B"/>
    <w:rsid w:val="00A201C5"/>
    <w:rsid w:val="00A203D6"/>
    <w:rsid w:val="00A20596"/>
    <w:rsid w:val="00A2062D"/>
    <w:rsid w:val="00A20780"/>
    <w:rsid w:val="00A20954"/>
    <w:rsid w:val="00A20974"/>
    <w:rsid w:val="00A209C3"/>
    <w:rsid w:val="00A20A43"/>
    <w:rsid w:val="00A20A67"/>
    <w:rsid w:val="00A20AE8"/>
    <w:rsid w:val="00A20C23"/>
    <w:rsid w:val="00A20CF9"/>
    <w:rsid w:val="00A20D0A"/>
    <w:rsid w:val="00A20D55"/>
    <w:rsid w:val="00A20E4D"/>
    <w:rsid w:val="00A20E9F"/>
    <w:rsid w:val="00A20FBC"/>
    <w:rsid w:val="00A20FC6"/>
    <w:rsid w:val="00A20FD8"/>
    <w:rsid w:val="00A2102E"/>
    <w:rsid w:val="00A2105C"/>
    <w:rsid w:val="00A210B1"/>
    <w:rsid w:val="00A2115D"/>
    <w:rsid w:val="00A21216"/>
    <w:rsid w:val="00A21432"/>
    <w:rsid w:val="00A214FE"/>
    <w:rsid w:val="00A21650"/>
    <w:rsid w:val="00A217B4"/>
    <w:rsid w:val="00A2181E"/>
    <w:rsid w:val="00A21886"/>
    <w:rsid w:val="00A218E4"/>
    <w:rsid w:val="00A219E8"/>
    <w:rsid w:val="00A21AB6"/>
    <w:rsid w:val="00A21B1B"/>
    <w:rsid w:val="00A21B48"/>
    <w:rsid w:val="00A21C0B"/>
    <w:rsid w:val="00A21CDD"/>
    <w:rsid w:val="00A21E7A"/>
    <w:rsid w:val="00A21FD3"/>
    <w:rsid w:val="00A2214E"/>
    <w:rsid w:val="00A22318"/>
    <w:rsid w:val="00A223DC"/>
    <w:rsid w:val="00A2248C"/>
    <w:rsid w:val="00A22599"/>
    <w:rsid w:val="00A22639"/>
    <w:rsid w:val="00A227E8"/>
    <w:rsid w:val="00A228A5"/>
    <w:rsid w:val="00A228AC"/>
    <w:rsid w:val="00A22A30"/>
    <w:rsid w:val="00A22AEE"/>
    <w:rsid w:val="00A22B24"/>
    <w:rsid w:val="00A22C93"/>
    <w:rsid w:val="00A22E62"/>
    <w:rsid w:val="00A22FCD"/>
    <w:rsid w:val="00A2317C"/>
    <w:rsid w:val="00A231BB"/>
    <w:rsid w:val="00A2327D"/>
    <w:rsid w:val="00A2329E"/>
    <w:rsid w:val="00A23358"/>
    <w:rsid w:val="00A2346D"/>
    <w:rsid w:val="00A23483"/>
    <w:rsid w:val="00A234E3"/>
    <w:rsid w:val="00A23856"/>
    <w:rsid w:val="00A238FC"/>
    <w:rsid w:val="00A2397C"/>
    <w:rsid w:val="00A23BCE"/>
    <w:rsid w:val="00A23C80"/>
    <w:rsid w:val="00A23CF8"/>
    <w:rsid w:val="00A23F81"/>
    <w:rsid w:val="00A23FD3"/>
    <w:rsid w:val="00A240A9"/>
    <w:rsid w:val="00A241BB"/>
    <w:rsid w:val="00A24212"/>
    <w:rsid w:val="00A242FB"/>
    <w:rsid w:val="00A244E7"/>
    <w:rsid w:val="00A245AB"/>
    <w:rsid w:val="00A246BF"/>
    <w:rsid w:val="00A246FD"/>
    <w:rsid w:val="00A24854"/>
    <w:rsid w:val="00A24917"/>
    <w:rsid w:val="00A24ADF"/>
    <w:rsid w:val="00A24C65"/>
    <w:rsid w:val="00A24D46"/>
    <w:rsid w:val="00A24DE5"/>
    <w:rsid w:val="00A250A0"/>
    <w:rsid w:val="00A251CF"/>
    <w:rsid w:val="00A252B9"/>
    <w:rsid w:val="00A25364"/>
    <w:rsid w:val="00A25379"/>
    <w:rsid w:val="00A253A5"/>
    <w:rsid w:val="00A25498"/>
    <w:rsid w:val="00A257B3"/>
    <w:rsid w:val="00A25845"/>
    <w:rsid w:val="00A25A82"/>
    <w:rsid w:val="00A25D7F"/>
    <w:rsid w:val="00A25DD7"/>
    <w:rsid w:val="00A25ED7"/>
    <w:rsid w:val="00A25F70"/>
    <w:rsid w:val="00A25FCF"/>
    <w:rsid w:val="00A260FF"/>
    <w:rsid w:val="00A26222"/>
    <w:rsid w:val="00A26293"/>
    <w:rsid w:val="00A2642D"/>
    <w:rsid w:val="00A266C2"/>
    <w:rsid w:val="00A26759"/>
    <w:rsid w:val="00A26793"/>
    <w:rsid w:val="00A26854"/>
    <w:rsid w:val="00A268A4"/>
    <w:rsid w:val="00A268E6"/>
    <w:rsid w:val="00A2698B"/>
    <w:rsid w:val="00A26E2B"/>
    <w:rsid w:val="00A26F74"/>
    <w:rsid w:val="00A27191"/>
    <w:rsid w:val="00A2728C"/>
    <w:rsid w:val="00A274B4"/>
    <w:rsid w:val="00A27757"/>
    <w:rsid w:val="00A27775"/>
    <w:rsid w:val="00A2779A"/>
    <w:rsid w:val="00A2792B"/>
    <w:rsid w:val="00A279D9"/>
    <w:rsid w:val="00A27B72"/>
    <w:rsid w:val="00A27C62"/>
    <w:rsid w:val="00A27E2C"/>
    <w:rsid w:val="00A27F3D"/>
    <w:rsid w:val="00A301DB"/>
    <w:rsid w:val="00A302E8"/>
    <w:rsid w:val="00A304EA"/>
    <w:rsid w:val="00A30552"/>
    <w:rsid w:val="00A3056B"/>
    <w:rsid w:val="00A3065E"/>
    <w:rsid w:val="00A3069B"/>
    <w:rsid w:val="00A306EC"/>
    <w:rsid w:val="00A30703"/>
    <w:rsid w:val="00A30828"/>
    <w:rsid w:val="00A30911"/>
    <w:rsid w:val="00A30944"/>
    <w:rsid w:val="00A3099D"/>
    <w:rsid w:val="00A30A02"/>
    <w:rsid w:val="00A30DB3"/>
    <w:rsid w:val="00A30DBE"/>
    <w:rsid w:val="00A30F3D"/>
    <w:rsid w:val="00A31077"/>
    <w:rsid w:val="00A3118C"/>
    <w:rsid w:val="00A313FD"/>
    <w:rsid w:val="00A3145D"/>
    <w:rsid w:val="00A31499"/>
    <w:rsid w:val="00A31662"/>
    <w:rsid w:val="00A31671"/>
    <w:rsid w:val="00A316EA"/>
    <w:rsid w:val="00A31737"/>
    <w:rsid w:val="00A31899"/>
    <w:rsid w:val="00A318E9"/>
    <w:rsid w:val="00A31A93"/>
    <w:rsid w:val="00A31B00"/>
    <w:rsid w:val="00A31B86"/>
    <w:rsid w:val="00A31BD4"/>
    <w:rsid w:val="00A31E80"/>
    <w:rsid w:val="00A3235B"/>
    <w:rsid w:val="00A32650"/>
    <w:rsid w:val="00A326A1"/>
    <w:rsid w:val="00A3271B"/>
    <w:rsid w:val="00A328C4"/>
    <w:rsid w:val="00A328CB"/>
    <w:rsid w:val="00A32951"/>
    <w:rsid w:val="00A32A41"/>
    <w:rsid w:val="00A32A92"/>
    <w:rsid w:val="00A32D51"/>
    <w:rsid w:val="00A32D9C"/>
    <w:rsid w:val="00A32F54"/>
    <w:rsid w:val="00A32FB4"/>
    <w:rsid w:val="00A330DD"/>
    <w:rsid w:val="00A33223"/>
    <w:rsid w:val="00A33239"/>
    <w:rsid w:val="00A33405"/>
    <w:rsid w:val="00A3341E"/>
    <w:rsid w:val="00A33423"/>
    <w:rsid w:val="00A3345F"/>
    <w:rsid w:val="00A334E1"/>
    <w:rsid w:val="00A334ED"/>
    <w:rsid w:val="00A335A7"/>
    <w:rsid w:val="00A33671"/>
    <w:rsid w:val="00A336A6"/>
    <w:rsid w:val="00A337AA"/>
    <w:rsid w:val="00A337BF"/>
    <w:rsid w:val="00A33931"/>
    <w:rsid w:val="00A33A1B"/>
    <w:rsid w:val="00A33C0A"/>
    <w:rsid w:val="00A33FC0"/>
    <w:rsid w:val="00A3409E"/>
    <w:rsid w:val="00A3414C"/>
    <w:rsid w:val="00A3418B"/>
    <w:rsid w:val="00A341CF"/>
    <w:rsid w:val="00A34229"/>
    <w:rsid w:val="00A342B4"/>
    <w:rsid w:val="00A34305"/>
    <w:rsid w:val="00A34401"/>
    <w:rsid w:val="00A34438"/>
    <w:rsid w:val="00A3452B"/>
    <w:rsid w:val="00A346B5"/>
    <w:rsid w:val="00A34777"/>
    <w:rsid w:val="00A3490C"/>
    <w:rsid w:val="00A3499D"/>
    <w:rsid w:val="00A349E8"/>
    <w:rsid w:val="00A34AA6"/>
    <w:rsid w:val="00A34AD3"/>
    <w:rsid w:val="00A34B07"/>
    <w:rsid w:val="00A34BE0"/>
    <w:rsid w:val="00A34C20"/>
    <w:rsid w:val="00A34C4E"/>
    <w:rsid w:val="00A34DA0"/>
    <w:rsid w:val="00A34DCF"/>
    <w:rsid w:val="00A34EF7"/>
    <w:rsid w:val="00A3501F"/>
    <w:rsid w:val="00A3502C"/>
    <w:rsid w:val="00A35098"/>
    <w:rsid w:val="00A3509F"/>
    <w:rsid w:val="00A350E1"/>
    <w:rsid w:val="00A351B9"/>
    <w:rsid w:val="00A351C4"/>
    <w:rsid w:val="00A35463"/>
    <w:rsid w:val="00A355AA"/>
    <w:rsid w:val="00A356C7"/>
    <w:rsid w:val="00A35733"/>
    <w:rsid w:val="00A3574A"/>
    <w:rsid w:val="00A357B2"/>
    <w:rsid w:val="00A358CC"/>
    <w:rsid w:val="00A35917"/>
    <w:rsid w:val="00A359B4"/>
    <w:rsid w:val="00A35A81"/>
    <w:rsid w:val="00A35E2A"/>
    <w:rsid w:val="00A36129"/>
    <w:rsid w:val="00A3618D"/>
    <w:rsid w:val="00A3623B"/>
    <w:rsid w:val="00A36311"/>
    <w:rsid w:val="00A36439"/>
    <w:rsid w:val="00A36605"/>
    <w:rsid w:val="00A366A9"/>
    <w:rsid w:val="00A366C1"/>
    <w:rsid w:val="00A366EF"/>
    <w:rsid w:val="00A3676E"/>
    <w:rsid w:val="00A36948"/>
    <w:rsid w:val="00A369FD"/>
    <w:rsid w:val="00A36ABB"/>
    <w:rsid w:val="00A36BA3"/>
    <w:rsid w:val="00A36BEC"/>
    <w:rsid w:val="00A36C0F"/>
    <w:rsid w:val="00A36FA1"/>
    <w:rsid w:val="00A3712C"/>
    <w:rsid w:val="00A3718A"/>
    <w:rsid w:val="00A37218"/>
    <w:rsid w:val="00A372C8"/>
    <w:rsid w:val="00A373EB"/>
    <w:rsid w:val="00A37416"/>
    <w:rsid w:val="00A37427"/>
    <w:rsid w:val="00A37466"/>
    <w:rsid w:val="00A3748F"/>
    <w:rsid w:val="00A375E3"/>
    <w:rsid w:val="00A37903"/>
    <w:rsid w:val="00A3799E"/>
    <w:rsid w:val="00A37A30"/>
    <w:rsid w:val="00A37C53"/>
    <w:rsid w:val="00A37CBB"/>
    <w:rsid w:val="00A37D99"/>
    <w:rsid w:val="00A37EEA"/>
    <w:rsid w:val="00A37FC8"/>
    <w:rsid w:val="00A4015E"/>
    <w:rsid w:val="00A402ED"/>
    <w:rsid w:val="00A4035A"/>
    <w:rsid w:val="00A40363"/>
    <w:rsid w:val="00A40581"/>
    <w:rsid w:val="00A4068E"/>
    <w:rsid w:val="00A406C1"/>
    <w:rsid w:val="00A40DF5"/>
    <w:rsid w:val="00A40DFA"/>
    <w:rsid w:val="00A40EBC"/>
    <w:rsid w:val="00A41178"/>
    <w:rsid w:val="00A41484"/>
    <w:rsid w:val="00A416DF"/>
    <w:rsid w:val="00A41719"/>
    <w:rsid w:val="00A417F0"/>
    <w:rsid w:val="00A41902"/>
    <w:rsid w:val="00A41947"/>
    <w:rsid w:val="00A419F5"/>
    <w:rsid w:val="00A41CEB"/>
    <w:rsid w:val="00A41E2D"/>
    <w:rsid w:val="00A41E9D"/>
    <w:rsid w:val="00A41EF9"/>
    <w:rsid w:val="00A41F79"/>
    <w:rsid w:val="00A41FBE"/>
    <w:rsid w:val="00A42298"/>
    <w:rsid w:val="00A422B9"/>
    <w:rsid w:val="00A4236B"/>
    <w:rsid w:val="00A4239D"/>
    <w:rsid w:val="00A423AD"/>
    <w:rsid w:val="00A424F7"/>
    <w:rsid w:val="00A4253F"/>
    <w:rsid w:val="00A42567"/>
    <w:rsid w:val="00A4289F"/>
    <w:rsid w:val="00A42B44"/>
    <w:rsid w:val="00A42BAC"/>
    <w:rsid w:val="00A42C56"/>
    <w:rsid w:val="00A42CA4"/>
    <w:rsid w:val="00A42CF8"/>
    <w:rsid w:val="00A42FD8"/>
    <w:rsid w:val="00A430E2"/>
    <w:rsid w:val="00A430E7"/>
    <w:rsid w:val="00A43381"/>
    <w:rsid w:val="00A433E4"/>
    <w:rsid w:val="00A43452"/>
    <w:rsid w:val="00A434C2"/>
    <w:rsid w:val="00A43868"/>
    <w:rsid w:val="00A4388B"/>
    <w:rsid w:val="00A43AC6"/>
    <w:rsid w:val="00A43B2B"/>
    <w:rsid w:val="00A43C1A"/>
    <w:rsid w:val="00A43D36"/>
    <w:rsid w:val="00A43E1E"/>
    <w:rsid w:val="00A43EC2"/>
    <w:rsid w:val="00A44117"/>
    <w:rsid w:val="00A441BF"/>
    <w:rsid w:val="00A44252"/>
    <w:rsid w:val="00A442E1"/>
    <w:rsid w:val="00A442EC"/>
    <w:rsid w:val="00A443AA"/>
    <w:rsid w:val="00A4445F"/>
    <w:rsid w:val="00A44736"/>
    <w:rsid w:val="00A44786"/>
    <w:rsid w:val="00A44797"/>
    <w:rsid w:val="00A448F1"/>
    <w:rsid w:val="00A44957"/>
    <w:rsid w:val="00A44969"/>
    <w:rsid w:val="00A44999"/>
    <w:rsid w:val="00A449A9"/>
    <w:rsid w:val="00A449D4"/>
    <w:rsid w:val="00A44C5E"/>
    <w:rsid w:val="00A44E74"/>
    <w:rsid w:val="00A44EB5"/>
    <w:rsid w:val="00A44ED0"/>
    <w:rsid w:val="00A44F02"/>
    <w:rsid w:val="00A45363"/>
    <w:rsid w:val="00A45389"/>
    <w:rsid w:val="00A453F2"/>
    <w:rsid w:val="00A45535"/>
    <w:rsid w:val="00A45855"/>
    <w:rsid w:val="00A458DD"/>
    <w:rsid w:val="00A459E2"/>
    <w:rsid w:val="00A459F9"/>
    <w:rsid w:val="00A45B4F"/>
    <w:rsid w:val="00A45E24"/>
    <w:rsid w:val="00A46087"/>
    <w:rsid w:val="00A461FD"/>
    <w:rsid w:val="00A4638F"/>
    <w:rsid w:val="00A46532"/>
    <w:rsid w:val="00A467BD"/>
    <w:rsid w:val="00A46A78"/>
    <w:rsid w:val="00A46DE4"/>
    <w:rsid w:val="00A46FC9"/>
    <w:rsid w:val="00A47005"/>
    <w:rsid w:val="00A47074"/>
    <w:rsid w:val="00A4737E"/>
    <w:rsid w:val="00A47422"/>
    <w:rsid w:val="00A47968"/>
    <w:rsid w:val="00A47A7C"/>
    <w:rsid w:val="00A47ABC"/>
    <w:rsid w:val="00A47C54"/>
    <w:rsid w:val="00A47C6F"/>
    <w:rsid w:val="00A47C70"/>
    <w:rsid w:val="00A47EA3"/>
    <w:rsid w:val="00A47EBA"/>
    <w:rsid w:val="00A47ECD"/>
    <w:rsid w:val="00A47EEF"/>
    <w:rsid w:val="00A47F40"/>
    <w:rsid w:val="00A47F52"/>
    <w:rsid w:val="00A47F77"/>
    <w:rsid w:val="00A5017B"/>
    <w:rsid w:val="00A5030A"/>
    <w:rsid w:val="00A5032E"/>
    <w:rsid w:val="00A504BE"/>
    <w:rsid w:val="00A5051A"/>
    <w:rsid w:val="00A5057E"/>
    <w:rsid w:val="00A5083B"/>
    <w:rsid w:val="00A50857"/>
    <w:rsid w:val="00A508B7"/>
    <w:rsid w:val="00A509EA"/>
    <w:rsid w:val="00A50A0F"/>
    <w:rsid w:val="00A50B8A"/>
    <w:rsid w:val="00A50EF9"/>
    <w:rsid w:val="00A50F67"/>
    <w:rsid w:val="00A50FAB"/>
    <w:rsid w:val="00A50FE7"/>
    <w:rsid w:val="00A51064"/>
    <w:rsid w:val="00A51199"/>
    <w:rsid w:val="00A513F6"/>
    <w:rsid w:val="00A51541"/>
    <w:rsid w:val="00A51648"/>
    <w:rsid w:val="00A51920"/>
    <w:rsid w:val="00A51964"/>
    <w:rsid w:val="00A51F4D"/>
    <w:rsid w:val="00A52039"/>
    <w:rsid w:val="00A522C8"/>
    <w:rsid w:val="00A52524"/>
    <w:rsid w:val="00A525EB"/>
    <w:rsid w:val="00A52643"/>
    <w:rsid w:val="00A5286D"/>
    <w:rsid w:val="00A529C2"/>
    <w:rsid w:val="00A52B3E"/>
    <w:rsid w:val="00A52C63"/>
    <w:rsid w:val="00A52CA2"/>
    <w:rsid w:val="00A52D92"/>
    <w:rsid w:val="00A52DAB"/>
    <w:rsid w:val="00A52DDA"/>
    <w:rsid w:val="00A52E57"/>
    <w:rsid w:val="00A52E8B"/>
    <w:rsid w:val="00A53053"/>
    <w:rsid w:val="00A5305B"/>
    <w:rsid w:val="00A5327B"/>
    <w:rsid w:val="00A532CA"/>
    <w:rsid w:val="00A53317"/>
    <w:rsid w:val="00A53412"/>
    <w:rsid w:val="00A534A9"/>
    <w:rsid w:val="00A53515"/>
    <w:rsid w:val="00A53577"/>
    <w:rsid w:val="00A53599"/>
    <w:rsid w:val="00A53602"/>
    <w:rsid w:val="00A53611"/>
    <w:rsid w:val="00A5367A"/>
    <w:rsid w:val="00A53B86"/>
    <w:rsid w:val="00A53BD1"/>
    <w:rsid w:val="00A53C19"/>
    <w:rsid w:val="00A53D77"/>
    <w:rsid w:val="00A53DC0"/>
    <w:rsid w:val="00A53DCD"/>
    <w:rsid w:val="00A53E36"/>
    <w:rsid w:val="00A54172"/>
    <w:rsid w:val="00A542E5"/>
    <w:rsid w:val="00A54351"/>
    <w:rsid w:val="00A544EB"/>
    <w:rsid w:val="00A545C9"/>
    <w:rsid w:val="00A5464F"/>
    <w:rsid w:val="00A5472B"/>
    <w:rsid w:val="00A54785"/>
    <w:rsid w:val="00A54906"/>
    <w:rsid w:val="00A54DC7"/>
    <w:rsid w:val="00A54F13"/>
    <w:rsid w:val="00A55065"/>
    <w:rsid w:val="00A55088"/>
    <w:rsid w:val="00A550AF"/>
    <w:rsid w:val="00A5523A"/>
    <w:rsid w:val="00A554D1"/>
    <w:rsid w:val="00A55745"/>
    <w:rsid w:val="00A557F5"/>
    <w:rsid w:val="00A55942"/>
    <w:rsid w:val="00A559D8"/>
    <w:rsid w:val="00A55B72"/>
    <w:rsid w:val="00A55C6C"/>
    <w:rsid w:val="00A55D27"/>
    <w:rsid w:val="00A55D38"/>
    <w:rsid w:val="00A56669"/>
    <w:rsid w:val="00A566B4"/>
    <w:rsid w:val="00A56764"/>
    <w:rsid w:val="00A56768"/>
    <w:rsid w:val="00A5679A"/>
    <w:rsid w:val="00A5686E"/>
    <w:rsid w:val="00A56904"/>
    <w:rsid w:val="00A5696E"/>
    <w:rsid w:val="00A56BAB"/>
    <w:rsid w:val="00A56D5A"/>
    <w:rsid w:val="00A56FA7"/>
    <w:rsid w:val="00A57118"/>
    <w:rsid w:val="00A571B9"/>
    <w:rsid w:val="00A571DE"/>
    <w:rsid w:val="00A57302"/>
    <w:rsid w:val="00A575BF"/>
    <w:rsid w:val="00A577F9"/>
    <w:rsid w:val="00A578D8"/>
    <w:rsid w:val="00A57AC3"/>
    <w:rsid w:val="00A57D74"/>
    <w:rsid w:val="00A57E42"/>
    <w:rsid w:val="00A57E49"/>
    <w:rsid w:val="00A57ED3"/>
    <w:rsid w:val="00A57FDA"/>
    <w:rsid w:val="00A5AFA0"/>
    <w:rsid w:val="00A5EA57"/>
    <w:rsid w:val="00A6009B"/>
    <w:rsid w:val="00A6015D"/>
    <w:rsid w:val="00A60232"/>
    <w:rsid w:val="00A60237"/>
    <w:rsid w:val="00A6045D"/>
    <w:rsid w:val="00A60755"/>
    <w:rsid w:val="00A607A9"/>
    <w:rsid w:val="00A60809"/>
    <w:rsid w:val="00A60942"/>
    <w:rsid w:val="00A60C0B"/>
    <w:rsid w:val="00A60CAE"/>
    <w:rsid w:val="00A60E90"/>
    <w:rsid w:val="00A60F16"/>
    <w:rsid w:val="00A60F72"/>
    <w:rsid w:val="00A61182"/>
    <w:rsid w:val="00A6119B"/>
    <w:rsid w:val="00A611D9"/>
    <w:rsid w:val="00A61241"/>
    <w:rsid w:val="00A61353"/>
    <w:rsid w:val="00A61472"/>
    <w:rsid w:val="00A61647"/>
    <w:rsid w:val="00A617B3"/>
    <w:rsid w:val="00A61826"/>
    <w:rsid w:val="00A61995"/>
    <w:rsid w:val="00A61A9C"/>
    <w:rsid w:val="00A61B3F"/>
    <w:rsid w:val="00A61C4A"/>
    <w:rsid w:val="00A61F7D"/>
    <w:rsid w:val="00A622DF"/>
    <w:rsid w:val="00A62368"/>
    <w:rsid w:val="00A62473"/>
    <w:rsid w:val="00A62694"/>
    <w:rsid w:val="00A62754"/>
    <w:rsid w:val="00A62A6C"/>
    <w:rsid w:val="00A62B76"/>
    <w:rsid w:val="00A62D2A"/>
    <w:rsid w:val="00A62E25"/>
    <w:rsid w:val="00A63067"/>
    <w:rsid w:val="00A63294"/>
    <w:rsid w:val="00A632CD"/>
    <w:rsid w:val="00A63337"/>
    <w:rsid w:val="00A633D1"/>
    <w:rsid w:val="00A633FF"/>
    <w:rsid w:val="00A63509"/>
    <w:rsid w:val="00A63545"/>
    <w:rsid w:val="00A63592"/>
    <w:rsid w:val="00A63675"/>
    <w:rsid w:val="00A6368C"/>
    <w:rsid w:val="00A636F1"/>
    <w:rsid w:val="00A6387E"/>
    <w:rsid w:val="00A6396D"/>
    <w:rsid w:val="00A63A94"/>
    <w:rsid w:val="00A63CF9"/>
    <w:rsid w:val="00A6427F"/>
    <w:rsid w:val="00A64287"/>
    <w:rsid w:val="00A642F0"/>
    <w:rsid w:val="00A64435"/>
    <w:rsid w:val="00A64520"/>
    <w:rsid w:val="00A64592"/>
    <w:rsid w:val="00A647FA"/>
    <w:rsid w:val="00A6483B"/>
    <w:rsid w:val="00A649BA"/>
    <w:rsid w:val="00A64A10"/>
    <w:rsid w:val="00A64B67"/>
    <w:rsid w:val="00A64CE5"/>
    <w:rsid w:val="00A64D74"/>
    <w:rsid w:val="00A64E2B"/>
    <w:rsid w:val="00A64E48"/>
    <w:rsid w:val="00A64E4E"/>
    <w:rsid w:val="00A64F70"/>
    <w:rsid w:val="00A651AE"/>
    <w:rsid w:val="00A65229"/>
    <w:rsid w:val="00A652AD"/>
    <w:rsid w:val="00A658AD"/>
    <w:rsid w:val="00A65920"/>
    <w:rsid w:val="00A65B43"/>
    <w:rsid w:val="00A65C2F"/>
    <w:rsid w:val="00A6606C"/>
    <w:rsid w:val="00A66083"/>
    <w:rsid w:val="00A660CD"/>
    <w:rsid w:val="00A6619E"/>
    <w:rsid w:val="00A662DD"/>
    <w:rsid w:val="00A66685"/>
    <w:rsid w:val="00A66699"/>
    <w:rsid w:val="00A666CE"/>
    <w:rsid w:val="00A6670B"/>
    <w:rsid w:val="00A6697D"/>
    <w:rsid w:val="00A66A53"/>
    <w:rsid w:val="00A66C56"/>
    <w:rsid w:val="00A66D95"/>
    <w:rsid w:val="00A670C2"/>
    <w:rsid w:val="00A6715F"/>
    <w:rsid w:val="00A672D4"/>
    <w:rsid w:val="00A6732A"/>
    <w:rsid w:val="00A67395"/>
    <w:rsid w:val="00A673A4"/>
    <w:rsid w:val="00A67526"/>
    <w:rsid w:val="00A6756A"/>
    <w:rsid w:val="00A6756B"/>
    <w:rsid w:val="00A67AE4"/>
    <w:rsid w:val="00A67CDD"/>
    <w:rsid w:val="00A67FC2"/>
    <w:rsid w:val="00A70119"/>
    <w:rsid w:val="00A7013D"/>
    <w:rsid w:val="00A701CC"/>
    <w:rsid w:val="00A702CE"/>
    <w:rsid w:val="00A702D9"/>
    <w:rsid w:val="00A704D2"/>
    <w:rsid w:val="00A7058F"/>
    <w:rsid w:val="00A705A8"/>
    <w:rsid w:val="00A70617"/>
    <w:rsid w:val="00A70646"/>
    <w:rsid w:val="00A7064E"/>
    <w:rsid w:val="00A708E0"/>
    <w:rsid w:val="00A708E1"/>
    <w:rsid w:val="00A70A6D"/>
    <w:rsid w:val="00A70B42"/>
    <w:rsid w:val="00A70B95"/>
    <w:rsid w:val="00A70EBC"/>
    <w:rsid w:val="00A70F60"/>
    <w:rsid w:val="00A71063"/>
    <w:rsid w:val="00A7114A"/>
    <w:rsid w:val="00A7126F"/>
    <w:rsid w:val="00A71546"/>
    <w:rsid w:val="00A71630"/>
    <w:rsid w:val="00A71A96"/>
    <w:rsid w:val="00A71BDF"/>
    <w:rsid w:val="00A71D3D"/>
    <w:rsid w:val="00A71E5D"/>
    <w:rsid w:val="00A71E5F"/>
    <w:rsid w:val="00A71F06"/>
    <w:rsid w:val="00A71F53"/>
    <w:rsid w:val="00A720A2"/>
    <w:rsid w:val="00A720A6"/>
    <w:rsid w:val="00A720CA"/>
    <w:rsid w:val="00A72128"/>
    <w:rsid w:val="00A7231C"/>
    <w:rsid w:val="00A72553"/>
    <w:rsid w:val="00A72557"/>
    <w:rsid w:val="00A726F5"/>
    <w:rsid w:val="00A727F1"/>
    <w:rsid w:val="00A72887"/>
    <w:rsid w:val="00A728E2"/>
    <w:rsid w:val="00A72998"/>
    <w:rsid w:val="00A72A65"/>
    <w:rsid w:val="00A72B83"/>
    <w:rsid w:val="00A72C32"/>
    <w:rsid w:val="00A72CDC"/>
    <w:rsid w:val="00A72DDD"/>
    <w:rsid w:val="00A72F55"/>
    <w:rsid w:val="00A73053"/>
    <w:rsid w:val="00A730AF"/>
    <w:rsid w:val="00A731DC"/>
    <w:rsid w:val="00A732D0"/>
    <w:rsid w:val="00A7373A"/>
    <w:rsid w:val="00A737F7"/>
    <w:rsid w:val="00A7392E"/>
    <w:rsid w:val="00A73A30"/>
    <w:rsid w:val="00A73CF7"/>
    <w:rsid w:val="00A73E58"/>
    <w:rsid w:val="00A73F2F"/>
    <w:rsid w:val="00A73F9E"/>
    <w:rsid w:val="00A7409F"/>
    <w:rsid w:val="00A74231"/>
    <w:rsid w:val="00A742BD"/>
    <w:rsid w:val="00A742CF"/>
    <w:rsid w:val="00A74407"/>
    <w:rsid w:val="00A74D01"/>
    <w:rsid w:val="00A75099"/>
    <w:rsid w:val="00A750FB"/>
    <w:rsid w:val="00A75114"/>
    <w:rsid w:val="00A7519F"/>
    <w:rsid w:val="00A7521E"/>
    <w:rsid w:val="00A752CD"/>
    <w:rsid w:val="00A752F7"/>
    <w:rsid w:val="00A7532E"/>
    <w:rsid w:val="00A754C1"/>
    <w:rsid w:val="00A7562E"/>
    <w:rsid w:val="00A75636"/>
    <w:rsid w:val="00A756ED"/>
    <w:rsid w:val="00A758B5"/>
    <w:rsid w:val="00A75B20"/>
    <w:rsid w:val="00A75B65"/>
    <w:rsid w:val="00A75C0D"/>
    <w:rsid w:val="00A75D31"/>
    <w:rsid w:val="00A75F79"/>
    <w:rsid w:val="00A76488"/>
    <w:rsid w:val="00A76676"/>
    <w:rsid w:val="00A766E8"/>
    <w:rsid w:val="00A766FE"/>
    <w:rsid w:val="00A76711"/>
    <w:rsid w:val="00A76777"/>
    <w:rsid w:val="00A76795"/>
    <w:rsid w:val="00A76848"/>
    <w:rsid w:val="00A768CC"/>
    <w:rsid w:val="00A76A9B"/>
    <w:rsid w:val="00A76B3E"/>
    <w:rsid w:val="00A76B46"/>
    <w:rsid w:val="00A76C32"/>
    <w:rsid w:val="00A76D12"/>
    <w:rsid w:val="00A76D4B"/>
    <w:rsid w:val="00A76D87"/>
    <w:rsid w:val="00A76DD0"/>
    <w:rsid w:val="00A76DF1"/>
    <w:rsid w:val="00A76ECE"/>
    <w:rsid w:val="00A76F13"/>
    <w:rsid w:val="00A76F2B"/>
    <w:rsid w:val="00A773FE"/>
    <w:rsid w:val="00A7750F"/>
    <w:rsid w:val="00A775C7"/>
    <w:rsid w:val="00A7764C"/>
    <w:rsid w:val="00A776FD"/>
    <w:rsid w:val="00A77850"/>
    <w:rsid w:val="00A778A2"/>
    <w:rsid w:val="00A77951"/>
    <w:rsid w:val="00A77B0C"/>
    <w:rsid w:val="00A77B52"/>
    <w:rsid w:val="00A77D02"/>
    <w:rsid w:val="00A801F0"/>
    <w:rsid w:val="00A80294"/>
    <w:rsid w:val="00A80459"/>
    <w:rsid w:val="00A8046B"/>
    <w:rsid w:val="00A80536"/>
    <w:rsid w:val="00A805F1"/>
    <w:rsid w:val="00A8065D"/>
    <w:rsid w:val="00A807EA"/>
    <w:rsid w:val="00A80874"/>
    <w:rsid w:val="00A8091D"/>
    <w:rsid w:val="00A809B2"/>
    <w:rsid w:val="00A80C13"/>
    <w:rsid w:val="00A80C1F"/>
    <w:rsid w:val="00A80C54"/>
    <w:rsid w:val="00A80C74"/>
    <w:rsid w:val="00A80D22"/>
    <w:rsid w:val="00A8100B"/>
    <w:rsid w:val="00A810FD"/>
    <w:rsid w:val="00A812AF"/>
    <w:rsid w:val="00A8154F"/>
    <w:rsid w:val="00A81797"/>
    <w:rsid w:val="00A81834"/>
    <w:rsid w:val="00A81952"/>
    <w:rsid w:val="00A81D05"/>
    <w:rsid w:val="00A81D34"/>
    <w:rsid w:val="00A81EEC"/>
    <w:rsid w:val="00A81F15"/>
    <w:rsid w:val="00A81FB2"/>
    <w:rsid w:val="00A82010"/>
    <w:rsid w:val="00A8229B"/>
    <w:rsid w:val="00A82366"/>
    <w:rsid w:val="00A823E8"/>
    <w:rsid w:val="00A8244D"/>
    <w:rsid w:val="00A8289E"/>
    <w:rsid w:val="00A8291E"/>
    <w:rsid w:val="00A82952"/>
    <w:rsid w:val="00A82AAF"/>
    <w:rsid w:val="00A82AE9"/>
    <w:rsid w:val="00A82AF2"/>
    <w:rsid w:val="00A82B60"/>
    <w:rsid w:val="00A82BF3"/>
    <w:rsid w:val="00A82EA5"/>
    <w:rsid w:val="00A82FA1"/>
    <w:rsid w:val="00A831DA"/>
    <w:rsid w:val="00A8350A"/>
    <w:rsid w:val="00A83548"/>
    <w:rsid w:val="00A835B6"/>
    <w:rsid w:val="00A837E0"/>
    <w:rsid w:val="00A83846"/>
    <w:rsid w:val="00A83B4A"/>
    <w:rsid w:val="00A83E03"/>
    <w:rsid w:val="00A83E9B"/>
    <w:rsid w:val="00A83F2C"/>
    <w:rsid w:val="00A84011"/>
    <w:rsid w:val="00A84134"/>
    <w:rsid w:val="00A84178"/>
    <w:rsid w:val="00A84230"/>
    <w:rsid w:val="00A84275"/>
    <w:rsid w:val="00A843F8"/>
    <w:rsid w:val="00A845CB"/>
    <w:rsid w:val="00A84728"/>
    <w:rsid w:val="00A8479A"/>
    <w:rsid w:val="00A8484C"/>
    <w:rsid w:val="00A84A6D"/>
    <w:rsid w:val="00A84B47"/>
    <w:rsid w:val="00A84B79"/>
    <w:rsid w:val="00A84E7C"/>
    <w:rsid w:val="00A84F48"/>
    <w:rsid w:val="00A84F4B"/>
    <w:rsid w:val="00A84F74"/>
    <w:rsid w:val="00A84F99"/>
    <w:rsid w:val="00A850D3"/>
    <w:rsid w:val="00A85155"/>
    <w:rsid w:val="00A851FE"/>
    <w:rsid w:val="00A8529E"/>
    <w:rsid w:val="00A853A4"/>
    <w:rsid w:val="00A854B8"/>
    <w:rsid w:val="00A85602"/>
    <w:rsid w:val="00A85676"/>
    <w:rsid w:val="00A857EC"/>
    <w:rsid w:val="00A8595B"/>
    <w:rsid w:val="00A85B51"/>
    <w:rsid w:val="00A85CA9"/>
    <w:rsid w:val="00A85D94"/>
    <w:rsid w:val="00A85DBB"/>
    <w:rsid w:val="00A85DEE"/>
    <w:rsid w:val="00A85F01"/>
    <w:rsid w:val="00A85F2C"/>
    <w:rsid w:val="00A860C1"/>
    <w:rsid w:val="00A861EE"/>
    <w:rsid w:val="00A86394"/>
    <w:rsid w:val="00A86529"/>
    <w:rsid w:val="00A8682C"/>
    <w:rsid w:val="00A868D3"/>
    <w:rsid w:val="00A86E1D"/>
    <w:rsid w:val="00A86EB1"/>
    <w:rsid w:val="00A86FAC"/>
    <w:rsid w:val="00A86FBA"/>
    <w:rsid w:val="00A86FC4"/>
    <w:rsid w:val="00A86FDE"/>
    <w:rsid w:val="00A87037"/>
    <w:rsid w:val="00A87140"/>
    <w:rsid w:val="00A871B9"/>
    <w:rsid w:val="00A8723A"/>
    <w:rsid w:val="00A8726A"/>
    <w:rsid w:val="00A87387"/>
    <w:rsid w:val="00A87985"/>
    <w:rsid w:val="00A87A13"/>
    <w:rsid w:val="00A87B7A"/>
    <w:rsid w:val="00A87C01"/>
    <w:rsid w:val="00A87C18"/>
    <w:rsid w:val="00A87C2C"/>
    <w:rsid w:val="00A87C6A"/>
    <w:rsid w:val="00A87C77"/>
    <w:rsid w:val="00A87C8E"/>
    <w:rsid w:val="00A87D61"/>
    <w:rsid w:val="00A87E51"/>
    <w:rsid w:val="00A87E76"/>
    <w:rsid w:val="00A87EA4"/>
    <w:rsid w:val="00A90163"/>
    <w:rsid w:val="00A901C9"/>
    <w:rsid w:val="00A901F5"/>
    <w:rsid w:val="00A90461"/>
    <w:rsid w:val="00A90494"/>
    <w:rsid w:val="00A9059B"/>
    <w:rsid w:val="00A906AC"/>
    <w:rsid w:val="00A906DB"/>
    <w:rsid w:val="00A9083F"/>
    <w:rsid w:val="00A90862"/>
    <w:rsid w:val="00A90887"/>
    <w:rsid w:val="00A90898"/>
    <w:rsid w:val="00A909C9"/>
    <w:rsid w:val="00A90AE2"/>
    <w:rsid w:val="00A90F02"/>
    <w:rsid w:val="00A91267"/>
    <w:rsid w:val="00A9126A"/>
    <w:rsid w:val="00A91392"/>
    <w:rsid w:val="00A9147D"/>
    <w:rsid w:val="00A91542"/>
    <w:rsid w:val="00A9155C"/>
    <w:rsid w:val="00A9163F"/>
    <w:rsid w:val="00A917EF"/>
    <w:rsid w:val="00A9188C"/>
    <w:rsid w:val="00A91935"/>
    <w:rsid w:val="00A91B2F"/>
    <w:rsid w:val="00A91CB1"/>
    <w:rsid w:val="00A91CF5"/>
    <w:rsid w:val="00A91F7B"/>
    <w:rsid w:val="00A91FF6"/>
    <w:rsid w:val="00A92044"/>
    <w:rsid w:val="00A92174"/>
    <w:rsid w:val="00A925D9"/>
    <w:rsid w:val="00A92732"/>
    <w:rsid w:val="00A92775"/>
    <w:rsid w:val="00A927B9"/>
    <w:rsid w:val="00A927F8"/>
    <w:rsid w:val="00A92B95"/>
    <w:rsid w:val="00A92CD8"/>
    <w:rsid w:val="00A92D92"/>
    <w:rsid w:val="00A92DE7"/>
    <w:rsid w:val="00A92E2E"/>
    <w:rsid w:val="00A92E4F"/>
    <w:rsid w:val="00A92FC0"/>
    <w:rsid w:val="00A93051"/>
    <w:rsid w:val="00A93271"/>
    <w:rsid w:val="00A932A3"/>
    <w:rsid w:val="00A933CB"/>
    <w:rsid w:val="00A933E0"/>
    <w:rsid w:val="00A9350A"/>
    <w:rsid w:val="00A936B1"/>
    <w:rsid w:val="00A93938"/>
    <w:rsid w:val="00A93A47"/>
    <w:rsid w:val="00A93F3F"/>
    <w:rsid w:val="00A93F4A"/>
    <w:rsid w:val="00A94069"/>
    <w:rsid w:val="00A942E6"/>
    <w:rsid w:val="00A943EA"/>
    <w:rsid w:val="00A944CB"/>
    <w:rsid w:val="00A944E7"/>
    <w:rsid w:val="00A944F9"/>
    <w:rsid w:val="00A944FB"/>
    <w:rsid w:val="00A9461A"/>
    <w:rsid w:val="00A94679"/>
    <w:rsid w:val="00A94732"/>
    <w:rsid w:val="00A947AB"/>
    <w:rsid w:val="00A94917"/>
    <w:rsid w:val="00A94996"/>
    <w:rsid w:val="00A949C7"/>
    <w:rsid w:val="00A94A83"/>
    <w:rsid w:val="00A94F07"/>
    <w:rsid w:val="00A95078"/>
    <w:rsid w:val="00A95134"/>
    <w:rsid w:val="00A95184"/>
    <w:rsid w:val="00A95373"/>
    <w:rsid w:val="00A953B4"/>
    <w:rsid w:val="00A95532"/>
    <w:rsid w:val="00A9581E"/>
    <w:rsid w:val="00A95B6B"/>
    <w:rsid w:val="00A95EC5"/>
    <w:rsid w:val="00A95EC7"/>
    <w:rsid w:val="00A95F8E"/>
    <w:rsid w:val="00A95F9D"/>
    <w:rsid w:val="00A95FB4"/>
    <w:rsid w:val="00A96061"/>
    <w:rsid w:val="00A96253"/>
    <w:rsid w:val="00A96315"/>
    <w:rsid w:val="00A96704"/>
    <w:rsid w:val="00A96776"/>
    <w:rsid w:val="00A96789"/>
    <w:rsid w:val="00A967AC"/>
    <w:rsid w:val="00A96951"/>
    <w:rsid w:val="00A96A64"/>
    <w:rsid w:val="00A96D45"/>
    <w:rsid w:val="00A96E4C"/>
    <w:rsid w:val="00A96E89"/>
    <w:rsid w:val="00A96EB2"/>
    <w:rsid w:val="00A96EF6"/>
    <w:rsid w:val="00A96F13"/>
    <w:rsid w:val="00A97063"/>
    <w:rsid w:val="00A970A9"/>
    <w:rsid w:val="00A9719D"/>
    <w:rsid w:val="00A971C8"/>
    <w:rsid w:val="00A97472"/>
    <w:rsid w:val="00A9755C"/>
    <w:rsid w:val="00A9756A"/>
    <w:rsid w:val="00A975D3"/>
    <w:rsid w:val="00A97661"/>
    <w:rsid w:val="00A9769E"/>
    <w:rsid w:val="00A976B7"/>
    <w:rsid w:val="00A97763"/>
    <w:rsid w:val="00A97AE8"/>
    <w:rsid w:val="00A97BC4"/>
    <w:rsid w:val="00A97CCD"/>
    <w:rsid w:val="00A97CED"/>
    <w:rsid w:val="00A97D4E"/>
    <w:rsid w:val="00A97F6A"/>
    <w:rsid w:val="00AA02EA"/>
    <w:rsid w:val="00AA031D"/>
    <w:rsid w:val="00AA0370"/>
    <w:rsid w:val="00AA05D0"/>
    <w:rsid w:val="00AA069D"/>
    <w:rsid w:val="00AA07AE"/>
    <w:rsid w:val="00AA0934"/>
    <w:rsid w:val="00AA0935"/>
    <w:rsid w:val="00AA0954"/>
    <w:rsid w:val="00AA0A80"/>
    <w:rsid w:val="00AA0BC5"/>
    <w:rsid w:val="00AA0C48"/>
    <w:rsid w:val="00AA0C85"/>
    <w:rsid w:val="00AA0F6E"/>
    <w:rsid w:val="00AA107C"/>
    <w:rsid w:val="00AA11D2"/>
    <w:rsid w:val="00AA1315"/>
    <w:rsid w:val="00AA142E"/>
    <w:rsid w:val="00AA14BA"/>
    <w:rsid w:val="00AA1572"/>
    <w:rsid w:val="00AA1811"/>
    <w:rsid w:val="00AA1839"/>
    <w:rsid w:val="00AA1926"/>
    <w:rsid w:val="00AA1AAF"/>
    <w:rsid w:val="00AA1C0E"/>
    <w:rsid w:val="00AA2948"/>
    <w:rsid w:val="00AA2BDA"/>
    <w:rsid w:val="00AA2C43"/>
    <w:rsid w:val="00AA2C67"/>
    <w:rsid w:val="00AA2CCA"/>
    <w:rsid w:val="00AA2D79"/>
    <w:rsid w:val="00AA2D7A"/>
    <w:rsid w:val="00AA2E25"/>
    <w:rsid w:val="00AA342A"/>
    <w:rsid w:val="00AA345F"/>
    <w:rsid w:val="00AA3645"/>
    <w:rsid w:val="00AA374C"/>
    <w:rsid w:val="00AA3939"/>
    <w:rsid w:val="00AA3953"/>
    <w:rsid w:val="00AA39DF"/>
    <w:rsid w:val="00AA3A52"/>
    <w:rsid w:val="00AA3D42"/>
    <w:rsid w:val="00AA3ED4"/>
    <w:rsid w:val="00AA40E0"/>
    <w:rsid w:val="00AA40EE"/>
    <w:rsid w:val="00AA418A"/>
    <w:rsid w:val="00AA41AB"/>
    <w:rsid w:val="00AA420C"/>
    <w:rsid w:val="00AA430A"/>
    <w:rsid w:val="00AA4396"/>
    <w:rsid w:val="00AA46DA"/>
    <w:rsid w:val="00AA47A1"/>
    <w:rsid w:val="00AA4A0A"/>
    <w:rsid w:val="00AA4A13"/>
    <w:rsid w:val="00AA4AE1"/>
    <w:rsid w:val="00AA4C09"/>
    <w:rsid w:val="00AA4D9E"/>
    <w:rsid w:val="00AA5168"/>
    <w:rsid w:val="00AA5332"/>
    <w:rsid w:val="00AA5354"/>
    <w:rsid w:val="00AA53CE"/>
    <w:rsid w:val="00AA55DD"/>
    <w:rsid w:val="00AA57EA"/>
    <w:rsid w:val="00AA5899"/>
    <w:rsid w:val="00AA5C8A"/>
    <w:rsid w:val="00AA5F77"/>
    <w:rsid w:val="00AA6136"/>
    <w:rsid w:val="00AA6141"/>
    <w:rsid w:val="00AA6292"/>
    <w:rsid w:val="00AA6523"/>
    <w:rsid w:val="00AA6529"/>
    <w:rsid w:val="00AA65E7"/>
    <w:rsid w:val="00AA6871"/>
    <w:rsid w:val="00AA68D7"/>
    <w:rsid w:val="00AA69F2"/>
    <w:rsid w:val="00AA6C20"/>
    <w:rsid w:val="00AA6C6D"/>
    <w:rsid w:val="00AA6C9B"/>
    <w:rsid w:val="00AA6D63"/>
    <w:rsid w:val="00AA6D85"/>
    <w:rsid w:val="00AA6D92"/>
    <w:rsid w:val="00AA6EA2"/>
    <w:rsid w:val="00AA6F13"/>
    <w:rsid w:val="00AA6FE6"/>
    <w:rsid w:val="00AA6FFB"/>
    <w:rsid w:val="00AA71CA"/>
    <w:rsid w:val="00AA726E"/>
    <w:rsid w:val="00AA7324"/>
    <w:rsid w:val="00AA75C0"/>
    <w:rsid w:val="00AA75F0"/>
    <w:rsid w:val="00AA76EF"/>
    <w:rsid w:val="00AA783F"/>
    <w:rsid w:val="00AA7862"/>
    <w:rsid w:val="00AA7A63"/>
    <w:rsid w:val="00AA7CD8"/>
    <w:rsid w:val="00AA7EAC"/>
    <w:rsid w:val="00AA7F74"/>
    <w:rsid w:val="00AA7F95"/>
    <w:rsid w:val="00AB0000"/>
    <w:rsid w:val="00AB0134"/>
    <w:rsid w:val="00AB017B"/>
    <w:rsid w:val="00AB0264"/>
    <w:rsid w:val="00AB040B"/>
    <w:rsid w:val="00AB0587"/>
    <w:rsid w:val="00AB063F"/>
    <w:rsid w:val="00AB0649"/>
    <w:rsid w:val="00AB0670"/>
    <w:rsid w:val="00AB085C"/>
    <w:rsid w:val="00AB085F"/>
    <w:rsid w:val="00AB0B20"/>
    <w:rsid w:val="00AB0CB9"/>
    <w:rsid w:val="00AB0E8B"/>
    <w:rsid w:val="00AB0EA1"/>
    <w:rsid w:val="00AB0FD3"/>
    <w:rsid w:val="00AB0FF7"/>
    <w:rsid w:val="00AB105C"/>
    <w:rsid w:val="00AB11EE"/>
    <w:rsid w:val="00AB1272"/>
    <w:rsid w:val="00AB13D3"/>
    <w:rsid w:val="00AB13ED"/>
    <w:rsid w:val="00AB149B"/>
    <w:rsid w:val="00AB1506"/>
    <w:rsid w:val="00AB151B"/>
    <w:rsid w:val="00AB157C"/>
    <w:rsid w:val="00AB16CA"/>
    <w:rsid w:val="00AB1756"/>
    <w:rsid w:val="00AB17A0"/>
    <w:rsid w:val="00AB1876"/>
    <w:rsid w:val="00AB1AD2"/>
    <w:rsid w:val="00AB1DF6"/>
    <w:rsid w:val="00AB1FBC"/>
    <w:rsid w:val="00AB1FD2"/>
    <w:rsid w:val="00AB208F"/>
    <w:rsid w:val="00AB20A6"/>
    <w:rsid w:val="00AB20B3"/>
    <w:rsid w:val="00AB2241"/>
    <w:rsid w:val="00AB2302"/>
    <w:rsid w:val="00AB23A7"/>
    <w:rsid w:val="00AB2827"/>
    <w:rsid w:val="00AB2938"/>
    <w:rsid w:val="00AB2981"/>
    <w:rsid w:val="00AB2994"/>
    <w:rsid w:val="00AB2AD4"/>
    <w:rsid w:val="00AB2B1D"/>
    <w:rsid w:val="00AB2D96"/>
    <w:rsid w:val="00AB2DB9"/>
    <w:rsid w:val="00AB2DFC"/>
    <w:rsid w:val="00AB2F83"/>
    <w:rsid w:val="00AB3002"/>
    <w:rsid w:val="00AB305A"/>
    <w:rsid w:val="00AB35E3"/>
    <w:rsid w:val="00AB3B5B"/>
    <w:rsid w:val="00AB3C6D"/>
    <w:rsid w:val="00AB3E1F"/>
    <w:rsid w:val="00AB3F2E"/>
    <w:rsid w:val="00AB4114"/>
    <w:rsid w:val="00AB4278"/>
    <w:rsid w:val="00AB4371"/>
    <w:rsid w:val="00AB4949"/>
    <w:rsid w:val="00AB4B71"/>
    <w:rsid w:val="00AB4BF6"/>
    <w:rsid w:val="00AB4C29"/>
    <w:rsid w:val="00AB4E1A"/>
    <w:rsid w:val="00AB4F6E"/>
    <w:rsid w:val="00AB53D3"/>
    <w:rsid w:val="00AB5444"/>
    <w:rsid w:val="00AB553B"/>
    <w:rsid w:val="00AB5628"/>
    <w:rsid w:val="00AB5634"/>
    <w:rsid w:val="00AB5794"/>
    <w:rsid w:val="00AB599C"/>
    <w:rsid w:val="00AB5A19"/>
    <w:rsid w:val="00AB5A47"/>
    <w:rsid w:val="00AB5C08"/>
    <w:rsid w:val="00AB5CDF"/>
    <w:rsid w:val="00AB5E3E"/>
    <w:rsid w:val="00AB5F90"/>
    <w:rsid w:val="00AB6127"/>
    <w:rsid w:val="00AB6199"/>
    <w:rsid w:val="00AB628E"/>
    <w:rsid w:val="00AB641B"/>
    <w:rsid w:val="00AB6457"/>
    <w:rsid w:val="00AB6498"/>
    <w:rsid w:val="00AB667B"/>
    <w:rsid w:val="00AB669F"/>
    <w:rsid w:val="00AB6786"/>
    <w:rsid w:val="00AB67EA"/>
    <w:rsid w:val="00AB6814"/>
    <w:rsid w:val="00AB6848"/>
    <w:rsid w:val="00AB691F"/>
    <w:rsid w:val="00AB6930"/>
    <w:rsid w:val="00AB6B7A"/>
    <w:rsid w:val="00AB6D34"/>
    <w:rsid w:val="00AB6D3F"/>
    <w:rsid w:val="00AB6D66"/>
    <w:rsid w:val="00AB6DF4"/>
    <w:rsid w:val="00AB6E4B"/>
    <w:rsid w:val="00AB6EFC"/>
    <w:rsid w:val="00AB6F35"/>
    <w:rsid w:val="00AB6FB5"/>
    <w:rsid w:val="00AB6FF3"/>
    <w:rsid w:val="00AB7124"/>
    <w:rsid w:val="00AB7161"/>
    <w:rsid w:val="00AB7179"/>
    <w:rsid w:val="00AB7184"/>
    <w:rsid w:val="00AB727C"/>
    <w:rsid w:val="00AB7388"/>
    <w:rsid w:val="00AB73E2"/>
    <w:rsid w:val="00AB74D3"/>
    <w:rsid w:val="00AB75C5"/>
    <w:rsid w:val="00AB75E8"/>
    <w:rsid w:val="00AB75EF"/>
    <w:rsid w:val="00AB760E"/>
    <w:rsid w:val="00AB7667"/>
    <w:rsid w:val="00AB77A6"/>
    <w:rsid w:val="00AB7812"/>
    <w:rsid w:val="00AB785C"/>
    <w:rsid w:val="00AB78CA"/>
    <w:rsid w:val="00AB7975"/>
    <w:rsid w:val="00AB7986"/>
    <w:rsid w:val="00AB7C54"/>
    <w:rsid w:val="00AB7FAF"/>
    <w:rsid w:val="00AC0191"/>
    <w:rsid w:val="00AC0315"/>
    <w:rsid w:val="00AC03C8"/>
    <w:rsid w:val="00AC0437"/>
    <w:rsid w:val="00AC0585"/>
    <w:rsid w:val="00AC081B"/>
    <w:rsid w:val="00AC081C"/>
    <w:rsid w:val="00AC0887"/>
    <w:rsid w:val="00AC09E6"/>
    <w:rsid w:val="00AC0ABF"/>
    <w:rsid w:val="00AC0D71"/>
    <w:rsid w:val="00AC0FB3"/>
    <w:rsid w:val="00AC1048"/>
    <w:rsid w:val="00AC10F3"/>
    <w:rsid w:val="00AC1413"/>
    <w:rsid w:val="00AC1521"/>
    <w:rsid w:val="00AC156E"/>
    <w:rsid w:val="00AC15AC"/>
    <w:rsid w:val="00AC17FC"/>
    <w:rsid w:val="00AC180F"/>
    <w:rsid w:val="00AC18ED"/>
    <w:rsid w:val="00AC193A"/>
    <w:rsid w:val="00AC1B58"/>
    <w:rsid w:val="00AC1B9C"/>
    <w:rsid w:val="00AC1C1B"/>
    <w:rsid w:val="00AC1EA8"/>
    <w:rsid w:val="00AC1EB9"/>
    <w:rsid w:val="00AC2880"/>
    <w:rsid w:val="00AC28B6"/>
    <w:rsid w:val="00AC2991"/>
    <w:rsid w:val="00AC2A71"/>
    <w:rsid w:val="00AC2ADE"/>
    <w:rsid w:val="00AC2AF8"/>
    <w:rsid w:val="00AC2B0B"/>
    <w:rsid w:val="00AC2BD0"/>
    <w:rsid w:val="00AC2D0D"/>
    <w:rsid w:val="00AC2F26"/>
    <w:rsid w:val="00AC2FD4"/>
    <w:rsid w:val="00AC3030"/>
    <w:rsid w:val="00AC3073"/>
    <w:rsid w:val="00AC30C5"/>
    <w:rsid w:val="00AC30C9"/>
    <w:rsid w:val="00AC3160"/>
    <w:rsid w:val="00AC32E8"/>
    <w:rsid w:val="00AC33EA"/>
    <w:rsid w:val="00AC3500"/>
    <w:rsid w:val="00AC35FF"/>
    <w:rsid w:val="00AC37A7"/>
    <w:rsid w:val="00AC39F5"/>
    <w:rsid w:val="00AC3C1E"/>
    <w:rsid w:val="00AC3C95"/>
    <w:rsid w:val="00AC3D3B"/>
    <w:rsid w:val="00AC3F84"/>
    <w:rsid w:val="00AC3FFE"/>
    <w:rsid w:val="00AC413D"/>
    <w:rsid w:val="00AC4302"/>
    <w:rsid w:val="00AC44AB"/>
    <w:rsid w:val="00AC4524"/>
    <w:rsid w:val="00AC460B"/>
    <w:rsid w:val="00AC4639"/>
    <w:rsid w:val="00AC4641"/>
    <w:rsid w:val="00AC473F"/>
    <w:rsid w:val="00AC47A6"/>
    <w:rsid w:val="00AC48A0"/>
    <w:rsid w:val="00AC48C3"/>
    <w:rsid w:val="00AC4EFA"/>
    <w:rsid w:val="00AC4F4D"/>
    <w:rsid w:val="00AC4F9E"/>
    <w:rsid w:val="00AC5165"/>
    <w:rsid w:val="00AC549A"/>
    <w:rsid w:val="00AC54D0"/>
    <w:rsid w:val="00AC553B"/>
    <w:rsid w:val="00AC5653"/>
    <w:rsid w:val="00AC5706"/>
    <w:rsid w:val="00AC5810"/>
    <w:rsid w:val="00AC5875"/>
    <w:rsid w:val="00AC5895"/>
    <w:rsid w:val="00AC5AD5"/>
    <w:rsid w:val="00AC5CCD"/>
    <w:rsid w:val="00AC626B"/>
    <w:rsid w:val="00AC62A8"/>
    <w:rsid w:val="00AC645E"/>
    <w:rsid w:val="00AC66B7"/>
    <w:rsid w:val="00AC6798"/>
    <w:rsid w:val="00AC67FE"/>
    <w:rsid w:val="00AC6843"/>
    <w:rsid w:val="00AC6858"/>
    <w:rsid w:val="00AC6AA9"/>
    <w:rsid w:val="00AC6AF8"/>
    <w:rsid w:val="00AC6B68"/>
    <w:rsid w:val="00AC6D53"/>
    <w:rsid w:val="00AC6E03"/>
    <w:rsid w:val="00AC6F11"/>
    <w:rsid w:val="00AC6FDD"/>
    <w:rsid w:val="00AC7042"/>
    <w:rsid w:val="00AC7067"/>
    <w:rsid w:val="00AC708D"/>
    <w:rsid w:val="00AC7141"/>
    <w:rsid w:val="00AC7648"/>
    <w:rsid w:val="00AC776B"/>
    <w:rsid w:val="00AC7B42"/>
    <w:rsid w:val="00AC7C64"/>
    <w:rsid w:val="00AC7C78"/>
    <w:rsid w:val="00AC7F39"/>
    <w:rsid w:val="00AD012E"/>
    <w:rsid w:val="00AD047B"/>
    <w:rsid w:val="00AD0567"/>
    <w:rsid w:val="00AD05B4"/>
    <w:rsid w:val="00AD0621"/>
    <w:rsid w:val="00AD0635"/>
    <w:rsid w:val="00AD066E"/>
    <w:rsid w:val="00AD074B"/>
    <w:rsid w:val="00AD0869"/>
    <w:rsid w:val="00AD0941"/>
    <w:rsid w:val="00AD0A40"/>
    <w:rsid w:val="00AD0A8B"/>
    <w:rsid w:val="00AD0B01"/>
    <w:rsid w:val="00AD0B2B"/>
    <w:rsid w:val="00AD0C98"/>
    <w:rsid w:val="00AD1251"/>
    <w:rsid w:val="00AD12AF"/>
    <w:rsid w:val="00AD14A0"/>
    <w:rsid w:val="00AD1A37"/>
    <w:rsid w:val="00AD1AD6"/>
    <w:rsid w:val="00AD1B90"/>
    <w:rsid w:val="00AD1CF8"/>
    <w:rsid w:val="00AD1D6B"/>
    <w:rsid w:val="00AD217F"/>
    <w:rsid w:val="00AD223D"/>
    <w:rsid w:val="00AD2440"/>
    <w:rsid w:val="00AD28E6"/>
    <w:rsid w:val="00AD2BC1"/>
    <w:rsid w:val="00AD2BD4"/>
    <w:rsid w:val="00AD2C60"/>
    <w:rsid w:val="00AD2CA1"/>
    <w:rsid w:val="00AD2D4F"/>
    <w:rsid w:val="00AD2DC0"/>
    <w:rsid w:val="00AD2E02"/>
    <w:rsid w:val="00AD2EF1"/>
    <w:rsid w:val="00AD2FA6"/>
    <w:rsid w:val="00AD2FB1"/>
    <w:rsid w:val="00AD312C"/>
    <w:rsid w:val="00AD317E"/>
    <w:rsid w:val="00AD34EB"/>
    <w:rsid w:val="00AD364F"/>
    <w:rsid w:val="00AD391C"/>
    <w:rsid w:val="00AD39F7"/>
    <w:rsid w:val="00AD3C84"/>
    <w:rsid w:val="00AD3EB8"/>
    <w:rsid w:val="00AD4054"/>
    <w:rsid w:val="00AD4071"/>
    <w:rsid w:val="00AD4135"/>
    <w:rsid w:val="00AD418D"/>
    <w:rsid w:val="00AD4290"/>
    <w:rsid w:val="00AD42EC"/>
    <w:rsid w:val="00AD472E"/>
    <w:rsid w:val="00AD49F6"/>
    <w:rsid w:val="00AD4A52"/>
    <w:rsid w:val="00AD4B56"/>
    <w:rsid w:val="00AD4C56"/>
    <w:rsid w:val="00AD4C76"/>
    <w:rsid w:val="00AD4EDB"/>
    <w:rsid w:val="00AD4F68"/>
    <w:rsid w:val="00AD507F"/>
    <w:rsid w:val="00AD50E3"/>
    <w:rsid w:val="00AD523B"/>
    <w:rsid w:val="00AD53D3"/>
    <w:rsid w:val="00AD55E3"/>
    <w:rsid w:val="00AD569E"/>
    <w:rsid w:val="00AD56B3"/>
    <w:rsid w:val="00AD57D3"/>
    <w:rsid w:val="00AD5998"/>
    <w:rsid w:val="00AD5A74"/>
    <w:rsid w:val="00AD5B8E"/>
    <w:rsid w:val="00AD5FC6"/>
    <w:rsid w:val="00AD616E"/>
    <w:rsid w:val="00AD61FD"/>
    <w:rsid w:val="00AD63D8"/>
    <w:rsid w:val="00AD640E"/>
    <w:rsid w:val="00AD647E"/>
    <w:rsid w:val="00AD653E"/>
    <w:rsid w:val="00AD65A3"/>
    <w:rsid w:val="00AD692B"/>
    <w:rsid w:val="00AD692C"/>
    <w:rsid w:val="00AD6CEE"/>
    <w:rsid w:val="00AD6D34"/>
    <w:rsid w:val="00AD6E46"/>
    <w:rsid w:val="00AD7113"/>
    <w:rsid w:val="00AD722F"/>
    <w:rsid w:val="00AD739D"/>
    <w:rsid w:val="00AD7453"/>
    <w:rsid w:val="00AD746E"/>
    <w:rsid w:val="00AD75CF"/>
    <w:rsid w:val="00AD76E4"/>
    <w:rsid w:val="00AD7AE4"/>
    <w:rsid w:val="00AD7E8E"/>
    <w:rsid w:val="00AE0025"/>
    <w:rsid w:val="00AE00AD"/>
    <w:rsid w:val="00AE0156"/>
    <w:rsid w:val="00AE0166"/>
    <w:rsid w:val="00AE0226"/>
    <w:rsid w:val="00AE026F"/>
    <w:rsid w:val="00AE031F"/>
    <w:rsid w:val="00AE0626"/>
    <w:rsid w:val="00AE0731"/>
    <w:rsid w:val="00AE086D"/>
    <w:rsid w:val="00AE0AE0"/>
    <w:rsid w:val="00AE0D7D"/>
    <w:rsid w:val="00AE107B"/>
    <w:rsid w:val="00AE1479"/>
    <w:rsid w:val="00AE166C"/>
    <w:rsid w:val="00AE1701"/>
    <w:rsid w:val="00AE1761"/>
    <w:rsid w:val="00AE1779"/>
    <w:rsid w:val="00AE193A"/>
    <w:rsid w:val="00AE1AD5"/>
    <w:rsid w:val="00AE1B76"/>
    <w:rsid w:val="00AE1ECC"/>
    <w:rsid w:val="00AE1EDE"/>
    <w:rsid w:val="00AE2149"/>
    <w:rsid w:val="00AE24DB"/>
    <w:rsid w:val="00AE253A"/>
    <w:rsid w:val="00AE267D"/>
    <w:rsid w:val="00AE2711"/>
    <w:rsid w:val="00AE2919"/>
    <w:rsid w:val="00AE2979"/>
    <w:rsid w:val="00AE2A49"/>
    <w:rsid w:val="00AE2B2E"/>
    <w:rsid w:val="00AE2F07"/>
    <w:rsid w:val="00AE2F10"/>
    <w:rsid w:val="00AE2FC5"/>
    <w:rsid w:val="00AE311C"/>
    <w:rsid w:val="00AE315A"/>
    <w:rsid w:val="00AE325B"/>
    <w:rsid w:val="00AE3329"/>
    <w:rsid w:val="00AE339C"/>
    <w:rsid w:val="00AE3585"/>
    <w:rsid w:val="00AE35EC"/>
    <w:rsid w:val="00AE384E"/>
    <w:rsid w:val="00AE3984"/>
    <w:rsid w:val="00AE3A08"/>
    <w:rsid w:val="00AE3AD1"/>
    <w:rsid w:val="00AE3C88"/>
    <w:rsid w:val="00AE3E3D"/>
    <w:rsid w:val="00AE3F76"/>
    <w:rsid w:val="00AE401D"/>
    <w:rsid w:val="00AE402F"/>
    <w:rsid w:val="00AE418C"/>
    <w:rsid w:val="00AE4286"/>
    <w:rsid w:val="00AE42DF"/>
    <w:rsid w:val="00AE44C2"/>
    <w:rsid w:val="00AE4513"/>
    <w:rsid w:val="00AE4636"/>
    <w:rsid w:val="00AE46C7"/>
    <w:rsid w:val="00AE46E7"/>
    <w:rsid w:val="00AE499E"/>
    <w:rsid w:val="00AE4CDB"/>
    <w:rsid w:val="00AE4D27"/>
    <w:rsid w:val="00AE4F7F"/>
    <w:rsid w:val="00AE514F"/>
    <w:rsid w:val="00AE5239"/>
    <w:rsid w:val="00AE5278"/>
    <w:rsid w:val="00AE5374"/>
    <w:rsid w:val="00AE5457"/>
    <w:rsid w:val="00AE551E"/>
    <w:rsid w:val="00AE55D5"/>
    <w:rsid w:val="00AE5617"/>
    <w:rsid w:val="00AE56D7"/>
    <w:rsid w:val="00AE58AD"/>
    <w:rsid w:val="00AE5E32"/>
    <w:rsid w:val="00AE6099"/>
    <w:rsid w:val="00AE60E9"/>
    <w:rsid w:val="00AE626B"/>
    <w:rsid w:val="00AE6291"/>
    <w:rsid w:val="00AE62DB"/>
    <w:rsid w:val="00AE639D"/>
    <w:rsid w:val="00AE63F2"/>
    <w:rsid w:val="00AE640A"/>
    <w:rsid w:val="00AE64EB"/>
    <w:rsid w:val="00AE658F"/>
    <w:rsid w:val="00AE65C7"/>
    <w:rsid w:val="00AE6664"/>
    <w:rsid w:val="00AE6881"/>
    <w:rsid w:val="00AE68E2"/>
    <w:rsid w:val="00AE6A56"/>
    <w:rsid w:val="00AE6CDF"/>
    <w:rsid w:val="00AE6D7E"/>
    <w:rsid w:val="00AE6E87"/>
    <w:rsid w:val="00AE6EED"/>
    <w:rsid w:val="00AE7176"/>
    <w:rsid w:val="00AE721F"/>
    <w:rsid w:val="00AE7229"/>
    <w:rsid w:val="00AE749A"/>
    <w:rsid w:val="00AE74F5"/>
    <w:rsid w:val="00AE7726"/>
    <w:rsid w:val="00AE776C"/>
    <w:rsid w:val="00AE79BF"/>
    <w:rsid w:val="00AE7A24"/>
    <w:rsid w:val="00AE7D0B"/>
    <w:rsid w:val="00AE7D1A"/>
    <w:rsid w:val="00AE7D30"/>
    <w:rsid w:val="00AE7DE7"/>
    <w:rsid w:val="00AE7FC4"/>
    <w:rsid w:val="00AE7FF4"/>
    <w:rsid w:val="00AF052F"/>
    <w:rsid w:val="00AF0676"/>
    <w:rsid w:val="00AF0778"/>
    <w:rsid w:val="00AF0863"/>
    <w:rsid w:val="00AF090E"/>
    <w:rsid w:val="00AF0950"/>
    <w:rsid w:val="00AF09A8"/>
    <w:rsid w:val="00AF0A33"/>
    <w:rsid w:val="00AF0ACB"/>
    <w:rsid w:val="00AF0C38"/>
    <w:rsid w:val="00AF0D10"/>
    <w:rsid w:val="00AF0D48"/>
    <w:rsid w:val="00AF0E31"/>
    <w:rsid w:val="00AF0ECB"/>
    <w:rsid w:val="00AF13B5"/>
    <w:rsid w:val="00AF140F"/>
    <w:rsid w:val="00AF1485"/>
    <w:rsid w:val="00AF1492"/>
    <w:rsid w:val="00AF14C7"/>
    <w:rsid w:val="00AF14DD"/>
    <w:rsid w:val="00AF1567"/>
    <w:rsid w:val="00AF165F"/>
    <w:rsid w:val="00AF1AB0"/>
    <w:rsid w:val="00AF1BD0"/>
    <w:rsid w:val="00AF1C9A"/>
    <w:rsid w:val="00AF1D65"/>
    <w:rsid w:val="00AF2020"/>
    <w:rsid w:val="00AF20DA"/>
    <w:rsid w:val="00AF23B4"/>
    <w:rsid w:val="00AF23D6"/>
    <w:rsid w:val="00AF2531"/>
    <w:rsid w:val="00AF26D5"/>
    <w:rsid w:val="00AF2721"/>
    <w:rsid w:val="00AF2748"/>
    <w:rsid w:val="00AF2798"/>
    <w:rsid w:val="00AF27C1"/>
    <w:rsid w:val="00AF2852"/>
    <w:rsid w:val="00AF29BB"/>
    <w:rsid w:val="00AF29F5"/>
    <w:rsid w:val="00AF2A63"/>
    <w:rsid w:val="00AF2B8E"/>
    <w:rsid w:val="00AF2BC4"/>
    <w:rsid w:val="00AF2C0D"/>
    <w:rsid w:val="00AF2F84"/>
    <w:rsid w:val="00AF2FF1"/>
    <w:rsid w:val="00AF30EC"/>
    <w:rsid w:val="00AF31EE"/>
    <w:rsid w:val="00AF3250"/>
    <w:rsid w:val="00AF327D"/>
    <w:rsid w:val="00AF352B"/>
    <w:rsid w:val="00AF3AD4"/>
    <w:rsid w:val="00AF3C6E"/>
    <w:rsid w:val="00AF3CBA"/>
    <w:rsid w:val="00AF3E3D"/>
    <w:rsid w:val="00AF40EF"/>
    <w:rsid w:val="00AF421B"/>
    <w:rsid w:val="00AF422A"/>
    <w:rsid w:val="00AF42AB"/>
    <w:rsid w:val="00AF431D"/>
    <w:rsid w:val="00AF43B8"/>
    <w:rsid w:val="00AF4551"/>
    <w:rsid w:val="00AF4814"/>
    <w:rsid w:val="00AF4B05"/>
    <w:rsid w:val="00AF4B31"/>
    <w:rsid w:val="00AF4C0B"/>
    <w:rsid w:val="00AF4CA5"/>
    <w:rsid w:val="00AF4D0C"/>
    <w:rsid w:val="00AF5041"/>
    <w:rsid w:val="00AF52AB"/>
    <w:rsid w:val="00AF543F"/>
    <w:rsid w:val="00AF54DA"/>
    <w:rsid w:val="00AF558D"/>
    <w:rsid w:val="00AF5A5D"/>
    <w:rsid w:val="00AF5FB5"/>
    <w:rsid w:val="00AF6169"/>
    <w:rsid w:val="00AF628B"/>
    <w:rsid w:val="00AF6372"/>
    <w:rsid w:val="00AF63C6"/>
    <w:rsid w:val="00AF65CE"/>
    <w:rsid w:val="00AF6727"/>
    <w:rsid w:val="00AF6904"/>
    <w:rsid w:val="00AF69F0"/>
    <w:rsid w:val="00AF6A70"/>
    <w:rsid w:val="00AF6BBD"/>
    <w:rsid w:val="00AF6DA9"/>
    <w:rsid w:val="00AF6FBB"/>
    <w:rsid w:val="00AF7001"/>
    <w:rsid w:val="00AF7126"/>
    <w:rsid w:val="00AF7535"/>
    <w:rsid w:val="00AF765B"/>
    <w:rsid w:val="00AF77B6"/>
    <w:rsid w:val="00AF7880"/>
    <w:rsid w:val="00AF78AE"/>
    <w:rsid w:val="00AF78DD"/>
    <w:rsid w:val="00AF7B69"/>
    <w:rsid w:val="00AF7F47"/>
    <w:rsid w:val="00AF7F73"/>
    <w:rsid w:val="00B0004E"/>
    <w:rsid w:val="00B00740"/>
    <w:rsid w:val="00B00896"/>
    <w:rsid w:val="00B00B4E"/>
    <w:rsid w:val="00B00C18"/>
    <w:rsid w:val="00B00F14"/>
    <w:rsid w:val="00B01100"/>
    <w:rsid w:val="00B01461"/>
    <w:rsid w:val="00B01638"/>
    <w:rsid w:val="00B01850"/>
    <w:rsid w:val="00B018C5"/>
    <w:rsid w:val="00B01D48"/>
    <w:rsid w:val="00B01E68"/>
    <w:rsid w:val="00B020CA"/>
    <w:rsid w:val="00B023AF"/>
    <w:rsid w:val="00B024F8"/>
    <w:rsid w:val="00B026EA"/>
    <w:rsid w:val="00B02740"/>
    <w:rsid w:val="00B02D01"/>
    <w:rsid w:val="00B02E41"/>
    <w:rsid w:val="00B02E74"/>
    <w:rsid w:val="00B02E79"/>
    <w:rsid w:val="00B02E8E"/>
    <w:rsid w:val="00B030AD"/>
    <w:rsid w:val="00B030C1"/>
    <w:rsid w:val="00B030F0"/>
    <w:rsid w:val="00B0311B"/>
    <w:rsid w:val="00B031C2"/>
    <w:rsid w:val="00B031EB"/>
    <w:rsid w:val="00B0354A"/>
    <w:rsid w:val="00B0374F"/>
    <w:rsid w:val="00B037E8"/>
    <w:rsid w:val="00B0393D"/>
    <w:rsid w:val="00B03987"/>
    <w:rsid w:val="00B039D4"/>
    <w:rsid w:val="00B03B54"/>
    <w:rsid w:val="00B03C10"/>
    <w:rsid w:val="00B03CD0"/>
    <w:rsid w:val="00B03E3F"/>
    <w:rsid w:val="00B03E7F"/>
    <w:rsid w:val="00B03F0F"/>
    <w:rsid w:val="00B04096"/>
    <w:rsid w:val="00B04160"/>
    <w:rsid w:val="00B04500"/>
    <w:rsid w:val="00B04501"/>
    <w:rsid w:val="00B046C6"/>
    <w:rsid w:val="00B04736"/>
    <w:rsid w:val="00B047DA"/>
    <w:rsid w:val="00B04824"/>
    <w:rsid w:val="00B04A52"/>
    <w:rsid w:val="00B04BDA"/>
    <w:rsid w:val="00B04BEE"/>
    <w:rsid w:val="00B04E05"/>
    <w:rsid w:val="00B04E67"/>
    <w:rsid w:val="00B05037"/>
    <w:rsid w:val="00B0510A"/>
    <w:rsid w:val="00B0521A"/>
    <w:rsid w:val="00B054FD"/>
    <w:rsid w:val="00B05538"/>
    <w:rsid w:val="00B0567E"/>
    <w:rsid w:val="00B057CE"/>
    <w:rsid w:val="00B05860"/>
    <w:rsid w:val="00B059DD"/>
    <w:rsid w:val="00B05D0F"/>
    <w:rsid w:val="00B05DB8"/>
    <w:rsid w:val="00B061E0"/>
    <w:rsid w:val="00B062DC"/>
    <w:rsid w:val="00B0637B"/>
    <w:rsid w:val="00B064C7"/>
    <w:rsid w:val="00B064EF"/>
    <w:rsid w:val="00B06532"/>
    <w:rsid w:val="00B0692E"/>
    <w:rsid w:val="00B06A79"/>
    <w:rsid w:val="00B06BF4"/>
    <w:rsid w:val="00B06E3E"/>
    <w:rsid w:val="00B06E46"/>
    <w:rsid w:val="00B06E8F"/>
    <w:rsid w:val="00B070E0"/>
    <w:rsid w:val="00B07231"/>
    <w:rsid w:val="00B072A3"/>
    <w:rsid w:val="00B07307"/>
    <w:rsid w:val="00B07599"/>
    <w:rsid w:val="00B07700"/>
    <w:rsid w:val="00B0771C"/>
    <w:rsid w:val="00B077E8"/>
    <w:rsid w:val="00B078C2"/>
    <w:rsid w:val="00B07C50"/>
    <w:rsid w:val="00B07D88"/>
    <w:rsid w:val="00B07DBC"/>
    <w:rsid w:val="00B07E1F"/>
    <w:rsid w:val="00B07FD3"/>
    <w:rsid w:val="00B0E3A2"/>
    <w:rsid w:val="00B1019C"/>
    <w:rsid w:val="00B10278"/>
    <w:rsid w:val="00B10BC0"/>
    <w:rsid w:val="00B10C0F"/>
    <w:rsid w:val="00B10C64"/>
    <w:rsid w:val="00B10CBB"/>
    <w:rsid w:val="00B10D43"/>
    <w:rsid w:val="00B10D5A"/>
    <w:rsid w:val="00B1134B"/>
    <w:rsid w:val="00B113A5"/>
    <w:rsid w:val="00B113BA"/>
    <w:rsid w:val="00B113D8"/>
    <w:rsid w:val="00B114C2"/>
    <w:rsid w:val="00B117C6"/>
    <w:rsid w:val="00B11887"/>
    <w:rsid w:val="00B11A92"/>
    <w:rsid w:val="00B11B08"/>
    <w:rsid w:val="00B11BA7"/>
    <w:rsid w:val="00B11C7B"/>
    <w:rsid w:val="00B11CC9"/>
    <w:rsid w:val="00B11DC3"/>
    <w:rsid w:val="00B11E60"/>
    <w:rsid w:val="00B11ED3"/>
    <w:rsid w:val="00B11FBE"/>
    <w:rsid w:val="00B11FC9"/>
    <w:rsid w:val="00B11FE2"/>
    <w:rsid w:val="00B12065"/>
    <w:rsid w:val="00B121E2"/>
    <w:rsid w:val="00B12286"/>
    <w:rsid w:val="00B122B0"/>
    <w:rsid w:val="00B123C4"/>
    <w:rsid w:val="00B12473"/>
    <w:rsid w:val="00B1256A"/>
    <w:rsid w:val="00B125A8"/>
    <w:rsid w:val="00B125CA"/>
    <w:rsid w:val="00B1264D"/>
    <w:rsid w:val="00B126C2"/>
    <w:rsid w:val="00B1274A"/>
    <w:rsid w:val="00B128A4"/>
    <w:rsid w:val="00B12ABB"/>
    <w:rsid w:val="00B12B37"/>
    <w:rsid w:val="00B12B87"/>
    <w:rsid w:val="00B12D06"/>
    <w:rsid w:val="00B12D97"/>
    <w:rsid w:val="00B12E9C"/>
    <w:rsid w:val="00B12EFC"/>
    <w:rsid w:val="00B13003"/>
    <w:rsid w:val="00B13196"/>
    <w:rsid w:val="00B1328D"/>
    <w:rsid w:val="00B132C0"/>
    <w:rsid w:val="00B1332C"/>
    <w:rsid w:val="00B13372"/>
    <w:rsid w:val="00B133BA"/>
    <w:rsid w:val="00B13438"/>
    <w:rsid w:val="00B1343B"/>
    <w:rsid w:val="00B134B4"/>
    <w:rsid w:val="00B134FF"/>
    <w:rsid w:val="00B137E5"/>
    <w:rsid w:val="00B13826"/>
    <w:rsid w:val="00B13852"/>
    <w:rsid w:val="00B138B4"/>
    <w:rsid w:val="00B1390E"/>
    <w:rsid w:val="00B13AB5"/>
    <w:rsid w:val="00B13AB8"/>
    <w:rsid w:val="00B13AFD"/>
    <w:rsid w:val="00B13B6F"/>
    <w:rsid w:val="00B13C49"/>
    <w:rsid w:val="00B13CDC"/>
    <w:rsid w:val="00B13CE2"/>
    <w:rsid w:val="00B13D81"/>
    <w:rsid w:val="00B14070"/>
    <w:rsid w:val="00B14527"/>
    <w:rsid w:val="00B1463C"/>
    <w:rsid w:val="00B147A6"/>
    <w:rsid w:val="00B14833"/>
    <w:rsid w:val="00B14A50"/>
    <w:rsid w:val="00B14AA3"/>
    <w:rsid w:val="00B14ACF"/>
    <w:rsid w:val="00B14CE7"/>
    <w:rsid w:val="00B14CE9"/>
    <w:rsid w:val="00B14D4A"/>
    <w:rsid w:val="00B14F3C"/>
    <w:rsid w:val="00B1506D"/>
    <w:rsid w:val="00B151F4"/>
    <w:rsid w:val="00B15427"/>
    <w:rsid w:val="00B15529"/>
    <w:rsid w:val="00B1552C"/>
    <w:rsid w:val="00B1566A"/>
    <w:rsid w:val="00B15691"/>
    <w:rsid w:val="00B1579E"/>
    <w:rsid w:val="00B1581C"/>
    <w:rsid w:val="00B15A0C"/>
    <w:rsid w:val="00B15CE7"/>
    <w:rsid w:val="00B15E33"/>
    <w:rsid w:val="00B15E37"/>
    <w:rsid w:val="00B15E94"/>
    <w:rsid w:val="00B16070"/>
    <w:rsid w:val="00B1621D"/>
    <w:rsid w:val="00B16251"/>
    <w:rsid w:val="00B1642F"/>
    <w:rsid w:val="00B1649C"/>
    <w:rsid w:val="00B164A9"/>
    <w:rsid w:val="00B16785"/>
    <w:rsid w:val="00B167BE"/>
    <w:rsid w:val="00B16B5F"/>
    <w:rsid w:val="00B16C04"/>
    <w:rsid w:val="00B16C4E"/>
    <w:rsid w:val="00B16DD7"/>
    <w:rsid w:val="00B16E9E"/>
    <w:rsid w:val="00B16EC0"/>
    <w:rsid w:val="00B16F61"/>
    <w:rsid w:val="00B17272"/>
    <w:rsid w:val="00B172C7"/>
    <w:rsid w:val="00B1731B"/>
    <w:rsid w:val="00B17427"/>
    <w:rsid w:val="00B17459"/>
    <w:rsid w:val="00B174D6"/>
    <w:rsid w:val="00B174E3"/>
    <w:rsid w:val="00B177C2"/>
    <w:rsid w:val="00B178E6"/>
    <w:rsid w:val="00B17B99"/>
    <w:rsid w:val="00B17E42"/>
    <w:rsid w:val="00B20022"/>
    <w:rsid w:val="00B200D0"/>
    <w:rsid w:val="00B203B3"/>
    <w:rsid w:val="00B2052F"/>
    <w:rsid w:val="00B20615"/>
    <w:rsid w:val="00B2067F"/>
    <w:rsid w:val="00B20856"/>
    <w:rsid w:val="00B20ADA"/>
    <w:rsid w:val="00B20B90"/>
    <w:rsid w:val="00B20C99"/>
    <w:rsid w:val="00B20F3F"/>
    <w:rsid w:val="00B20F5D"/>
    <w:rsid w:val="00B20F99"/>
    <w:rsid w:val="00B2112C"/>
    <w:rsid w:val="00B21223"/>
    <w:rsid w:val="00B21385"/>
    <w:rsid w:val="00B2170E"/>
    <w:rsid w:val="00B21C06"/>
    <w:rsid w:val="00B21C9B"/>
    <w:rsid w:val="00B21DB3"/>
    <w:rsid w:val="00B221A5"/>
    <w:rsid w:val="00B223FB"/>
    <w:rsid w:val="00B22415"/>
    <w:rsid w:val="00B224A1"/>
    <w:rsid w:val="00B224AB"/>
    <w:rsid w:val="00B226F2"/>
    <w:rsid w:val="00B2276B"/>
    <w:rsid w:val="00B22863"/>
    <w:rsid w:val="00B22C82"/>
    <w:rsid w:val="00B22CDF"/>
    <w:rsid w:val="00B22E90"/>
    <w:rsid w:val="00B22F36"/>
    <w:rsid w:val="00B22F72"/>
    <w:rsid w:val="00B2303A"/>
    <w:rsid w:val="00B2303B"/>
    <w:rsid w:val="00B23138"/>
    <w:rsid w:val="00B23421"/>
    <w:rsid w:val="00B2355C"/>
    <w:rsid w:val="00B23735"/>
    <w:rsid w:val="00B23829"/>
    <w:rsid w:val="00B2385C"/>
    <w:rsid w:val="00B23A1A"/>
    <w:rsid w:val="00B23A3B"/>
    <w:rsid w:val="00B23B41"/>
    <w:rsid w:val="00B23C31"/>
    <w:rsid w:val="00B23C56"/>
    <w:rsid w:val="00B23C6C"/>
    <w:rsid w:val="00B23E1D"/>
    <w:rsid w:val="00B24214"/>
    <w:rsid w:val="00B24377"/>
    <w:rsid w:val="00B24452"/>
    <w:rsid w:val="00B2468A"/>
    <w:rsid w:val="00B2469C"/>
    <w:rsid w:val="00B246E3"/>
    <w:rsid w:val="00B247A3"/>
    <w:rsid w:val="00B24864"/>
    <w:rsid w:val="00B248A1"/>
    <w:rsid w:val="00B24999"/>
    <w:rsid w:val="00B24A70"/>
    <w:rsid w:val="00B24B2D"/>
    <w:rsid w:val="00B24C65"/>
    <w:rsid w:val="00B24DFD"/>
    <w:rsid w:val="00B24F2E"/>
    <w:rsid w:val="00B2502B"/>
    <w:rsid w:val="00B25034"/>
    <w:rsid w:val="00B25264"/>
    <w:rsid w:val="00B25410"/>
    <w:rsid w:val="00B254ED"/>
    <w:rsid w:val="00B25570"/>
    <w:rsid w:val="00B255E7"/>
    <w:rsid w:val="00B25696"/>
    <w:rsid w:val="00B25833"/>
    <w:rsid w:val="00B25A3A"/>
    <w:rsid w:val="00B25B35"/>
    <w:rsid w:val="00B25D87"/>
    <w:rsid w:val="00B25DCA"/>
    <w:rsid w:val="00B25DFF"/>
    <w:rsid w:val="00B25EEA"/>
    <w:rsid w:val="00B26146"/>
    <w:rsid w:val="00B2614D"/>
    <w:rsid w:val="00B26337"/>
    <w:rsid w:val="00B2634E"/>
    <w:rsid w:val="00B26605"/>
    <w:rsid w:val="00B26874"/>
    <w:rsid w:val="00B26B07"/>
    <w:rsid w:val="00B26BA4"/>
    <w:rsid w:val="00B26C50"/>
    <w:rsid w:val="00B26F3D"/>
    <w:rsid w:val="00B2716C"/>
    <w:rsid w:val="00B27201"/>
    <w:rsid w:val="00B2734F"/>
    <w:rsid w:val="00B273D6"/>
    <w:rsid w:val="00B27420"/>
    <w:rsid w:val="00B27439"/>
    <w:rsid w:val="00B27517"/>
    <w:rsid w:val="00B27574"/>
    <w:rsid w:val="00B2776B"/>
    <w:rsid w:val="00B27A08"/>
    <w:rsid w:val="00B27A3C"/>
    <w:rsid w:val="00B27B94"/>
    <w:rsid w:val="00B27D86"/>
    <w:rsid w:val="00B27DD6"/>
    <w:rsid w:val="00B27E2A"/>
    <w:rsid w:val="00B27E44"/>
    <w:rsid w:val="00B27EE3"/>
    <w:rsid w:val="00B27F74"/>
    <w:rsid w:val="00B27FDB"/>
    <w:rsid w:val="00B300BC"/>
    <w:rsid w:val="00B301DD"/>
    <w:rsid w:val="00B302EA"/>
    <w:rsid w:val="00B30413"/>
    <w:rsid w:val="00B3063E"/>
    <w:rsid w:val="00B306D7"/>
    <w:rsid w:val="00B30718"/>
    <w:rsid w:val="00B307B2"/>
    <w:rsid w:val="00B30A77"/>
    <w:rsid w:val="00B30CDC"/>
    <w:rsid w:val="00B30D13"/>
    <w:rsid w:val="00B30D1E"/>
    <w:rsid w:val="00B3125A"/>
    <w:rsid w:val="00B3125E"/>
    <w:rsid w:val="00B312DD"/>
    <w:rsid w:val="00B3146A"/>
    <w:rsid w:val="00B315AE"/>
    <w:rsid w:val="00B31837"/>
    <w:rsid w:val="00B31869"/>
    <w:rsid w:val="00B3186E"/>
    <w:rsid w:val="00B31A4F"/>
    <w:rsid w:val="00B31BDC"/>
    <w:rsid w:val="00B31E54"/>
    <w:rsid w:val="00B32117"/>
    <w:rsid w:val="00B32152"/>
    <w:rsid w:val="00B322EF"/>
    <w:rsid w:val="00B32351"/>
    <w:rsid w:val="00B323C3"/>
    <w:rsid w:val="00B3240A"/>
    <w:rsid w:val="00B32432"/>
    <w:rsid w:val="00B32438"/>
    <w:rsid w:val="00B32717"/>
    <w:rsid w:val="00B32795"/>
    <w:rsid w:val="00B327CB"/>
    <w:rsid w:val="00B32AC8"/>
    <w:rsid w:val="00B32B40"/>
    <w:rsid w:val="00B32CF9"/>
    <w:rsid w:val="00B32E78"/>
    <w:rsid w:val="00B32E85"/>
    <w:rsid w:val="00B3305A"/>
    <w:rsid w:val="00B33070"/>
    <w:rsid w:val="00B33128"/>
    <w:rsid w:val="00B33548"/>
    <w:rsid w:val="00B33551"/>
    <w:rsid w:val="00B3361A"/>
    <w:rsid w:val="00B3361C"/>
    <w:rsid w:val="00B337CC"/>
    <w:rsid w:val="00B33A12"/>
    <w:rsid w:val="00B33A54"/>
    <w:rsid w:val="00B33AAF"/>
    <w:rsid w:val="00B33ACE"/>
    <w:rsid w:val="00B33B43"/>
    <w:rsid w:val="00B33CEB"/>
    <w:rsid w:val="00B33F88"/>
    <w:rsid w:val="00B340C9"/>
    <w:rsid w:val="00B34187"/>
    <w:rsid w:val="00B34611"/>
    <w:rsid w:val="00B34A79"/>
    <w:rsid w:val="00B34BA3"/>
    <w:rsid w:val="00B34C02"/>
    <w:rsid w:val="00B34E2F"/>
    <w:rsid w:val="00B34E3D"/>
    <w:rsid w:val="00B35023"/>
    <w:rsid w:val="00B35171"/>
    <w:rsid w:val="00B35191"/>
    <w:rsid w:val="00B35365"/>
    <w:rsid w:val="00B35535"/>
    <w:rsid w:val="00B355CC"/>
    <w:rsid w:val="00B35946"/>
    <w:rsid w:val="00B35974"/>
    <w:rsid w:val="00B35AB1"/>
    <w:rsid w:val="00B35BE0"/>
    <w:rsid w:val="00B35C60"/>
    <w:rsid w:val="00B35F42"/>
    <w:rsid w:val="00B3616F"/>
    <w:rsid w:val="00B364B9"/>
    <w:rsid w:val="00B364C7"/>
    <w:rsid w:val="00B3672D"/>
    <w:rsid w:val="00B36775"/>
    <w:rsid w:val="00B367B0"/>
    <w:rsid w:val="00B367D7"/>
    <w:rsid w:val="00B36876"/>
    <w:rsid w:val="00B368B6"/>
    <w:rsid w:val="00B368FE"/>
    <w:rsid w:val="00B36B1C"/>
    <w:rsid w:val="00B36BAA"/>
    <w:rsid w:val="00B36C23"/>
    <w:rsid w:val="00B36EDF"/>
    <w:rsid w:val="00B36F5F"/>
    <w:rsid w:val="00B36F7A"/>
    <w:rsid w:val="00B372C6"/>
    <w:rsid w:val="00B376E3"/>
    <w:rsid w:val="00B37AB4"/>
    <w:rsid w:val="00B37B9A"/>
    <w:rsid w:val="00B37C5C"/>
    <w:rsid w:val="00B37CEB"/>
    <w:rsid w:val="00B37E39"/>
    <w:rsid w:val="00B37E49"/>
    <w:rsid w:val="00B40058"/>
    <w:rsid w:val="00B400F4"/>
    <w:rsid w:val="00B40251"/>
    <w:rsid w:val="00B4030E"/>
    <w:rsid w:val="00B40416"/>
    <w:rsid w:val="00B4057E"/>
    <w:rsid w:val="00B40645"/>
    <w:rsid w:val="00B4078C"/>
    <w:rsid w:val="00B40BCD"/>
    <w:rsid w:val="00B40D01"/>
    <w:rsid w:val="00B40D0F"/>
    <w:rsid w:val="00B40E06"/>
    <w:rsid w:val="00B40E8A"/>
    <w:rsid w:val="00B4106E"/>
    <w:rsid w:val="00B41077"/>
    <w:rsid w:val="00B41081"/>
    <w:rsid w:val="00B4124B"/>
    <w:rsid w:val="00B4125E"/>
    <w:rsid w:val="00B41548"/>
    <w:rsid w:val="00B415EC"/>
    <w:rsid w:val="00B41646"/>
    <w:rsid w:val="00B41663"/>
    <w:rsid w:val="00B41897"/>
    <w:rsid w:val="00B419F7"/>
    <w:rsid w:val="00B41A28"/>
    <w:rsid w:val="00B41B17"/>
    <w:rsid w:val="00B41C9C"/>
    <w:rsid w:val="00B41CCE"/>
    <w:rsid w:val="00B41E1D"/>
    <w:rsid w:val="00B41E8E"/>
    <w:rsid w:val="00B420E4"/>
    <w:rsid w:val="00B4210F"/>
    <w:rsid w:val="00B42157"/>
    <w:rsid w:val="00B4215C"/>
    <w:rsid w:val="00B42175"/>
    <w:rsid w:val="00B42248"/>
    <w:rsid w:val="00B42262"/>
    <w:rsid w:val="00B4226A"/>
    <w:rsid w:val="00B42345"/>
    <w:rsid w:val="00B4236B"/>
    <w:rsid w:val="00B423AA"/>
    <w:rsid w:val="00B42973"/>
    <w:rsid w:val="00B429A7"/>
    <w:rsid w:val="00B429EB"/>
    <w:rsid w:val="00B42A17"/>
    <w:rsid w:val="00B42C14"/>
    <w:rsid w:val="00B42C45"/>
    <w:rsid w:val="00B42E51"/>
    <w:rsid w:val="00B42E8D"/>
    <w:rsid w:val="00B42F84"/>
    <w:rsid w:val="00B4300C"/>
    <w:rsid w:val="00B430C4"/>
    <w:rsid w:val="00B43130"/>
    <w:rsid w:val="00B432D5"/>
    <w:rsid w:val="00B432E9"/>
    <w:rsid w:val="00B43315"/>
    <w:rsid w:val="00B4350B"/>
    <w:rsid w:val="00B43550"/>
    <w:rsid w:val="00B4355E"/>
    <w:rsid w:val="00B43636"/>
    <w:rsid w:val="00B4371A"/>
    <w:rsid w:val="00B4398F"/>
    <w:rsid w:val="00B43BB4"/>
    <w:rsid w:val="00B43C0D"/>
    <w:rsid w:val="00B43C9F"/>
    <w:rsid w:val="00B43DD2"/>
    <w:rsid w:val="00B4402B"/>
    <w:rsid w:val="00B440DF"/>
    <w:rsid w:val="00B44154"/>
    <w:rsid w:val="00B44274"/>
    <w:rsid w:val="00B442E2"/>
    <w:rsid w:val="00B443E0"/>
    <w:rsid w:val="00B44860"/>
    <w:rsid w:val="00B44872"/>
    <w:rsid w:val="00B44A0B"/>
    <w:rsid w:val="00B44E34"/>
    <w:rsid w:val="00B450A2"/>
    <w:rsid w:val="00B451A2"/>
    <w:rsid w:val="00B45210"/>
    <w:rsid w:val="00B454B3"/>
    <w:rsid w:val="00B45500"/>
    <w:rsid w:val="00B45682"/>
    <w:rsid w:val="00B4570E"/>
    <w:rsid w:val="00B45936"/>
    <w:rsid w:val="00B45ABE"/>
    <w:rsid w:val="00B45AF6"/>
    <w:rsid w:val="00B45C50"/>
    <w:rsid w:val="00B46109"/>
    <w:rsid w:val="00B4627E"/>
    <w:rsid w:val="00B46392"/>
    <w:rsid w:val="00B46412"/>
    <w:rsid w:val="00B46483"/>
    <w:rsid w:val="00B46568"/>
    <w:rsid w:val="00B465F0"/>
    <w:rsid w:val="00B4664A"/>
    <w:rsid w:val="00B46B6D"/>
    <w:rsid w:val="00B46BDA"/>
    <w:rsid w:val="00B46D2B"/>
    <w:rsid w:val="00B46D6A"/>
    <w:rsid w:val="00B46DB4"/>
    <w:rsid w:val="00B46F1B"/>
    <w:rsid w:val="00B470B3"/>
    <w:rsid w:val="00B4713E"/>
    <w:rsid w:val="00B471DE"/>
    <w:rsid w:val="00B47215"/>
    <w:rsid w:val="00B47301"/>
    <w:rsid w:val="00B4731C"/>
    <w:rsid w:val="00B47428"/>
    <w:rsid w:val="00B47577"/>
    <w:rsid w:val="00B4761A"/>
    <w:rsid w:val="00B4766B"/>
    <w:rsid w:val="00B4790A"/>
    <w:rsid w:val="00B47AC4"/>
    <w:rsid w:val="00B47B64"/>
    <w:rsid w:val="00B47B80"/>
    <w:rsid w:val="00B47D5E"/>
    <w:rsid w:val="00B47E18"/>
    <w:rsid w:val="00B47F24"/>
    <w:rsid w:val="00B47F2C"/>
    <w:rsid w:val="00B47F59"/>
    <w:rsid w:val="00B47F9C"/>
    <w:rsid w:val="00B500E8"/>
    <w:rsid w:val="00B50127"/>
    <w:rsid w:val="00B5013F"/>
    <w:rsid w:val="00B502A1"/>
    <w:rsid w:val="00B502BE"/>
    <w:rsid w:val="00B50329"/>
    <w:rsid w:val="00B50337"/>
    <w:rsid w:val="00B503EC"/>
    <w:rsid w:val="00B50490"/>
    <w:rsid w:val="00B504BB"/>
    <w:rsid w:val="00B5056D"/>
    <w:rsid w:val="00B50751"/>
    <w:rsid w:val="00B509BA"/>
    <w:rsid w:val="00B509C0"/>
    <w:rsid w:val="00B50A12"/>
    <w:rsid w:val="00B50B0D"/>
    <w:rsid w:val="00B50EDC"/>
    <w:rsid w:val="00B50F24"/>
    <w:rsid w:val="00B51016"/>
    <w:rsid w:val="00B512B5"/>
    <w:rsid w:val="00B51668"/>
    <w:rsid w:val="00B516FD"/>
    <w:rsid w:val="00B51746"/>
    <w:rsid w:val="00B51857"/>
    <w:rsid w:val="00B518D9"/>
    <w:rsid w:val="00B51900"/>
    <w:rsid w:val="00B51908"/>
    <w:rsid w:val="00B51AF9"/>
    <w:rsid w:val="00B51C3B"/>
    <w:rsid w:val="00B51D8E"/>
    <w:rsid w:val="00B51F51"/>
    <w:rsid w:val="00B5204E"/>
    <w:rsid w:val="00B52071"/>
    <w:rsid w:val="00B5210E"/>
    <w:rsid w:val="00B5218E"/>
    <w:rsid w:val="00B521B3"/>
    <w:rsid w:val="00B522AA"/>
    <w:rsid w:val="00B523E4"/>
    <w:rsid w:val="00B526C3"/>
    <w:rsid w:val="00B5284C"/>
    <w:rsid w:val="00B52957"/>
    <w:rsid w:val="00B52960"/>
    <w:rsid w:val="00B529F8"/>
    <w:rsid w:val="00B52A09"/>
    <w:rsid w:val="00B52AB7"/>
    <w:rsid w:val="00B52BC5"/>
    <w:rsid w:val="00B52CBC"/>
    <w:rsid w:val="00B52E2A"/>
    <w:rsid w:val="00B53095"/>
    <w:rsid w:val="00B530E6"/>
    <w:rsid w:val="00B5328D"/>
    <w:rsid w:val="00B5330F"/>
    <w:rsid w:val="00B53354"/>
    <w:rsid w:val="00B5336E"/>
    <w:rsid w:val="00B533AF"/>
    <w:rsid w:val="00B53524"/>
    <w:rsid w:val="00B53CBC"/>
    <w:rsid w:val="00B53D56"/>
    <w:rsid w:val="00B53DF5"/>
    <w:rsid w:val="00B53E53"/>
    <w:rsid w:val="00B5416B"/>
    <w:rsid w:val="00B54268"/>
    <w:rsid w:val="00B54691"/>
    <w:rsid w:val="00B54789"/>
    <w:rsid w:val="00B547D3"/>
    <w:rsid w:val="00B549AE"/>
    <w:rsid w:val="00B54A48"/>
    <w:rsid w:val="00B54AAE"/>
    <w:rsid w:val="00B54B43"/>
    <w:rsid w:val="00B54B55"/>
    <w:rsid w:val="00B54BA0"/>
    <w:rsid w:val="00B54BBA"/>
    <w:rsid w:val="00B54BCB"/>
    <w:rsid w:val="00B54CE0"/>
    <w:rsid w:val="00B54D78"/>
    <w:rsid w:val="00B54FDF"/>
    <w:rsid w:val="00B5500B"/>
    <w:rsid w:val="00B5504E"/>
    <w:rsid w:val="00B551BB"/>
    <w:rsid w:val="00B551F7"/>
    <w:rsid w:val="00B5539E"/>
    <w:rsid w:val="00B554E5"/>
    <w:rsid w:val="00B554EB"/>
    <w:rsid w:val="00B555AE"/>
    <w:rsid w:val="00B55924"/>
    <w:rsid w:val="00B55A24"/>
    <w:rsid w:val="00B55A53"/>
    <w:rsid w:val="00B55AED"/>
    <w:rsid w:val="00B55C33"/>
    <w:rsid w:val="00B55D34"/>
    <w:rsid w:val="00B55D65"/>
    <w:rsid w:val="00B55DCC"/>
    <w:rsid w:val="00B55E99"/>
    <w:rsid w:val="00B5608F"/>
    <w:rsid w:val="00B5611C"/>
    <w:rsid w:val="00B56395"/>
    <w:rsid w:val="00B563BB"/>
    <w:rsid w:val="00B5640F"/>
    <w:rsid w:val="00B5644F"/>
    <w:rsid w:val="00B564B1"/>
    <w:rsid w:val="00B5664B"/>
    <w:rsid w:val="00B566A8"/>
    <w:rsid w:val="00B5694D"/>
    <w:rsid w:val="00B56B49"/>
    <w:rsid w:val="00B56DC4"/>
    <w:rsid w:val="00B56EE2"/>
    <w:rsid w:val="00B56F00"/>
    <w:rsid w:val="00B5727E"/>
    <w:rsid w:val="00B57377"/>
    <w:rsid w:val="00B574FB"/>
    <w:rsid w:val="00B5755D"/>
    <w:rsid w:val="00B575BA"/>
    <w:rsid w:val="00B5771B"/>
    <w:rsid w:val="00B5771D"/>
    <w:rsid w:val="00B57AD2"/>
    <w:rsid w:val="00B57C42"/>
    <w:rsid w:val="00B57CCB"/>
    <w:rsid w:val="00B57E6A"/>
    <w:rsid w:val="00B57F27"/>
    <w:rsid w:val="00B601AE"/>
    <w:rsid w:val="00B60336"/>
    <w:rsid w:val="00B60458"/>
    <w:rsid w:val="00B607F9"/>
    <w:rsid w:val="00B6095A"/>
    <w:rsid w:val="00B60A53"/>
    <w:rsid w:val="00B60C64"/>
    <w:rsid w:val="00B60D3B"/>
    <w:rsid w:val="00B60F3B"/>
    <w:rsid w:val="00B61001"/>
    <w:rsid w:val="00B61223"/>
    <w:rsid w:val="00B61327"/>
    <w:rsid w:val="00B61435"/>
    <w:rsid w:val="00B614F6"/>
    <w:rsid w:val="00B61657"/>
    <w:rsid w:val="00B6165E"/>
    <w:rsid w:val="00B616DB"/>
    <w:rsid w:val="00B61BB4"/>
    <w:rsid w:val="00B61C75"/>
    <w:rsid w:val="00B61D24"/>
    <w:rsid w:val="00B61DEA"/>
    <w:rsid w:val="00B62268"/>
    <w:rsid w:val="00B6236D"/>
    <w:rsid w:val="00B6239F"/>
    <w:rsid w:val="00B62496"/>
    <w:rsid w:val="00B624ED"/>
    <w:rsid w:val="00B6257C"/>
    <w:rsid w:val="00B6287B"/>
    <w:rsid w:val="00B628EA"/>
    <w:rsid w:val="00B629D4"/>
    <w:rsid w:val="00B62C39"/>
    <w:rsid w:val="00B62C71"/>
    <w:rsid w:val="00B62CE3"/>
    <w:rsid w:val="00B62DE3"/>
    <w:rsid w:val="00B631C1"/>
    <w:rsid w:val="00B63299"/>
    <w:rsid w:val="00B63418"/>
    <w:rsid w:val="00B63498"/>
    <w:rsid w:val="00B6390B"/>
    <w:rsid w:val="00B63A6A"/>
    <w:rsid w:val="00B63AE5"/>
    <w:rsid w:val="00B63B1E"/>
    <w:rsid w:val="00B63B2C"/>
    <w:rsid w:val="00B63B61"/>
    <w:rsid w:val="00B63C26"/>
    <w:rsid w:val="00B63C84"/>
    <w:rsid w:val="00B63E2E"/>
    <w:rsid w:val="00B64442"/>
    <w:rsid w:val="00B645D4"/>
    <w:rsid w:val="00B6467C"/>
    <w:rsid w:val="00B647F6"/>
    <w:rsid w:val="00B648DD"/>
    <w:rsid w:val="00B649D5"/>
    <w:rsid w:val="00B64BE4"/>
    <w:rsid w:val="00B64BEA"/>
    <w:rsid w:val="00B64BFF"/>
    <w:rsid w:val="00B64CEA"/>
    <w:rsid w:val="00B64DA7"/>
    <w:rsid w:val="00B65036"/>
    <w:rsid w:val="00B65168"/>
    <w:rsid w:val="00B654C4"/>
    <w:rsid w:val="00B65506"/>
    <w:rsid w:val="00B65944"/>
    <w:rsid w:val="00B65988"/>
    <w:rsid w:val="00B65993"/>
    <w:rsid w:val="00B65AAA"/>
    <w:rsid w:val="00B65B4F"/>
    <w:rsid w:val="00B65D62"/>
    <w:rsid w:val="00B65E8B"/>
    <w:rsid w:val="00B65E90"/>
    <w:rsid w:val="00B65FAA"/>
    <w:rsid w:val="00B65FD0"/>
    <w:rsid w:val="00B66071"/>
    <w:rsid w:val="00B661F2"/>
    <w:rsid w:val="00B6646F"/>
    <w:rsid w:val="00B66617"/>
    <w:rsid w:val="00B66859"/>
    <w:rsid w:val="00B66892"/>
    <w:rsid w:val="00B668AF"/>
    <w:rsid w:val="00B668C5"/>
    <w:rsid w:val="00B66913"/>
    <w:rsid w:val="00B66975"/>
    <w:rsid w:val="00B66A58"/>
    <w:rsid w:val="00B66A8E"/>
    <w:rsid w:val="00B66AE9"/>
    <w:rsid w:val="00B66B88"/>
    <w:rsid w:val="00B66BBF"/>
    <w:rsid w:val="00B66CDB"/>
    <w:rsid w:val="00B6704B"/>
    <w:rsid w:val="00B670E5"/>
    <w:rsid w:val="00B6718B"/>
    <w:rsid w:val="00B672D9"/>
    <w:rsid w:val="00B67357"/>
    <w:rsid w:val="00B674F8"/>
    <w:rsid w:val="00B67877"/>
    <w:rsid w:val="00B678F6"/>
    <w:rsid w:val="00B67C6E"/>
    <w:rsid w:val="00B67D03"/>
    <w:rsid w:val="00B67D58"/>
    <w:rsid w:val="00B67DA7"/>
    <w:rsid w:val="00B67E74"/>
    <w:rsid w:val="00B70028"/>
    <w:rsid w:val="00B70081"/>
    <w:rsid w:val="00B70235"/>
    <w:rsid w:val="00B70273"/>
    <w:rsid w:val="00B70455"/>
    <w:rsid w:val="00B707A0"/>
    <w:rsid w:val="00B70A2B"/>
    <w:rsid w:val="00B70B2D"/>
    <w:rsid w:val="00B70E05"/>
    <w:rsid w:val="00B710F9"/>
    <w:rsid w:val="00B71119"/>
    <w:rsid w:val="00B71176"/>
    <w:rsid w:val="00B7125B"/>
    <w:rsid w:val="00B71480"/>
    <w:rsid w:val="00B714BF"/>
    <w:rsid w:val="00B714CA"/>
    <w:rsid w:val="00B714D3"/>
    <w:rsid w:val="00B714F1"/>
    <w:rsid w:val="00B71540"/>
    <w:rsid w:val="00B7177D"/>
    <w:rsid w:val="00B71956"/>
    <w:rsid w:val="00B71AF5"/>
    <w:rsid w:val="00B71DC1"/>
    <w:rsid w:val="00B71F46"/>
    <w:rsid w:val="00B72269"/>
    <w:rsid w:val="00B7291E"/>
    <w:rsid w:val="00B72AA0"/>
    <w:rsid w:val="00B72B2B"/>
    <w:rsid w:val="00B72C6C"/>
    <w:rsid w:val="00B72CBF"/>
    <w:rsid w:val="00B72D29"/>
    <w:rsid w:val="00B72F5C"/>
    <w:rsid w:val="00B73040"/>
    <w:rsid w:val="00B73269"/>
    <w:rsid w:val="00B7328E"/>
    <w:rsid w:val="00B7339E"/>
    <w:rsid w:val="00B73421"/>
    <w:rsid w:val="00B7355C"/>
    <w:rsid w:val="00B73644"/>
    <w:rsid w:val="00B736E0"/>
    <w:rsid w:val="00B73861"/>
    <w:rsid w:val="00B7387B"/>
    <w:rsid w:val="00B73990"/>
    <w:rsid w:val="00B73B42"/>
    <w:rsid w:val="00B73BA8"/>
    <w:rsid w:val="00B73DBE"/>
    <w:rsid w:val="00B73ED4"/>
    <w:rsid w:val="00B73F23"/>
    <w:rsid w:val="00B7458F"/>
    <w:rsid w:val="00B745A9"/>
    <w:rsid w:val="00B746EA"/>
    <w:rsid w:val="00B7470B"/>
    <w:rsid w:val="00B7470D"/>
    <w:rsid w:val="00B74784"/>
    <w:rsid w:val="00B74A1E"/>
    <w:rsid w:val="00B74ACE"/>
    <w:rsid w:val="00B74ADD"/>
    <w:rsid w:val="00B74B3E"/>
    <w:rsid w:val="00B74BC4"/>
    <w:rsid w:val="00B74D8D"/>
    <w:rsid w:val="00B74E4E"/>
    <w:rsid w:val="00B74F02"/>
    <w:rsid w:val="00B74F1B"/>
    <w:rsid w:val="00B74FDF"/>
    <w:rsid w:val="00B75324"/>
    <w:rsid w:val="00B754AB"/>
    <w:rsid w:val="00B75653"/>
    <w:rsid w:val="00B7576C"/>
    <w:rsid w:val="00B7580E"/>
    <w:rsid w:val="00B75B54"/>
    <w:rsid w:val="00B75C6E"/>
    <w:rsid w:val="00B75E04"/>
    <w:rsid w:val="00B75F73"/>
    <w:rsid w:val="00B75FC6"/>
    <w:rsid w:val="00B75FCA"/>
    <w:rsid w:val="00B76003"/>
    <w:rsid w:val="00B76141"/>
    <w:rsid w:val="00B7625A"/>
    <w:rsid w:val="00B7662F"/>
    <w:rsid w:val="00B7664B"/>
    <w:rsid w:val="00B76926"/>
    <w:rsid w:val="00B76B39"/>
    <w:rsid w:val="00B76B7F"/>
    <w:rsid w:val="00B76F62"/>
    <w:rsid w:val="00B77097"/>
    <w:rsid w:val="00B77207"/>
    <w:rsid w:val="00B773B4"/>
    <w:rsid w:val="00B77574"/>
    <w:rsid w:val="00B775C3"/>
    <w:rsid w:val="00B77697"/>
    <w:rsid w:val="00B77A01"/>
    <w:rsid w:val="00B77B63"/>
    <w:rsid w:val="00B77B95"/>
    <w:rsid w:val="00B77BB4"/>
    <w:rsid w:val="00B77BE5"/>
    <w:rsid w:val="00B77C9F"/>
    <w:rsid w:val="00B77DA4"/>
    <w:rsid w:val="00B77E0C"/>
    <w:rsid w:val="00B77F5B"/>
    <w:rsid w:val="00B77FCE"/>
    <w:rsid w:val="00B80471"/>
    <w:rsid w:val="00B80502"/>
    <w:rsid w:val="00B807FB"/>
    <w:rsid w:val="00B80825"/>
    <w:rsid w:val="00B808BC"/>
    <w:rsid w:val="00B809F4"/>
    <w:rsid w:val="00B80B05"/>
    <w:rsid w:val="00B80DBA"/>
    <w:rsid w:val="00B80E0A"/>
    <w:rsid w:val="00B81042"/>
    <w:rsid w:val="00B81121"/>
    <w:rsid w:val="00B81191"/>
    <w:rsid w:val="00B81207"/>
    <w:rsid w:val="00B81229"/>
    <w:rsid w:val="00B8130A"/>
    <w:rsid w:val="00B814FC"/>
    <w:rsid w:val="00B815CB"/>
    <w:rsid w:val="00B815F3"/>
    <w:rsid w:val="00B8163C"/>
    <w:rsid w:val="00B8166D"/>
    <w:rsid w:val="00B81943"/>
    <w:rsid w:val="00B81A52"/>
    <w:rsid w:val="00B81B77"/>
    <w:rsid w:val="00B81CF0"/>
    <w:rsid w:val="00B81D74"/>
    <w:rsid w:val="00B81E1C"/>
    <w:rsid w:val="00B82165"/>
    <w:rsid w:val="00B821A2"/>
    <w:rsid w:val="00B82274"/>
    <w:rsid w:val="00B822CB"/>
    <w:rsid w:val="00B822CE"/>
    <w:rsid w:val="00B82302"/>
    <w:rsid w:val="00B823F0"/>
    <w:rsid w:val="00B8250C"/>
    <w:rsid w:val="00B82685"/>
    <w:rsid w:val="00B8270C"/>
    <w:rsid w:val="00B8271B"/>
    <w:rsid w:val="00B8288D"/>
    <w:rsid w:val="00B828FA"/>
    <w:rsid w:val="00B82A2B"/>
    <w:rsid w:val="00B82AAC"/>
    <w:rsid w:val="00B82BB1"/>
    <w:rsid w:val="00B82D25"/>
    <w:rsid w:val="00B82DE8"/>
    <w:rsid w:val="00B82ED2"/>
    <w:rsid w:val="00B83096"/>
    <w:rsid w:val="00B8313E"/>
    <w:rsid w:val="00B832C1"/>
    <w:rsid w:val="00B83A18"/>
    <w:rsid w:val="00B83B1B"/>
    <w:rsid w:val="00B83C1D"/>
    <w:rsid w:val="00B83F3D"/>
    <w:rsid w:val="00B84021"/>
    <w:rsid w:val="00B84523"/>
    <w:rsid w:val="00B8458C"/>
    <w:rsid w:val="00B845B6"/>
    <w:rsid w:val="00B8460E"/>
    <w:rsid w:val="00B846DB"/>
    <w:rsid w:val="00B846F4"/>
    <w:rsid w:val="00B8481D"/>
    <w:rsid w:val="00B84A8D"/>
    <w:rsid w:val="00B84B4D"/>
    <w:rsid w:val="00B84B6E"/>
    <w:rsid w:val="00B84D02"/>
    <w:rsid w:val="00B84D32"/>
    <w:rsid w:val="00B84E82"/>
    <w:rsid w:val="00B85254"/>
    <w:rsid w:val="00B85653"/>
    <w:rsid w:val="00B858FD"/>
    <w:rsid w:val="00B85A37"/>
    <w:rsid w:val="00B85B66"/>
    <w:rsid w:val="00B85BEB"/>
    <w:rsid w:val="00B85E25"/>
    <w:rsid w:val="00B8605C"/>
    <w:rsid w:val="00B863C9"/>
    <w:rsid w:val="00B86553"/>
    <w:rsid w:val="00B86679"/>
    <w:rsid w:val="00B868D8"/>
    <w:rsid w:val="00B86A15"/>
    <w:rsid w:val="00B86AAC"/>
    <w:rsid w:val="00B86D16"/>
    <w:rsid w:val="00B86E4C"/>
    <w:rsid w:val="00B86FDB"/>
    <w:rsid w:val="00B86FF4"/>
    <w:rsid w:val="00B873EF"/>
    <w:rsid w:val="00B87405"/>
    <w:rsid w:val="00B8780D"/>
    <w:rsid w:val="00B878A0"/>
    <w:rsid w:val="00B878E5"/>
    <w:rsid w:val="00B87B0C"/>
    <w:rsid w:val="00B87B29"/>
    <w:rsid w:val="00B87C71"/>
    <w:rsid w:val="00B87D26"/>
    <w:rsid w:val="00B87D4F"/>
    <w:rsid w:val="00B87EB0"/>
    <w:rsid w:val="00B90025"/>
    <w:rsid w:val="00B9008D"/>
    <w:rsid w:val="00B901B5"/>
    <w:rsid w:val="00B902FC"/>
    <w:rsid w:val="00B903C1"/>
    <w:rsid w:val="00B90583"/>
    <w:rsid w:val="00B905BC"/>
    <w:rsid w:val="00B90691"/>
    <w:rsid w:val="00B90696"/>
    <w:rsid w:val="00B90740"/>
    <w:rsid w:val="00B909A7"/>
    <w:rsid w:val="00B90B76"/>
    <w:rsid w:val="00B90E60"/>
    <w:rsid w:val="00B90EC3"/>
    <w:rsid w:val="00B91145"/>
    <w:rsid w:val="00B91238"/>
    <w:rsid w:val="00B9132E"/>
    <w:rsid w:val="00B91470"/>
    <w:rsid w:val="00B91617"/>
    <w:rsid w:val="00B91950"/>
    <w:rsid w:val="00B91A63"/>
    <w:rsid w:val="00B91AB2"/>
    <w:rsid w:val="00B91C0C"/>
    <w:rsid w:val="00B91D37"/>
    <w:rsid w:val="00B91D49"/>
    <w:rsid w:val="00B91DB2"/>
    <w:rsid w:val="00B91E29"/>
    <w:rsid w:val="00B92046"/>
    <w:rsid w:val="00B92072"/>
    <w:rsid w:val="00B92245"/>
    <w:rsid w:val="00B925FD"/>
    <w:rsid w:val="00B92709"/>
    <w:rsid w:val="00B92802"/>
    <w:rsid w:val="00B92A12"/>
    <w:rsid w:val="00B92F38"/>
    <w:rsid w:val="00B93148"/>
    <w:rsid w:val="00B93204"/>
    <w:rsid w:val="00B93300"/>
    <w:rsid w:val="00B933F4"/>
    <w:rsid w:val="00B934A8"/>
    <w:rsid w:val="00B934AA"/>
    <w:rsid w:val="00B936A4"/>
    <w:rsid w:val="00B936AB"/>
    <w:rsid w:val="00B937C7"/>
    <w:rsid w:val="00B93A50"/>
    <w:rsid w:val="00B93A8E"/>
    <w:rsid w:val="00B93B5D"/>
    <w:rsid w:val="00B93D22"/>
    <w:rsid w:val="00B93DA0"/>
    <w:rsid w:val="00B93DF6"/>
    <w:rsid w:val="00B93F63"/>
    <w:rsid w:val="00B9414B"/>
    <w:rsid w:val="00B941C4"/>
    <w:rsid w:val="00B94217"/>
    <w:rsid w:val="00B94244"/>
    <w:rsid w:val="00B94369"/>
    <w:rsid w:val="00B9437A"/>
    <w:rsid w:val="00B943AA"/>
    <w:rsid w:val="00B94731"/>
    <w:rsid w:val="00B94848"/>
    <w:rsid w:val="00B94B3D"/>
    <w:rsid w:val="00B94C02"/>
    <w:rsid w:val="00B94EFF"/>
    <w:rsid w:val="00B95130"/>
    <w:rsid w:val="00B951CE"/>
    <w:rsid w:val="00B952E3"/>
    <w:rsid w:val="00B95375"/>
    <w:rsid w:val="00B95530"/>
    <w:rsid w:val="00B956A4"/>
    <w:rsid w:val="00B956BC"/>
    <w:rsid w:val="00B95736"/>
    <w:rsid w:val="00B95888"/>
    <w:rsid w:val="00B95B51"/>
    <w:rsid w:val="00B95CEF"/>
    <w:rsid w:val="00B95E77"/>
    <w:rsid w:val="00B95F3B"/>
    <w:rsid w:val="00B96040"/>
    <w:rsid w:val="00B960D4"/>
    <w:rsid w:val="00B96146"/>
    <w:rsid w:val="00B96190"/>
    <w:rsid w:val="00B961FA"/>
    <w:rsid w:val="00B96430"/>
    <w:rsid w:val="00B964B5"/>
    <w:rsid w:val="00B96599"/>
    <w:rsid w:val="00B96616"/>
    <w:rsid w:val="00B96737"/>
    <w:rsid w:val="00B96848"/>
    <w:rsid w:val="00B96987"/>
    <w:rsid w:val="00B96A0C"/>
    <w:rsid w:val="00B96B47"/>
    <w:rsid w:val="00B96E15"/>
    <w:rsid w:val="00B96E81"/>
    <w:rsid w:val="00B96FDF"/>
    <w:rsid w:val="00B9707F"/>
    <w:rsid w:val="00B970FC"/>
    <w:rsid w:val="00B9719D"/>
    <w:rsid w:val="00B97532"/>
    <w:rsid w:val="00B97657"/>
    <w:rsid w:val="00B97688"/>
    <w:rsid w:val="00B976A3"/>
    <w:rsid w:val="00B97702"/>
    <w:rsid w:val="00B978FE"/>
    <w:rsid w:val="00B97975"/>
    <w:rsid w:val="00B97A22"/>
    <w:rsid w:val="00B97B87"/>
    <w:rsid w:val="00B97BB5"/>
    <w:rsid w:val="00B97E7F"/>
    <w:rsid w:val="00B97F99"/>
    <w:rsid w:val="00B9CD08"/>
    <w:rsid w:val="00B9EA94"/>
    <w:rsid w:val="00BA0028"/>
    <w:rsid w:val="00BA0052"/>
    <w:rsid w:val="00BA0085"/>
    <w:rsid w:val="00BA0097"/>
    <w:rsid w:val="00BA01E5"/>
    <w:rsid w:val="00BA025F"/>
    <w:rsid w:val="00BA0443"/>
    <w:rsid w:val="00BA044B"/>
    <w:rsid w:val="00BA0503"/>
    <w:rsid w:val="00BA0506"/>
    <w:rsid w:val="00BA068B"/>
    <w:rsid w:val="00BA0775"/>
    <w:rsid w:val="00BA09A5"/>
    <w:rsid w:val="00BA0A84"/>
    <w:rsid w:val="00BA0B22"/>
    <w:rsid w:val="00BA0B8D"/>
    <w:rsid w:val="00BA11AA"/>
    <w:rsid w:val="00BA12A4"/>
    <w:rsid w:val="00BA1357"/>
    <w:rsid w:val="00BA13A9"/>
    <w:rsid w:val="00BA1632"/>
    <w:rsid w:val="00BA17E9"/>
    <w:rsid w:val="00BA1838"/>
    <w:rsid w:val="00BA185E"/>
    <w:rsid w:val="00BA193C"/>
    <w:rsid w:val="00BA1AD9"/>
    <w:rsid w:val="00BA1C33"/>
    <w:rsid w:val="00BA1C8C"/>
    <w:rsid w:val="00BA1D13"/>
    <w:rsid w:val="00BA1E01"/>
    <w:rsid w:val="00BA2024"/>
    <w:rsid w:val="00BA203C"/>
    <w:rsid w:val="00BA21DF"/>
    <w:rsid w:val="00BA22B8"/>
    <w:rsid w:val="00BA22E5"/>
    <w:rsid w:val="00BA23E6"/>
    <w:rsid w:val="00BA247E"/>
    <w:rsid w:val="00BA2481"/>
    <w:rsid w:val="00BA26A6"/>
    <w:rsid w:val="00BA27EA"/>
    <w:rsid w:val="00BA28E6"/>
    <w:rsid w:val="00BA29C0"/>
    <w:rsid w:val="00BA2C7E"/>
    <w:rsid w:val="00BA31EF"/>
    <w:rsid w:val="00BA3314"/>
    <w:rsid w:val="00BA34DF"/>
    <w:rsid w:val="00BA34F4"/>
    <w:rsid w:val="00BA366E"/>
    <w:rsid w:val="00BA37C5"/>
    <w:rsid w:val="00BA39C5"/>
    <w:rsid w:val="00BA39ED"/>
    <w:rsid w:val="00BA3A64"/>
    <w:rsid w:val="00BA3B33"/>
    <w:rsid w:val="00BA3BAD"/>
    <w:rsid w:val="00BA3CB4"/>
    <w:rsid w:val="00BA3CCA"/>
    <w:rsid w:val="00BA3E3B"/>
    <w:rsid w:val="00BA3FBD"/>
    <w:rsid w:val="00BA3FFC"/>
    <w:rsid w:val="00BA407D"/>
    <w:rsid w:val="00BA4156"/>
    <w:rsid w:val="00BA4281"/>
    <w:rsid w:val="00BA493A"/>
    <w:rsid w:val="00BA4ADB"/>
    <w:rsid w:val="00BA4CEB"/>
    <w:rsid w:val="00BA4F85"/>
    <w:rsid w:val="00BA5197"/>
    <w:rsid w:val="00BA54DD"/>
    <w:rsid w:val="00BA5538"/>
    <w:rsid w:val="00BA55AE"/>
    <w:rsid w:val="00BA5666"/>
    <w:rsid w:val="00BA56FD"/>
    <w:rsid w:val="00BA58DF"/>
    <w:rsid w:val="00BA59CD"/>
    <w:rsid w:val="00BA5A27"/>
    <w:rsid w:val="00BA5AC2"/>
    <w:rsid w:val="00BA5E79"/>
    <w:rsid w:val="00BA5E9E"/>
    <w:rsid w:val="00BA6185"/>
    <w:rsid w:val="00BA61D8"/>
    <w:rsid w:val="00BA6319"/>
    <w:rsid w:val="00BA6359"/>
    <w:rsid w:val="00BA64A7"/>
    <w:rsid w:val="00BA6525"/>
    <w:rsid w:val="00BA65CB"/>
    <w:rsid w:val="00BA6779"/>
    <w:rsid w:val="00BA694A"/>
    <w:rsid w:val="00BA6A7D"/>
    <w:rsid w:val="00BA6AE6"/>
    <w:rsid w:val="00BA6C38"/>
    <w:rsid w:val="00BA6EA1"/>
    <w:rsid w:val="00BA6EFC"/>
    <w:rsid w:val="00BA7195"/>
    <w:rsid w:val="00BA71E2"/>
    <w:rsid w:val="00BA7204"/>
    <w:rsid w:val="00BA72DA"/>
    <w:rsid w:val="00BA73A0"/>
    <w:rsid w:val="00BA7443"/>
    <w:rsid w:val="00BA749B"/>
    <w:rsid w:val="00BA7667"/>
    <w:rsid w:val="00BA77E3"/>
    <w:rsid w:val="00BA7889"/>
    <w:rsid w:val="00BA789A"/>
    <w:rsid w:val="00BA7924"/>
    <w:rsid w:val="00BA7AF7"/>
    <w:rsid w:val="00BA7BB4"/>
    <w:rsid w:val="00BA7BC1"/>
    <w:rsid w:val="00BA7D61"/>
    <w:rsid w:val="00BA7DA5"/>
    <w:rsid w:val="00BA7F3A"/>
    <w:rsid w:val="00BA7F65"/>
    <w:rsid w:val="00BA7F8B"/>
    <w:rsid w:val="00BA7F8E"/>
    <w:rsid w:val="00BB01E7"/>
    <w:rsid w:val="00BB023A"/>
    <w:rsid w:val="00BB04BA"/>
    <w:rsid w:val="00BB06AA"/>
    <w:rsid w:val="00BB0833"/>
    <w:rsid w:val="00BB0912"/>
    <w:rsid w:val="00BB09BD"/>
    <w:rsid w:val="00BB0B27"/>
    <w:rsid w:val="00BB0B54"/>
    <w:rsid w:val="00BB0C1B"/>
    <w:rsid w:val="00BB0C44"/>
    <w:rsid w:val="00BB0F2E"/>
    <w:rsid w:val="00BB103D"/>
    <w:rsid w:val="00BB10EF"/>
    <w:rsid w:val="00BB1274"/>
    <w:rsid w:val="00BB1377"/>
    <w:rsid w:val="00BB13F9"/>
    <w:rsid w:val="00BB15EC"/>
    <w:rsid w:val="00BB18D7"/>
    <w:rsid w:val="00BB18DD"/>
    <w:rsid w:val="00BB1983"/>
    <w:rsid w:val="00BB1A1B"/>
    <w:rsid w:val="00BB1A34"/>
    <w:rsid w:val="00BB1AF1"/>
    <w:rsid w:val="00BB1B27"/>
    <w:rsid w:val="00BB1B4C"/>
    <w:rsid w:val="00BB1CFC"/>
    <w:rsid w:val="00BB1D83"/>
    <w:rsid w:val="00BB200E"/>
    <w:rsid w:val="00BB212E"/>
    <w:rsid w:val="00BB21B3"/>
    <w:rsid w:val="00BB21F0"/>
    <w:rsid w:val="00BB22DD"/>
    <w:rsid w:val="00BB22FC"/>
    <w:rsid w:val="00BB2750"/>
    <w:rsid w:val="00BB2808"/>
    <w:rsid w:val="00BB2A5B"/>
    <w:rsid w:val="00BB2ADD"/>
    <w:rsid w:val="00BB2AF4"/>
    <w:rsid w:val="00BB2B71"/>
    <w:rsid w:val="00BB2B74"/>
    <w:rsid w:val="00BB2FCD"/>
    <w:rsid w:val="00BB3148"/>
    <w:rsid w:val="00BB319F"/>
    <w:rsid w:val="00BB3482"/>
    <w:rsid w:val="00BB34D9"/>
    <w:rsid w:val="00BB35B4"/>
    <w:rsid w:val="00BB37DF"/>
    <w:rsid w:val="00BB3819"/>
    <w:rsid w:val="00BB3A10"/>
    <w:rsid w:val="00BB3C05"/>
    <w:rsid w:val="00BB3C8D"/>
    <w:rsid w:val="00BB3D21"/>
    <w:rsid w:val="00BB3E5E"/>
    <w:rsid w:val="00BB3E7D"/>
    <w:rsid w:val="00BB3E92"/>
    <w:rsid w:val="00BB3EBF"/>
    <w:rsid w:val="00BB3F4A"/>
    <w:rsid w:val="00BB4034"/>
    <w:rsid w:val="00BB44CF"/>
    <w:rsid w:val="00BB4585"/>
    <w:rsid w:val="00BB45C5"/>
    <w:rsid w:val="00BB460F"/>
    <w:rsid w:val="00BB48C3"/>
    <w:rsid w:val="00BB4B36"/>
    <w:rsid w:val="00BB4BE4"/>
    <w:rsid w:val="00BB4D8A"/>
    <w:rsid w:val="00BB4D96"/>
    <w:rsid w:val="00BB515C"/>
    <w:rsid w:val="00BB577C"/>
    <w:rsid w:val="00BB5901"/>
    <w:rsid w:val="00BB5A45"/>
    <w:rsid w:val="00BB60C6"/>
    <w:rsid w:val="00BB62ED"/>
    <w:rsid w:val="00BB6355"/>
    <w:rsid w:val="00BB63CE"/>
    <w:rsid w:val="00BB648F"/>
    <w:rsid w:val="00BB6543"/>
    <w:rsid w:val="00BB6830"/>
    <w:rsid w:val="00BB6895"/>
    <w:rsid w:val="00BB699D"/>
    <w:rsid w:val="00BB6AB2"/>
    <w:rsid w:val="00BB6E9F"/>
    <w:rsid w:val="00BB6F9F"/>
    <w:rsid w:val="00BB6FBB"/>
    <w:rsid w:val="00BB7059"/>
    <w:rsid w:val="00BB7083"/>
    <w:rsid w:val="00BB710F"/>
    <w:rsid w:val="00BB7510"/>
    <w:rsid w:val="00BB7861"/>
    <w:rsid w:val="00BB794B"/>
    <w:rsid w:val="00BB7A68"/>
    <w:rsid w:val="00BB7AE8"/>
    <w:rsid w:val="00BB7CBB"/>
    <w:rsid w:val="00BB7D47"/>
    <w:rsid w:val="00BB7E11"/>
    <w:rsid w:val="00BB7EC0"/>
    <w:rsid w:val="00BC03B9"/>
    <w:rsid w:val="00BC0474"/>
    <w:rsid w:val="00BC0638"/>
    <w:rsid w:val="00BC073F"/>
    <w:rsid w:val="00BC074A"/>
    <w:rsid w:val="00BC0937"/>
    <w:rsid w:val="00BC093B"/>
    <w:rsid w:val="00BC0A66"/>
    <w:rsid w:val="00BC0E50"/>
    <w:rsid w:val="00BC1039"/>
    <w:rsid w:val="00BC11FF"/>
    <w:rsid w:val="00BC125C"/>
    <w:rsid w:val="00BC1373"/>
    <w:rsid w:val="00BC15D8"/>
    <w:rsid w:val="00BC1723"/>
    <w:rsid w:val="00BC1915"/>
    <w:rsid w:val="00BC195F"/>
    <w:rsid w:val="00BC19AF"/>
    <w:rsid w:val="00BC1C34"/>
    <w:rsid w:val="00BC1D53"/>
    <w:rsid w:val="00BC1DD8"/>
    <w:rsid w:val="00BC1FB0"/>
    <w:rsid w:val="00BC2075"/>
    <w:rsid w:val="00BC2097"/>
    <w:rsid w:val="00BC2172"/>
    <w:rsid w:val="00BC2187"/>
    <w:rsid w:val="00BC21DA"/>
    <w:rsid w:val="00BC2442"/>
    <w:rsid w:val="00BC24D7"/>
    <w:rsid w:val="00BC252F"/>
    <w:rsid w:val="00BC2607"/>
    <w:rsid w:val="00BC27BE"/>
    <w:rsid w:val="00BC283C"/>
    <w:rsid w:val="00BC2849"/>
    <w:rsid w:val="00BC28BE"/>
    <w:rsid w:val="00BC292A"/>
    <w:rsid w:val="00BC29C2"/>
    <w:rsid w:val="00BC2F0B"/>
    <w:rsid w:val="00BC33F5"/>
    <w:rsid w:val="00BC35FE"/>
    <w:rsid w:val="00BC36AB"/>
    <w:rsid w:val="00BC36B7"/>
    <w:rsid w:val="00BC37DA"/>
    <w:rsid w:val="00BC389A"/>
    <w:rsid w:val="00BC393B"/>
    <w:rsid w:val="00BC3B95"/>
    <w:rsid w:val="00BC3CA8"/>
    <w:rsid w:val="00BC3CC1"/>
    <w:rsid w:val="00BC3DF8"/>
    <w:rsid w:val="00BC40EB"/>
    <w:rsid w:val="00BC418A"/>
    <w:rsid w:val="00BC41C4"/>
    <w:rsid w:val="00BC4244"/>
    <w:rsid w:val="00BC4353"/>
    <w:rsid w:val="00BC452E"/>
    <w:rsid w:val="00BC4599"/>
    <w:rsid w:val="00BC46C3"/>
    <w:rsid w:val="00BC47C5"/>
    <w:rsid w:val="00BC49D5"/>
    <w:rsid w:val="00BC4BD8"/>
    <w:rsid w:val="00BC4C2B"/>
    <w:rsid w:val="00BC4E24"/>
    <w:rsid w:val="00BC4E32"/>
    <w:rsid w:val="00BC4E48"/>
    <w:rsid w:val="00BC4E78"/>
    <w:rsid w:val="00BC4EAB"/>
    <w:rsid w:val="00BC5114"/>
    <w:rsid w:val="00BC523D"/>
    <w:rsid w:val="00BC531B"/>
    <w:rsid w:val="00BC5327"/>
    <w:rsid w:val="00BC537A"/>
    <w:rsid w:val="00BC53A1"/>
    <w:rsid w:val="00BC53B3"/>
    <w:rsid w:val="00BC53F1"/>
    <w:rsid w:val="00BC569D"/>
    <w:rsid w:val="00BC59AD"/>
    <w:rsid w:val="00BC5B81"/>
    <w:rsid w:val="00BC607C"/>
    <w:rsid w:val="00BC60DF"/>
    <w:rsid w:val="00BC6132"/>
    <w:rsid w:val="00BC61A4"/>
    <w:rsid w:val="00BC61C6"/>
    <w:rsid w:val="00BC61DE"/>
    <w:rsid w:val="00BC6272"/>
    <w:rsid w:val="00BC638E"/>
    <w:rsid w:val="00BC65C7"/>
    <w:rsid w:val="00BC67D2"/>
    <w:rsid w:val="00BC67E7"/>
    <w:rsid w:val="00BC69C3"/>
    <w:rsid w:val="00BC6A38"/>
    <w:rsid w:val="00BC6A57"/>
    <w:rsid w:val="00BC6AC8"/>
    <w:rsid w:val="00BC6BB8"/>
    <w:rsid w:val="00BC6DEC"/>
    <w:rsid w:val="00BC6F2C"/>
    <w:rsid w:val="00BC702B"/>
    <w:rsid w:val="00BC71BE"/>
    <w:rsid w:val="00BC7218"/>
    <w:rsid w:val="00BC748B"/>
    <w:rsid w:val="00BC764A"/>
    <w:rsid w:val="00BC766B"/>
    <w:rsid w:val="00BC772B"/>
    <w:rsid w:val="00BC793D"/>
    <w:rsid w:val="00BC7993"/>
    <w:rsid w:val="00BC7A10"/>
    <w:rsid w:val="00BC7AB6"/>
    <w:rsid w:val="00BC7CE9"/>
    <w:rsid w:val="00BC7D62"/>
    <w:rsid w:val="00BC7DAA"/>
    <w:rsid w:val="00BD011C"/>
    <w:rsid w:val="00BD029C"/>
    <w:rsid w:val="00BD03C5"/>
    <w:rsid w:val="00BD04C0"/>
    <w:rsid w:val="00BD04F3"/>
    <w:rsid w:val="00BD06B7"/>
    <w:rsid w:val="00BD0722"/>
    <w:rsid w:val="00BD0894"/>
    <w:rsid w:val="00BD0B22"/>
    <w:rsid w:val="00BD0B33"/>
    <w:rsid w:val="00BD0C80"/>
    <w:rsid w:val="00BD0FDE"/>
    <w:rsid w:val="00BD1029"/>
    <w:rsid w:val="00BD11C2"/>
    <w:rsid w:val="00BD1369"/>
    <w:rsid w:val="00BD146F"/>
    <w:rsid w:val="00BD14C0"/>
    <w:rsid w:val="00BD190E"/>
    <w:rsid w:val="00BD1E88"/>
    <w:rsid w:val="00BD1EA1"/>
    <w:rsid w:val="00BD1EF2"/>
    <w:rsid w:val="00BD1F3D"/>
    <w:rsid w:val="00BD1F6B"/>
    <w:rsid w:val="00BD201D"/>
    <w:rsid w:val="00BD2253"/>
    <w:rsid w:val="00BD22B3"/>
    <w:rsid w:val="00BD22C3"/>
    <w:rsid w:val="00BD2506"/>
    <w:rsid w:val="00BD264A"/>
    <w:rsid w:val="00BD27E3"/>
    <w:rsid w:val="00BD2D57"/>
    <w:rsid w:val="00BD2D61"/>
    <w:rsid w:val="00BD2ED8"/>
    <w:rsid w:val="00BD2F31"/>
    <w:rsid w:val="00BD33FD"/>
    <w:rsid w:val="00BD3401"/>
    <w:rsid w:val="00BD3586"/>
    <w:rsid w:val="00BD3643"/>
    <w:rsid w:val="00BD376E"/>
    <w:rsid w:val="00BD3889"/>
    <w:rsid w:val="00BD3B68"/>
    <w:rsid w:val="00BD3D39"/>
    <w:rsid w:val="00BD4133"/>
    <w:rsid w:val="00BD41DB"/>
    <w:rsid w:val="00BD4208"/>
    <w:rsid w:val="00BD4489"/>
    <w:rsid w:val="00BD48D5"/>
    <w:rsid w:val="00BD4938"/>
    <w:rsid w:val="00BD4996"/>
    <w:rsid w:val="00BD4A23"/>
    <w:rsid w:val="00BD4B59"/>
    <w:rsid w:val="00BD4D5E"/>
    <w:rsid w:val="00BD4E2E"/>
    <w:rsid w:val="00BD509E"/>
    <w:rsid w:val="00BD50D5"/>
    <w:rsid w:val="00BD519F"/>
    <w:rsid w:val="00BD5403"/>
    <w:rsid w:val="00BD547D"/>
    <w:rsid w:val="00BD54A2"/>
    <w:rsid w:val="00BD5874"/>
    <w:rsid w:val="00BD590F"/>
    <w:rsid w:val="00BD597A"/>
    <w:rsid w:val="00BD59C1"/>
    <w:rsid w:val="00BD59D3"/>
    <w:rsid w:val="00BD5A9B"/>
    <w:rsid w:val="00BD5AA9"/>
    <w:rsid w:val="00BD5C91"/>
    <w:rsid w:val="00BD5D67"/>
    <w:rsid w:val="00BD5DA2"/>
    <w:rsid w:val="00BD5F5F"/>
    <w:rsid w:val="00BD615D"/>
    <w:rsid w:val="00BD622C"/>
    <w:rsid w:val="00BD6365"/>
    <w:rsid w:val="00BD6397"/>
    <w:rsid w:val="00BD639D"/>
    <w:rsid w:val="00BD6485"/>
    <w:rsid w:val="00BD6641"/>
    <w:rsid w:val="00BD6706"/>
    <w:rsid w:val="00BD6903"/>
    <w:rsid w:val="00BD6A88"/>
    <w:rsid w:val="00BD6C3E"/>
    <w:rsid w:val="00BD722F"/>
    <w:rsid w:val="00BD7231"/>
    <w:rsid w:val="00BD72DB"/>
    <w:rsid w:val="00BD736B"/>
    <w:rsid w:val="00BD736C"/>
    <w:rsid w:val="00BD74F3"/>
    <w:rsid w:val="00BD7650"/>
    <w:rsid w:val="00BD7948"/>
    <w:rsid w:val="00BD79E5"/>
    <w:rsid w:val="00BD79F7"/>
    <w:rsid w:val="00BD7A48"/>
    <w:rsid w:val="00BD7A68"/>
    <w:rsid w:val="00BD7BD6"/>
    <w:rsid w:val="00BD7D13"/>
    <w:rsid w:val="00BD7E05"/>
    <w:rsid w:val="00BD7EED"/>
    <w:rsid w:val="00BE0245"/>
    <w:rsid w:val="00BE0403"/>
    <w:rsid w:val="00BE07DB"/>
    <w:rsid w:val="00BE07E4"/>
    <w:rsid w:val="00BE0822"/>
    <w:rsid w:val="00BE0877"/>
    <w:rsid w:val="00BE0DA8"/>
    <w:rsid w:val="00BE0F90"/>
    <w:rsid w:val="00BE1205"/>
    <w:rsid w:val="00BE1258"/>
    <w:rsid w:val="00BE12B5"/>
    <w:rsid w:val="00BE14F7"/>
    <w:rsid w:val="00BE15B9"/>
    <w:rsid w:val="00BE15BB"/>
    <w:rsid w:val="00BE15FE"/>
    <w:rsid w:val="00BE1632"/>
    <w:rsid w:val="00BE18D4"/>
    <w:rsid w:val="00BE1A2E"/>
    <w:rsid w:val="00BE1BC0"/>
    <w:rsid w:val="00BE1BCB"/>
    <w:rsid w:val="00BE1E17"/>
    <w:rsid w:val="00BE20C9"/>
    <w:rsid w:val="00BE210C"/>
    <w:rsid w:val="00BE23BD"/>
    <w:rsid w:val="00BE2473"/>
    <w:rsid w:val="00BE250A"/>
    <w:rsid w:val="00BE2514"/>
    <w:rsid w:val="00BE258B"/>
    <w:rsid w:val="00BE2656"/>
    <w:rsid w:val="00BE2748"/>
    <w:rsid w:val="00BE287A"/>
    <w:rsid w:val="00BE289E"/>
    <w:rsid w:val="00BE2A23"/>
    <w:rsid w:val="00BE2A2E"/>
    <w:rsid w:val="00BE2A43"/>
    <w:rsid w:val="00BE2BD7"/>
    <w:rsid w:val="00BE2DCD"/>
    <w:rsid w:val="00BE2E16"/>
    <w:rsid w:val="00BE2E59"/>
    <w:rsid w:val="00BE2F2F"/>
    <w:rsid w:val="00BE2F83"/>
    <w:rsid w:val="00BE305E"/>
    <w:rsid w:val="00BE3179"/>
    <w:rsid w:val="00BE3250"/>
    <w:rsid w:val="00BE34D3"/>
    <w:rsid w:val="00BE3562"/>
    <w:rsid w:val="00BE3623"/>
    <w:rsid w:val="00BE3678"/>
    <w:rsid w:val="00BE36A7"/>
    <w:rsid w:val="00BE36B3"/>
    <w:rsid w:val="00BE3731"/>
    <w:rsid w:val="00BE3795"/>
    <w:rsid w:val="00BE39CA"/>
    <w:rsid w:val="00BE3B14"/>
    <w:rsid w:val="00BE3C61"/>
    <w:rsid w:val="00BE3CF0"/>
    <w:rsid w:val="00BE3DC6"/>
    <w:rsid w:val="00BE3E2F"/>
    <w:rsid w:val="00BE3E51"/>
    <w:rsid w:val="00BE3F5B"/>
    <w:rsid w:val="00BE4324"/>
    <w:rsid w:val="00BE43BB"/>
    <w:rsid w:val="00BE467A"/>
    <w:rsid w:val="00BE47D1"/>
    <w:rsid w:val="00BE4B09"/>
    <w:rsid w:val="00BE4C33"/>
    <w:rsid w:val="00BE4C3B"/>
    <w:rsid w:val="00BE4DF9"/>
    <w:rsid w:val="00BE4E28"/>
    <w:rsid w:val="00BE51F5"/>
    <w:rsid w:val="00BE54CA"/>
    <w:rsid w:val="00BE554A"/>
    <w:rsid w:val="00BE573B"/>
    <w:rsid w:val="00BE5853"/>
    <w:rsid w:val="00BE59F2"/>
    <w:rsid w:val="00BE5C2B"/>
    <w:rsid w:val="00BE5C44"/>
    <w:rsid w:val="00BE5DAD"/>
    <w:rsid w:val="00BE5E40"/>
    <w:rsid w:val="00BE5E69"/>
    <w:rsid w:val="00BE5F15"/>
    <w:rsid w:val="00BE5F21"/>
    <w:rsid w:val="00BE5FB5"/>
    <w:rsid w:val="00BE60CC"/>
    <w:rsid w:val="00BE611F"/>
    <w:rsid w:val="00BE61E1"/>
    <w:rsid w:val="00BE6204"/>
    <w:rsid w:val="00BE62DE"/>
    <w:rsid w:val="00BE648E"/>
    <w:rsid w:val="00BE64EB"/>
    <w:rsid w:val="00BE65CF"/>
    <w:rsid w:val="00BE667E"/>
    <w:rsid w:val="00BE69C0"/>
    <w:rsid w:val="00BE6ACF"/>
    <w:rsid w:val="00BE6BB8"/>
    <w:rsid w:val="00BE6C06"/>
    <w:rsid w:val="00BE6C36"/>
    <w:rsid w:val="00BE6C57"/>
    <w:rsid w:val="00BE6D00"/>
    <w:rsid w:val="00BE6D3B"/>
    <w:rsid w:val="00BE6D48"/>
    <w:rsid w:val="00BE6D88"/>
    <w:rsid w:val="00BE6D9A"/>
    <w:rsid w:val="00BE6DF1"/>
    <w:rsid w:val="00BE6FC9"/>
    <w:rsid w:val="00BE70EA"/>
    <w:rsid w:val="00BE7189"/>
    <w:rsid w:val="00BE719E"/>
    <w:rsid w:val="00BE7267"/>
    <w:rsid w:val="00BE7495"/>
    <w:rsid w:val="00BE7566"/>
    <w:rsid w:val="00BE756B"/>
    <w:rsid w:val="00BE7586"/>
    <w:rsid w:val="00BE758F"/>
    <w:rsid w:val="00BE75B3"/>
    <w:rsid w:val="00BE7614"/>
    <w:rsid w:val="00BE7702"/>
    <w:rsid w:val="00BE78C0"/>
    <w:rsid w:val="00BE7948"/>
    <w:rsid w:val="00BE7C21"/>
    <w:rsid w:val="00BE7CBF"/>
    <w:rsid w:val="00BE7E1A"/>
    <w:rsid w:val="00BE7E4D"/>
    <w:rsid w:val="00BE7E59"/>
    <w:rsid w:val="00BE7E8E"/>
    <w:rsid w:val="00BE7F23"/>
    <w:rsid w:val="00BE7F61"/>
    <w:rsid w:val="00BE7FE2"/>
    <w:rsid w:val="00BF0048"/>
    <w:rsid w:val="00BF0167"/>
    <w:rsid w:val="00BF038B"/>
    <w:rsid w:val="00BF042D"/>
    <w:rsid w:val="00BF056D"/>
    <w:rsid w:val="00BF0687"/>
    <w:rsid w:val="00BF074E"/>
    <w:rsid w:val="00BF09BD"/>
    <w:rsid w:val="00BF0B35"/>
    <w:rsid w:val="00BF0CCE"/>
    <w:rsid w:val="00BF0D30"/>
    <w:rsid w:val="00BF0D7E"/>
    <w:rsid w:val="00BF0F2F"/>
    <w:rsid w:val="00BF122C"/>
    <w:rsid w:val="00BF1236"/>
    <w:rsid w:val="00BF13DA"/>
    <w:rsid w:val="00BF1458"/>
    <w:rsid w:val="00BF148F"/>
    <w:rsid w:val="00BF189C"/>
    <w:rsid w:val="00BF18E8"/>
    <w:rsid w:val="00BF19D7"/>
    <w:rsid w:val="00BF19F1"/>
    <w:rsid w:val="00BF1A76"/>
    <w:rsid w:val="00BF1A83"/>
    <w:rsid w:val="00BF1B50"/>
    <w:rsid w:val="00BF1C90"/>
    <w:rsid w:val="00BF1D0F"/>
    <w:rsid w:val="00BF1D15"/>
    <w:rsid w:val="00BF1D84"/>
    <w:rsid w:val="00BF1DE8"/>
    <w:rsid w:val="00BF1F8C"/>
    <w:rsid w:val="00BF1FEC"/>
    <w:rsid w:val="00BF1FFB"/>
    <w:rsid w:val="00BF25AA"/>
    <w:rsid w:val="00BF25D8"/>
    <w:rsid w:val="00BF2794"/>
    <w:rsid w:val="00BF28D9"/>
    <w:rsid w:val="00BF2CB9"/>
    <w:rsid w:val="00BF2D69"/>
    <w:rsid w:val="00BF2EF6"/>
    <w:rsid w:val="00BF2F14"/>
    <w:rsid w:val="00BF31A9"/>
    <w:rsid w:val="00BF342D"/>
    <w:rsid w:val="00BF3772"/>
    <w:rsid w:val="00BF37CE"/>
    <w:rsid w:val="00BF3897"/>
    <w:rsid w:val="00BF38A4"/>
    <w:rsid w:val="00BF3910"/>
    <w:rsid w:val="00BF3A85"/>
    <w:rsid w:val="00BF414D"/>
    <w:rsid w:val="00BF4314"/>
    <w:rsid w:val="00BF46E3"/>
    <w:rsid w:val="00BF4788"/>
    <w:rsid w:val="00BF48B2"/>
    <w:rsid w:val="00BF4B15"/>
    <w:rsid w:val="00BF4B96"/>
    <w:rsid w:val="00BF5206"/>
    <w:rsid w:val="00BF56A7"/>
    <w:rsid w:val="00BF5AB0"/>
    <w:rsid w:val="00BF5B42"/>
    <w:rsid w:val="00BF5E5F"/>
    <w:rsid w:val="00BF5F24"/>
    <w:rsid w:val="00BF6016"/>
    <w:rsid w:val="00BF6177"/>
    <w:rsid w:val="00BF630E"/>
    <w:rsid w:val="00BF657D"/>
    <w:rsid w:val="00BF66AE"/>
    <w:rsid w:val="00BF6703"/>
    <w:rsid w:val="00BF671B"/>
    <w:rsid w:val="00BF69F0"/>
    <w:rsid w:val="00BF6DBF"/>
    <w:rsid w:val="00BF6DC8"/>
    <w:rsid w:val="00BF6DD2"/>
    <w:rsid w:val="00BF71C8"/>
    <w:rsid w:val="00BF72F8"/>
    <w:rsid w:val="00BF772E"/>
    <w:rsid w:val="00BF7752"/>
    <w:rsid w:val="00BF778C"/>
    <w:rsid w:val="00BF77B1"/>
    <w:rsid w:val="00BF78BE"/>
    <w:rsid w:val="00BF7929"/>
    <w:rsid w:val="00BF7A9D"/>
    <w:rsid w:val="00BF7AFD"/>
    <w:rsid w:val="00BF7C17"/>
    <w:rsid w:val="00BF7E78"/>
    <w:rsid w:val="00BF7F33"/>
    <w:rsid w:val="00C001BF"/>
    <w:rsid w:val="00C004C7"/>
    <w:rsid w:val="00C00706"/>
    <w:rsid w:val="00C008BE"/>
    <w:rsid w:val="00C00C0E"/>
    <w:rsid w:val="00C00CA8"/>
    <w:rsid w:val="00C00F0A"/>
    <w:rsid w:val="00C01140"/>
    <w:rsid w:val="00C01899"/>
    <w:rsid w:val="00C0195F"/>
    <w:rsid w:val="00C01978"/>
    <w:rsid w:val="00C01D14"/>
    <w:rsid w:val="00C01F5E"/>
    <w:rsid w:val="00C022DB"/>
    <w:rsid w:val="00C023E5"/>
    <w:rsid w:val="00C023F2"/>
    <w:rsid w:val="00C02476"/>
    <w:rsid w:val="00C0257E"/>
    <w:rsid w:val="00C02610"/>
    <w:rsid w:val="00C026FB"/>
    <w:rsid w:val="00C027E1"/>
    <w:rsid w:val="00C02897"/>
    <w:rsid w:val="00C02936"/>
    <w:rsid w:val="00C02A67"/>
    <w:rsid w:val="00C02AE6"/>
    <w:rsid w:val="00C02BCD"/>
    <w:rsid w:val="00C02CA5"/>
    <w:rsid w:val="00C02F68"/>
    <w:rsid w:val="00C03073"/>
    <w:rsid w:val="00C0307A"/>
    <w:rsid w:val="00C03224"/>
    <w:rsid w:val="00C03267"/>
    <w:rsid w:val="00C033EF"/>
    <w:rsid w:val="00C0349A"/>
    <w:rsid w:val="00C034E5"/>
    <w:rsid w:val="00C036ED"/>
    <w:rsid w:val="00C038F5"/>
    <w:rsid w:val="00C039F4"/>
    <w:rsid w:val="00C03E1F"/>
    <w:rsid w:val="00C0402F"/>
    <w:rsid w:val="00C042FA"/>
    <w:rsid w:val="00C044C5"/>
    <w:rsid w:val="00C04589"/>
    <w:rsid w:val="00C045F5"/>
    <w:rsid w:val="00C0472B"/>
    <w:rsid w:val="00C048DE"/>
    <w:rsid w:val="00C04AF6"/>
    <w:rsid w:val="00C04C01"/>
    <w:rsid w:val="00C04CBB"/>
    <w:rsid w:val="00C04E7D"/>
    <w:rsid w:val="00C051DE"/>
    <w:rsid w:val="00C052B4"/>
    <w:rsid w:val="00C052E6"/>
    <w:rsid w:val="00C05364"/>
    <w:rsid w:val="00C054AE"/>
    <w:rsid w:val="00C056C1"/>
    <w:rsid w:val="00C05756"/>
    <w:rsid w:val="00C057AC"/>
    <w:rsid w:val="00C057CC"/>
    <w:rsid w:val="00C05908"/>
    <w:rsid w:val="00C059B9"/>
    <w:rsid w:val="00C05AE4"/>
    <w:rsid w:val="00C05B83"/>
    <w:rsid w:val="00C05BBF"/>
    <w:rsid w:val="00C05C25"/>
    <w:rsid w:val="00C05CA1"/>
    <w:rsid w:val="00C05CD0"/>
    <w:rsid w:val="00C05E52"/>
    <w:rsid w:val="00C05EB4"/>
    <w:rsid w:val="00C05EE2"/>
    <w:rsid w:val="00C05F0D"/>
    <w:rsid w:val="00C05F22"/>
    <w:rsid w:val="00C05F8C"/>
    <w:rsid w:val="00C06093"/>
    <w:rsid w:val="00C06156"/>
    <w:rsid w:val="00C0619B"/>
    <w:rsid w:val="00C06374"/>
    <w:rsid w:val="00C063A4"/>
    <w:rsid w:val="00C063A9"/>
    <w:rsid w:val="00C064AB"/>
    <w:rsid w:val="00C06620"/>
    <w:rsid w:val="00C06652"/>
    <w:rsid w:val="00C069BB"/>
    <w:rsid w:val="00C069D5"/>
    <w:rsid w:val="00C06A85"/>
    <w:rsid w:val="00C06B88"/>
    <w:rsid w:val="00C06BC7"/>
    <w:rsid w:val="00C06D0D"/>
    <w:rsid w:val="00C06E04"/>
    <w:rsid w:val="00C06E09"/>
    <w:rsid w:val="00C0701E"/>
    <w:rsid w:val="00C0725E"/>
    <w:rsid w:val="00C07649"/>
    <w:rsid w:val="00C07732"/>
    <w:rsid w:val="00C0794F"/>
    <w:rsid w:val="00C079F5"/>
    <w:rsid w:val="00C07BF0"/>
    <w:rsid w:val="00C07CB2"/>
    <w:rsid w:val="00C07D5D"/>
    <w:rsid w:val="00C07E97"/>
    <w:rsid w:val="00C07F64"/>
    <w:rsid w:val="00C0D852"/>
    <w:rsid w:val="00C10151"/>
    <w:rsid w:val="00C1026B"/>
    <w:rsid w:val="00C102D6"/>
    <w:rsid w:val="00C102DE"/>
    <w:rsid w:val="00C10426"/>
    <w:rsid w:val="00C1049A"/>
    <w:rsid w:val="00C105AC"/>
    <w:rsid w:val="00C10619"/>
    <w:rsid w:val="00C1065D"/>
    <w:rsid w:val="00C10745"/>
    <w:rsid w:val="00C108F8"/>
    <w:rsid w:val="00C10C98"/>
    <w:rsid w:val="00C10D65"/>
    <w:rsid w:val="00C10E15"/>
    <w:rsid w:val="00C112B4"/>
    <w:rsid w:val="00C112E3"/>
    <w:rsid w:val="00C11315"/>
    <w:rsid w:val="00C1135F"/>
    <w:rsid w:val="00C114F0"/>
    <w:rsid w:val="00C11569"/>
    <w:rsid w:val="00C11C17"/>
    <w:rsid w:val="00C11D5E"/>
    <w:rsid w:val="00C11E07"/>
    <w:rsid w:val="00C11E62"/>
    <w:rsid w:val="00C11E95"/>
    <w:rsid w:val="00C11ED6"/>
    <w:rsid w:val="00C11EDB"/>
    <w:rsid w:val="00C11F48"/>
    <w:rsid w:val="00C11F4C"/>
    <w:rsid w:val="00C120DD"/>
    <w:rsid w:val="00C1214E"/>
    <w:rsid w:val="00C121B6"/>
    <w:rsid w:val="00C123F0"/>
    <w:rsid w:val="00C12509"/>
    <w:rsid w:val="00C12589"/>
    <w:rsid w:val="00C1261D"/>
    <w:rsid w:val="00C12652"/>
    <w:rsid w:val="00C126E3"/>
    <w:rsid w:val="00C12771"/>
    <w:rsid w:val="00C12B34"/>
    <w:rsid w:val="00C12E30"/>
    <w:rsid w:val="00C12F3B"/>
    <w:rsid w:val="00C12F40"/>
    <w:rsid w:val="00C13330"/>
    <w:rsid w:val="00C1346A"/>
    <w:rsid w:val="00C1361F"/>
    <w:rsid w:val="00C13630"/>
    <w:rsid w:val="00C13755"/>
    <w:rsid w:val="00C1375A"/>
    <w:rsid w:val="00C13952"/>
    <w:rsid w:val="00C13B97"/>
    <w:rsid w:val="00C13CEE"/>
    <w:rsid w:val="00C13CFB"/>
    <w:rsid w:val="00C13D06"/>
    <w:rsid w:val="00C13E23"/>
    <w:rsid w:val="00C13E7E"/>
    <w:rsid w:val="00C13F3F"/>
    <w:rsid w:val="00C14276"/>
    <w:rsid w:val="00C142FD"/>
    <w:rsid w:val="00C14376"/>
    <w:rsid w:val="00C144F7"/>
    <w:rsid w:val="00C14682"/>
    <w:rsid w:val="00C1468C"/>
    <w:rsid w:val="00C146F0"/>
    <w:rsid w:val="00C14876"/>
    <w:rsid w:val="00C14968"/>
    <w:rsid w:val="00C149AA"/>
    <w:rsid w:val="00C14A17"/>
    <w:rsid w:val="00C14AB5"/>
    <w:rsid w:val="00C14C73"/>
    <w:rsid w:val="00C14C95"/>
    <w:rsid w:val="00C14CC9"/>
    <w:rsid w:val="00C14D99"/>
    <w:rsid w:val="00C14DD6"/>
    <w:rsid w:val="00C14E2E"/>
    <w:rsid w:val="00C14F73"/>
    <w:rsid w:val="00C14F8B"/>
    <w:rsid w:val="00C15054"/>
    <w:rsid w:val="00C15226"/>
    <w:rsid w:val="00C15237"/>
    <w:rsid w:val="00C15309"/>
    <w:rsid w:val="00C15344"/>
    <w:rsid w:val="00C15742"/>
    <w:rsid w:val="00C15AB5"/>
    <w:rsid w:val="00C15AC4"/>
    <w:rsid w:val="00C15AF7"/>
    <w:rsid w:val="00C15B00"/>
    <w:rsid w:val="00C15CE5"/>
    <w:rsid w:val="00C15DE0"/>
    <w:rsid w:val="00C15EBD"/>
    <w:rsid w:val="00C15F0B"/>
    <w:rsid w:val="00C1641A"/>
    <w:rsid w:val="00C164B7"/>
    <w:rsid w:val="00C164BD"/>
    <w:rsid w:val="00C16551"/>
    <w:rsid w:val="00C16756"/>
    <w:rsid w:val="00C16891"/>
    <w:rsid w:val="00C16B87"/>
    <w:rsid w:val="00C16BDF"/>
    <w:rsid w:val="00C16C9F"/>
    <w:rsid w:val="00C16D6F"/>
    <w:rsid w:val="00C16F63"/>
    <w:rsid w:val="00C16FD0"/>
    <w:rsid w:val="00C170C9"/>
    <w:rsid w:val="00C17113"/>
    <w:rsid w:val="00C1719F"/>
    <w:rsid w:val="00C171F7"/>
    <w:rsid w:val="00C17432"/>
    <w:rsid w:val="00C17611"/>
    <w:rsid w:val="00C1766B"/>
    <w:rsid w:val="00C176FD"/>
    <w:rsid w:val="00C177BA"/>
    <w:rsid w:val="00C17873"/>
    <w:rsid w:val="00C17A12"/>
    <w:rsid w:val="00C17BA5"/>
    <w:rsid w:val="00C17C6C"/>
    <w:rsid w:val="00C17C83"/>
    <w:rsid w:val="00C17D9D"/>
    <w:rsid w:val="00C17E8F"/>
    <w:rsid w:val="00C17F74"/>
    <w:rsid w:val="00C2007C"/>
    <w:rsid w:val="00C20198"/>
    <w:rsid w:val="00C202D6"/>
    <w:rsid w:val="00C2036A"/>
    <w:rsid w:val="00C203CD"/>
    <w:rsid w:val="00C2045D"/>
    <w:rsid w:val="00C20526"/>
    <w:rsid w:val="00C208C7"/>
    <w:rsid w:val="00C208F0"/>
    <w:rsid w:val="00C20A6F"/>
    <w:rsid w:val="00C20BAD"/>
    <w:rsid w:val="00C20D16"/>
    <w:rsid w:val="00C20D97"/>
    <w:rsid w:val="00C20F12"/>
    <w:rsid w:val="00C20FC2"/>
    <w:rsid w:val="00C210D9"/>
    <w:rsid w:val="00C21183"/>
    <w:rsid w:val="00C21333"/>
    <w:rsid w:val="00C21576"/>
    <w:rsid w:val="00C2179C"/>
    <w:rsid w:val="00C21924"/>
    <w:rsid w:val="00C2192D"/>
    <w:rsid w:val="00C21AF3"/>
    <w:rsid w:val="00C21B84"/>
    <w:rsid w:val="00C21BA4"/>
    <w:rsid w:val="00C21D9F"/>
    <w:rsid w:val="00C21F24"/>
    <w:rsid w:val="00C21F90"/>
    <w:rsid w:val="00C21FAC"/>
    <w:rsid w:val="00C2216D"/>
    <w:rsid w:val="00C2216F"/>
    <w:rsid w:val="00C222AB"/>
    <w:rsid w:val="00C2232A"/>
    <w:rsid w:val="00C2236F"/>
    <w:rsid w:val="00C22384"/>
    <w:rsid w:val="00C22443"/>
    <w:rsid w:val="00C22572"/>
    <w:rsid w:val="00C2277E"/>
    <w:rsid w:val="00C227ED"/>
    <w:rsid w:val="00C228C2"/>
    <w:rsid w:val="00C228D5"/>
    <w:rsid w:val="00C22998"/>
    <w:rsid w:val="00C22C09"/>
    <w:rsid w:val="00C22E95"/>
    <w:rsid w:val="00C22F41"/>
    <w:rsid w:val="00C2342E"/>
    <w:rsid w:val="00C2348F"/>
    <w:rsid w:val="00C23523"/>
    <w:rsid w:val="00C235C2"/>
    <w:rsid w:val="00C23701"/>
    <w:rsid w:val="00C237D2"/>
    <w:rsid w:val="00C23876"/>
    <w:rsid w:val="00C2394C"/>
    <w:rsid w:val="00C23999"/>
    <w:rsid w:val="00C23B12"/>
    <w:rsid w:val="00C23B4A"/>
    <w:rsid w:val="00C23BCE"/>
    <w:rsid w:val="00C23D18"/>
    <w:rsid w:val="00C23E2B"/>
    <w:rsid w:val="00C23E7E"/>
    <w:rsid w:val="00C244B8"/>
    <w:rsid w:val="00C244CA"/>
    <w:rsid w:val="00C24682"/>
    <w:rsid w:val="00C24768"/>
    <w:rsid w:val="00C24846"/>
    <w:rsid w:val="00C248DE"/>
    <w:rsid w:val="00C24949"/>
    <w:rsid w:val="00C24AD2"/>
    <w:rsid w:val="00C24DC9"/>
    <w:rsid w:val="00C25051"/>
    <w:rsid w:val="00C251D5"/>
    <w:rsid w:val="00C251E7"/>
    <w:rsid w:val="00C2524C"/>
    <w:rsid w:val="00C253DD"/>
    <w:rsid w:val="00C25404"/>
    <w:rsid w:val="00C25530"/>
    <w:rsid w:val="00C2553E"/>
    <w:rsid w:val="00C2555F"/>
    <w:rsid w:val="00C25785"/>
    <w:rsid w:val="00C257E0"/>
    <w:rsid w:val="00C25950"/>
    <w:rsid w:val="00C259C7"/>
    <w:rsid w:val="00C259CB"/>
    <w:rsid w:val="00C25AD9"/>
    <w:rsid w:val="00C25DA6"/>
    <w:rsid w:val="00C26074"/>
    <w:rsid w:val="00C26162"/>
    <w:rsid w:val="00C26215"/>
    <w:rsid w:val="00C263DA"/>
    <w:rsid w:val="00C264A2"/>
    <w:rsid w:val="00C264CA"/>
    <w:rsid w:val="00C264F9"/>
    <w:rsid w:val="00C26540"/>
    <w:rsid w:val="00C265E6"/>
    <w:rsid w:val="00C266DE"/>
    <w:rsid w:val="00C2677B"/>
    <w:rsid w:val="00C267C5"/>
    <w:rsid w:val="00C267D4"/>
    <w:rsid w:val="00C268AA"/>
    <w:rsid w:val="00C26917"/>
    <w:rsid w:val="00C26BB9"/>
    <w:rsid w:val="00C26C56"/>
    <w:rsid w:val="00C26C70"/>
    <w:rsid w:val="00C27052"/>
    <w:rsid w:val="00C27278"/>
    <w:rsid w:val="00C2728A"/>
    <w:rsid w:val="00C27372"/>
    <w:rsid w:val="00C27513"/>
    <w:rsid w:val="00C277DF"/>
    <w:rsid w:val="00C27B22"/>
    <w:rsid w:val="00C27B24"/>
    <w:rsid w:val="00C27B94"/>
    <w:rsid w:val="00C27ED5"/>
    <w:rsid w:val="00C3006A"/>
    <w:rsid w:val="00C301F9"/>
    <w:rsid w:val="00C303F3"/>
    <w:rsid w:val="00C30568"/>
    <w:rsid w:val="00C305D3"/>
    <w:rsid w:val="00C30604"/>
    <w:rsid w:val="00C30635"/>
    <w:rsid w:val="00C30667"/>
    <w:rsid w:val="00C307F0"/>
    <w:rsid w:val="00C30930"/>
    <w:rsid w:val="00C3098A"/>
    <w:rsid w:val="00C30C80"/>
    <w:rsid w:val="00C30CF2"/>
    <w:rsid w:val="00C30D4E"/>
    <w:rsid w:val="00C3102D"/>
    <w:rsid w:val="00C31031"/>
    <w:rsid w:val="00C3106A"/>
    <w:rsid w:val="00C310E1"/>
    <w:rsid w:val="00C31214"/>
    <w:rsid w:val="00C3123C"/>
    <w:rsid w:val="00C3127E"/>
    <w:rsid w:val="00C312C2"/>
    <w:rsid w:val="00C313FA"/>
    <w:rsid w:val="00C3152C"/>
    <w:rsid w:val="00C31810"/>
    <w:rsid w:val="00C318A1"/>
    <w:rsid w:val="00C318C1"/>
    <w:rsid w:val="00C318CD"/>
    <w:rsid w:val="00C31945"/>
    <w:rsid w:val="00C31BF3"/>
    <w:rsid w:val="00C31D7D"/>
    <w:rsid w:val="00C31FB5"/>
    <w:rsid w:val="00C32021"/>
    <w:rsid w:val="00C3214B"/>
    <w:rsid w:val="00C325C4"/>
    <w:rsid w:val="00C3266F"/>
    <w:rsid w:val="00C327D1"/>
    <w:rsid w:val="00C328E7"/>
    <w:rsid w:val="00C32C50"/>
    <w:rsid w:val="00C32E08"/>
    <w:rsid w:val="00C330C6"/>
    <w:rsid w:val="00C33197"/>
    <w:rsid w:val="00C3349B"/>
    <w:rsid w:val="00C3356F"/>
    <w:rsid w:val="00C33780"/>
    <w:rsid w:val="00C3382E"/>
    <w:rsid w:val="00C33B78"/>
    <w:rsid w:val="00C33C26"/>
    <w:rsid w:val="00C33CFA"/>
    <w:rsid w:val="00C33EE5"/>
    <w:rsid w:val="00C3418E"/>
    <w:rsid w:val="00C341E2"/>
    <w:rsid w:val="00C341E4"/>
    <w:rsid w:val="00C342BC"/>
    <w:rsid w:val="00C344C3"/>
    <w:rsid w:val="00C3457F"/>
    <w:rsid w:val="00C3459E"/>
    <w:rsid w:val="00C34725"/>
    <w:rsid w:val="00C347D6"/>
    <w:rsid w:val="00C349A6"/>
    <w:rsid w:val="00C34AB5"/>
    <w:rsid w:val="00C34CCF"/>
    <w:rsid w:val="00C34F8A"/>
    <w:rsid w:val="00C350E3"/>
    <w:rsid w:val="00C351E3"/>
    <w:rsid w:val="00C35392"/>
    <w:rsid w:val="00C353C8"/>
    <w:rsid w:val="00C35488"/>
    <w:rsid w:val="00C359D8"/>
    <w:rsid w:val="00C35A08"/>
    <w:rsid w:val="00C35C7E"/>
    <w:rsid w:val="00C35EA2"/>
    <w:rsid w:val="00C35F07"/>
    <w:rsid w:val="00C35FE6"/>
    <w:rsid w:val="00C3606C"/>
    <w:rsid w:val="00C360B2"/>
    <w:rsid w:val="00C361F2"/>
    <w:rsid w:val="00C36481"/>
    <w:rsid w:val="00C364BB"/>
    <w:rsid w:val="00C36523"/>
    <w:rsid w:val="00C36554"/>
    <w:rsid w:val="00C365EF"/>
    <w:rsid w:val="00C36609"/>
    <w:rsid w:val="00C36696"/>
    <w:rsid w:val="00C366FB"/>
    <w:rsid w:val="00C3675F"/>
    <w:rsid w:val="00C3694C"/>
    <w:rsid w:val="00C36A83"/>
    <w:rsid w:val="00C36E1F"/>
    <w:rsid w:val="00C36F43"/>
    <w:rsid w:val="00C3732D"/>
    <w:rsid w:val="00C37352"/>
    <w:rsid w:val="00C37561"/>
    <w:rsid w:val="00C375DC"/>
    <w:rsid w:val="00C3798B"/>
    <w:rsid w:val="00C37ABF"/>
    <w:rsid w:val="00C37B02"/>
    <w:rsid w:val="00C37E74"/>
    <w:rsid w:val="00C37ED4"/>
    <w:rsid w:val="00C404D7"/>
    <w:rsid w:val="00C40839"/>
    <w:rsid w:val="00C40B78"/>
    <w:rsid w:val="00C40C40"/>
    <w:rsid w:val="00C40CAE"/>
    <w:rsid w:val="00C40D26"/>
    <w:rsid w:val="00C40E41"/>
    <w:rsid w:val="00C40E87"/>
    <w:rsid w:val="00C40F7D"/>
    <w:rsid w:val="00C41021"/>
    <w:rsid w:val="00C41092"/>
    <w:rsid w:val="00C410F6"/>
    <w:rsid w:val="00C412E1"/>
    <w:rsid w:val="00C414C0"/>
    <w:rsid w:val="00C4167E"/>
    <w:rsid w:val="00C41712"/>
    <w:rsid w:val="00C41822"/>
    <w:rsid w:val="00C418C2"/>
    <w:rsid w:val="00C41B93"/>
    <w:rsid w:val="00C41BF0"/>
    <w:rsid w:val="00C41CAA"/>
    <w:rsid w:val="00C41D3F"/>
    <w:rsid w:val="00C41E44"/>
    <w:rsid w:val="00C41E49"/>
    <w:rsid w:val="00C41E72"/>
    <w:rsid w:val="00C42059"/>
    <w:rsid w:val="00C42147"/>
    <w:rsid w:val="00C4229F"/>
    <w:rsid w:val="00C422FB"/>
    <w:rsid w:val="00C42343"/>
    <w:rsid w:val="00C42381"/>
    <w:rsid w:val="00C423E1"/>
    <w:rsid w:val="00C426D6"/>
    <w:rsid w:val="00C42725"/>
    <w:rsid w:val="00C4277D"/>
    <w:rsid w:val="00C428C2"/>
    <w:rsid w:val="00C42977"/>
    <w:rsid w:val="00C42ADC"/>
    <w:rsid w:val="00C42F1C"/>
    <w:rsid w:val="00C42F41"/>
    <w:rsid w:val="00C42F9F"/>
    <w:rsid w:val="00C42FCC"/>
    <w:rsid w:val="00C43012"/>
    <w:rsid w:val="00C430FE"/>
    <w:rsid w:val="00C434A9"/>
    <w:rsid w:val="00C43603"/>
    <w:rsid w:val="00C4364F"/>
    <w:rsid w:val="00C4366D"/>
    <w:rsid w:val="00C43769"/>
    <w:rsid w:val="00C43933"/>
    <w:rsid w:val="00C43AB2"/>
    <w:rsid w:val="00C43B67"/>
    <w:rsid w:val="00C43BCE"/>
    <w:rsid w:val="00C43D41"/>
    <w:rsid w:val="00C43D8E"/>
    <w:rsid w:val="00C43E90"/>
    <w:rsid w:val="00C441E6"/>
    <w:rsid w:val="00C4436A"/>
    <w:rsid w:val="00C44680"/>
    <w:rsid w:val="00C447A6"/>
    <w:rsid w:val="00C4486E"/>
    <w:rsid w:val="00C44AAB"/>
    <w:rsid w:val="00C44AE5"/>
    <w:rsid w:val="00C44D44"/>
    <w:rsid w:val="00C44EC1"/>
    <w:rsid w:val="00C44ECC"/>
    <w:rsid w:val="00C44F71"/>
    <w:rsid w:val="00C45084"/>
    <w:rsid w:val="00C45232"/>
    <w:rsid w:val="00C45289"/>
    <w:rsid w:val="00C452A9"/>
    <w:rsid w:val="00C45332"/>
    <w:rsid w:val="00C45333"/>
    <w:rsid w:val="00C453B5"/>
    <w:rsid w:val="00C456EB"/>
    <w:rsid w:val="00C45777"/>
    <w:rsid w:val="00C45A7A"/>
    <w:rsid w:val="00C45D63"/>
    <w:rsid w:val="00C45EAB"/>
    <w:rsid w:val="00C461E9"/>
    <w:rsid w:val="00C462F9"/>
    <w:rsid w:val="00C466B5"/>
    <w:rsid w:val="00C466C7"/>
    <w:rsid w:val="00C46775"/>
    <w:rsid w:val="00C468A3"/>
    <w:rsid w:val="00C46AE5"/>
    <w:rsid w:val="00C46BAC"/>
    <w:rsid w:val="00C4716C"/>
    <w:rsid w:val="00C471B7"/>
    <w:rsid w:val="00C47263"/>
    <w:rsid w:val="00C472B7"/>
    <w:rsid w:val="00C473B1"/>
    <w:rsid w:val="00C47459"/>
    <w:rsid w:val="00C479B2"/>
    <w:rsid w:val="00C47A89"/>
    <w:rsid w:val="00C47B6F"/>
    <w:rsid w:val="00C47E22"/>
    <w:rsid w:val="00C47F76"/>
    <w:rsid w:val="00C503AC"/>
    <w:rsid w:val="00C506DD"/>
    <w:rsid w:val="00C5084B"/>
    <w:rsid w:val="00C50977"/>
    <w:rsid w:val="00C50AAE"/>
    <w:rsid w:val="00C50AB9"/>
    <w:rsid w:val="00C50ADF"/>
    <w:rsid w:val="00C50B0E"/>
    <w:rsid w:val="00C50BAD"/>
    <w:rsid w:val="00C50BBA"/>
    <w:rsid w:val="00C50C4D"/>
    <w:rsid w:val="00C51139"/>
    <w:rsid w:val="00C5133A"/>
    <w:rsid w:val="00C514DB"/>
    <w:rsid w:val="00C51640"/>
    <w:rsid w:val="00C51923"/>
    <w:rsid w:val="00C51A70"/>
    <w:rsid w:val="00C51BA6"/>
    <w:rsid w:val="00C51C7B"/>
    <w:rsid w:val="00C51D96"/>
    <w:rsid w:val="00C51DBE"/>
    <w:rsid w:val="00C51DEB"/>
    <w:rsid w:val="00C5215C"/>
    <w:rsid w:val="00C521AA"/>
    <w:rsid w:val="00C521DB"/>
    <w:rsid w:val="00C5232B"/>
    <w:rsid w:val="00C52364"/>
    <w:rsid w:val="00C523C3"/>
    <w:rsid w:val="00C524F5"/>
    <w:rsid w:val="00C525A3"/>
    <w:rsid w:val="00C525E1"/>
    <w:rsid w:val="00C52672"/>
    <w:rsid w:val="00C52739"/>
    <w:rsid w:val="00C52886"/>
    <w:rsid w:val="00C52982"/>
    <w:rsid w:val="00C52ABB"/>
    <w:rsid w:val="00C52AFF"/>
    <w:rsid w:val="00C53149"/>
    <w:rsid w:val="00C531CE"/>
    <w:rsid w:val="00C534F9"/>
    <w:rsid w:val="00C53541"/>
    <w:rsid w:val="00C53561"/>
    <w:rsid w:val="00C5398C"/>
    <w:rsid w:val="00C53B13"/>
    <w:rsid w:val="00C53CA2"/>
    <w:rsid w:val="00C53E3F"/>
    <w:rsid w:val="00C53F2B"/>
    <w:rsid w:val="00C541AD"/>
    <w:rsid w:val="00C54573"/>
    <w:rsid w:val="00C546F2"/>
    <w:rsid w:val="00C547B5"/>
    <w:rsid w:val="00C54806"/>
    <w:rsid w:val="00C5482B"/>
    <w:rsid w:val="00C54941"/>
    <w:rsid w:val="00C549A7"/>
    <w:rsid w:val="00C54A57"/>
    <w:rsid w:val="00C54A94"/>
    <w:rsid w:val="00C54C23"/>
    <w:rsid w:val="00C54C72"/>
    <w:rsid w:val="00C551A8"/>
    <w:rsid w:val="00C551CC"/>
    <w:rsid w:val="00C55291"/>
    <w:rsid w:val="00C5538C"/>
    <w:rsid w:val="00C5553C"/>
    <w:rsid w:val="00C558A5"/>
    <w:rsid w:val="00C5595B"/>
    <w:rsid w:val="00C55971"/>
    <w:rsid w:val="00C55B81"/>
    <w:rsid w:val="00C55DAB"/>
    <w:rsid w:val="00C55DAF"/>
    <w:rsid w:val="00C5610B"/>
    <w:rsid w:val="00C56121"/>
    <w:rsid w:val="00C5612F"/>
    <w:rsid w:val="00C562A5"/>
    <w:rsid w:val="00C5665E"/>
    <w:rsid w:val="00C56785"/>
    <w:rsid w:val="00C567B2"/>
    <w:rsid w:val="00C56812"/>
    <w:rsid w:val="00C56889"/>
    <w:rsid w:val="00C56F10"/>
    <w:rsid w:val="00C570F6"/>
    <w:rsid w:val="00C5719D"/>
    <w:rsid w:val="00C57294"/>
    <w:rsid w:val="00C5738F"/>
    <w:rsid w:val="00C57427"/>
    <w:rsid w:val="00C57458"/>
    <w:rsid w:val="00C574D1"/>
    <w:rsid w:val="00C57514"/>
    <w:rsid w:val="00C57589"/>
    <w:rsid w:val="00C575FE"/>
    <w:rsid w:val="00C5780A"/>
    <w:rsid w:val="00C57880"/>
    <w:rsid w:val="00C578F9"/>
    <w:rsid w:val="00C57968"/>
    <w:rsid w:val="00C57AF5"/>
    <w:rsid w:val="00C57C38"/>
    <w:rsid w:val="00C57D45"/>
    <w:rsid w:val="00C57D60"/>
    <w:rsid w:val="00C57D6B"/>
    <w:rsid w:val="00C57E2A"/>
    <w:rsid w:val="00C57E5E"/>
    <w:rsid w:val="00C57E68"/>
    <w:rsid w:val="00C57EA7"/>
    <w:rsid w:val="00C60073"/>
    <w:rsid w:val="00C600A1"/>
    <w:rsid w:val="00C600C7"/>
    <w:rsid w:val="00C601F2"/>
    <w:rsid w:val="00C60245"/>
    <w:rsid w:val="00C602D7"/>
    <w:rsid w:val="00C60472"/>
    <w:rsid w:val="00C605C3"/>
    <w:rsid w:val="00C60683"/>
    <w:rsid w:val="00C6069E"/>
    <w:rsid w:val="00C609C9"/>
    <w:rsid w:val="00C609D2"/>
    <w:rsid w:val="00C60A29"/>
    <w:rsid w:val="00C60AF1"/>
    <w:rsid w:val="00C60CF1"/>
    <w:rsid w:val="00C60F60"/>
    <w:rsid w:val="00C61154"/>
    <w:rsid w:val="00C6118A"/>
    <w:rsid w:val="00C61199"/>
    <w:rsid w:val="00C611DE"/>
    <w:rsid w:val="00C61245"/>
    <w:rsid w:val="00C61256"/>
    <w:rsid w:val="00C614C0"/>
    <w:rsid w:val="00C61545"/>
    <w:rsid w:val="00C615C2"/>
    <w:rsid w:val="00C61676"/>
    <w:rsid w:val="00C616C2"/>
    <w:rsid w:val="00C61831"/>
    <w:rsid w:val="00C61A97"/>
    <w:rsid w:val="00C61BFF"/>
    <w:rsid w:val="00C61E0F"/>
    <w:rsid w:val="00C61E68"/>
    <w:rsid w:val="00C61E82"/>
    <w:rsid w:val="00C62007"/>
    <w:rsid w:val="00C62514"/>
    <w:rsid w:val="00C626FB"/>
    <w:rsid w:val="00C62737"/>
    <w:rsid w:val="00C62AF2"/>
    <w:rsid w:val="00C62B9B"/>
    <w:rsid w:val="00C62C3C"/>
    <w:rsid w:val="00C62E42"/>
    <w:rsid w:val="00C62EC6"/>
    <w:rsid w:val="00C62EDE"/>
    <w:rsid w:val="00C62F5E"/>
    <w:rsid w:val="00C6302B"/>
    <w:rsid w:val="00C630BB"/>
    <w:rsid w:val="00C631D1"/>
    <w:rsid w:val="00C631EF"/>
    <w:rsid w:val="00C633F8"/>
    <w:rsid w:val="00C63419"/>
    <w:rsid w:val="00C634AE"/>
    <w:rsid w:val="00C63756"/>
    <w:rsid w:val="00C637E2"/>
    <w:rsid w:val="00C637E9"/>
    <w:rsid w:val="00C63A0B"/>
    <w:rsid w:val="00C63A90"/>
    <w:rsid w:val="00C63AAA"/>
    <w:rsid w:val="00C63C20"/>
    <w:rsid w:val="00C63DAA"/>
    <w:rsid w:val="00C63E74"/>
    <w:rsid w:val="00C63EB2"/>
    <w:rsid w:val="00C63EC4"/>
    <w:rsid w:val="00C64212"/>
    <w:rsid w:val="00C64226"/>
    <w:rsid w:val="00C64305"/>
    <w:rsid w:val="00C643D7"/>
    <w:rsid w:val="00C6442A"/>
    <w:rsid w:val="00C645AE"/>
    <w:rsid w:val="00C645B1"/>
    <w:rsid w:val="00C645E9"/>
    <w:rsid w:val="00C645F8"/>
    <w:rsid w:val="00C64749"/>
    <w:rsid w:val="00C6474B"/>
    <w:rsid w:val="00C6478A"/>
    <w:rsid w:val="00C64917"/>
    <w:rsid w:val="00C64BC7"/>
    <w:rsid w:val="00C64C1B"/>
    <w:rsid w:val="00C64D05"/>
    <w:rsid w:val="00C64F21"/>
    <w:rsid w:val="00C65086"/>
    <w:rsid w:val="00C6521C"/>
    <w:rsid w:val="00C65250"/>
    <w:rsid w:val="00C65254"/>
    <w:rsid w:val="00C652AB"/>
    <w:rsid w:val="00C6533A"/>
    <w:rsid w:val="00C655C3"/>
    <w:rsid w:val="00C65635"/>
    <w:rsid w:val="00C65733"/>
    <w:rsid w:val="00C65893"/>
    <w:rsid w:val="00C6596F"/>
    <w:rsid w:val="00C65983"/>
    <w:rsid w:val="00C65A58"/>
    <w:rsid w:val="00C65AC9"/>
    <w:rsid w:val="00C65B29"/>
    <w:rsid w:val="00C65B7D"/>
    <w:rsid w:val="00C65BEF"/>
    <w:rsid w:val="00C65FD3"/>
    <w:rsid w:val="00C66120"/>
    <w:rsid w:val="00C66210"/>
    <w:rsid w:val="00C66531"/>
    <w:rsid w:val="00C665DA"/>
    <w:rsid w:val="00C66A59"/>
    <w:rsid w:val="00C66B0D"/>
    <w:rsid w:val="00C66B40"/>
    <w:rsid w:val="00C66B64"/>
    <w:rsid w:val="00C66BB3"/>
    <w:rsid w:val="00C66C1C"/>
    <w:rsid w:val="00C66C1D"/>
    <w:rsid w:val="00C66DBB"/>
    <w:rsid w:val="00C66E3B"/>
    <w:rsid w:val="00C66E93"/>
    <w:rsid w:val="00C66F15"/>
    <w:rsid w:val="00C670D8"/>
    <w:rsid w:val="00C67235"/>
    <w:rsid w:val="00C672C3"/>
    <w:rsid w:val="00C673C2"/>
    <w:rsid w:val="00C67432"/>
    <w:rsid w:val="00C674C3"/>
    <w:rsid w:val="00C675EB"/>
    <w:rsid w:val="00C67728"/>
    <w:rsid w:val="00C677D6"/>
    <w:rsid w:val="00C67854"/>
    <w:rsid w:val="00C678A9"/>
    <w:rsid w:val="00C67957"/>
    <w:rsid w:val="00C67EF6"/>
    <w:rsid w:val="00C70204"/>
    <w:rsid w:val="00C7029D"/>
    <w:rsid w:val="00C70400"/>
    <w:rsid w:val="00C7051A"/>
    <w:rsid w:val="00C70604"/>
    <w:rsid w:val="00C70685"/>
    <w:rsid w:val="00C707B9"/>
    <w:rsid w:val="00C70804"/>
    <w:rsid w:val="00C70822"/>
    <w:rsid w:val="00C709CE"/>
    <w:rsid w:val="00C70A98"/>
    <w:rsid w:val="00C70EAB"/>
    <w:rsid w:val="00C710EB"/>
    <w:rsid w:val="00C712FE"/>
    <w:rsid w:val="00C71406"/>
    <w:rsid w:val="00C71448"/>
    <w:rsid w:val="00C714DE"/>
    <w:rsid w:val="00C715E8"/>
    <w:rsid w:val="00C715ED"/>
    <w:rsid w:val="00C7161E"/>
    <w:rsid w:val="00C7169F"/>
    <w:rsid w:val="00C7181C"/>
    <w:rsid w:val="00C71823"/>
    <w:rsid w:val="00C718DD"/>
    <w:rsid w:val="00C71A69"/>
    <w:rsid w:val="00C71ACE"/>
    <w:rsid w:val="00C71BB2"/>
    <w:rsid w:val="00C71C1F"/>
    <w:rsid w:val="00C71DE7"/>
    <w:rsid w:val="00C71FC1"/>
    <w:rsid w:val="00C720AA"/>
    <w:rsid w:val="00C720B5"/>
    <w:rsid w:val="00C72196"/>
    <w:rsid w:val="00C723D7"/>
    <w:rsid w:val="00C726CA"/>
    <w:rsid w:val="00C7283F"/>
    <w:rsid w:val="00C7291C"/>
    <w:rsid w:val="00C729BD"/>
    <w:rsid w:val="00C72C9D"/>
    <w:rsid w:val="00C72CA1"/>
    <w:rsid w:val="00C73030"/>
    <w:rsid w:val="00C7308B"/>
    <w:rsid w:val="00C730B4"/>
    <w:rsid w:val="00C7317D"/>
    <w:rsid w:val="00C73195"/>
    <w:rsid w:val="00C7321B"/>
    <w:rsid w:val="00C7327F"/>
    <w:rsid w:val="00C73563"/>
    <w:rsid w:val="00C7385F"/>
    <w:rsid w:val="00C73896"/>
    <w:rsid w:val="00C7391E"/>
    <w:rsid w:val="00C73D04"/>
    <w:rsid w:val="00C73DCD"/>
    <w:rsid w:val="00C73FAA"/>
    <w:rsid w:val="00C73FC9"/>
    <w:rsid w:val="00C741CC"/>
    <w:rsid w:val="00C742F8"/>
    <w:rsid w:val="00C74417"/>
    <w:rsid w:val="00C744C3"/>
    <w:rsid w:val="00C748DC"/>
    <w:rsid w:val="00C748FF"/>
    <w:rsid w:val="00C74A72"/>
    <w:rsid w:val="00C74B07"/>
    <w:rsid w:val="00C74C64"/>
    <w:rsid w:val="00C74FF7"/>
    <w:rsid w:val="00C750CD"/>
    <w:rsid w:val="00C75172"/>
    <w:rsid w:val="00C751C7"/>
    <w:rsid w:val="00C751DB"/>
    <w:rsid w:val="00C754EE"/>
    <w:rsid w:val="00C754F2"/>
    <w:rsid w:val="00C75820"/>
    <w:rsid w:val="00C75A8B"/>
    <w:rsid w:val="00C75AA9"/>
    <w:rsid w:val="00C75B9A"/>
    <w:rsid w:val="00C75BA1"/>
    <w:rsid w:val="00C75DA3"/>
    <w:rsid w:val="00C75DDE"/>
    <w:rsid w:val="00C75F69"/>
    <w:rsid w:val="00C75F9D"/>
    <w:rsid w:val="00C760C7"/>
    <w:rsid w:val="00C760F9"/>
    <w:rsid w:val="00C76147"/>
    <w:rsid w:val="00C761D1"/>
    <w:rsid w:val="00C761DE"/>
    <w:rsid w:val="00C76215"/>
    <w:rsid w:val="00C7645C"/>
    <w:rsid w:val="00C76475"/>
    <w:rsid w:val="00C7647D"/>
    <w:rsid w:val="00C7659E"/>
    <w:rsid w:val="00C76610"/>
    <w:rsid w:val="00C76919"/>
    <w:rsid w:val="00C76CD9"/>
    <w:rsid w:val="00C76DE4"/>
    <w:rsid w:val="00C770A5"/>
    <w:rsid w:val="00C771A6"/>
    <w:rsid w:val="00C7726E"/>
    <w:rsid w:val="00C773C5"/>
    <w:rsid w:val="00C77532"/>
    <w:rsid w:val="00C775E1"/>
    <w:rsid w:val="00C779A9"/>
    <w:rsid w:val="00C77A2F"/>
    <w:rsid w:val="00C77B6E"/>
    <w:rsid w:val="00C77C01"/>
    <w:rsid w:val="00C77D24"/>
    <w:rsid w:val="00C77DBA"/>
    <w:rsid w:val="00C8014B"/>
    <w:rsid w:val="00C801DE"/>
    <w:rsid w:val="00C80215"/>
    <w:rsid w:val="00C802C8"/>
    <w:rsid w:val="00C80740"/>
    <w:rsid w:val="00C80A20"/>
    <w:rsid w:val="00C80B26"/>
    <w:rsid w:val="00C80C25"/>
    <w:rsid w:val="00C80CD6"/>
    <w:rsid w:val="00C80CFD"/>
    <w:rsid w:val="00C80D7D"/>
    <w:rsid w:val="00C80E0B"/>
    <w:rsid w:val="00C8138C"/>
    <w:rsid w:val="00C81432"/>
    <w:rsid w:val="00C8177C"/>
    <w:rsid w:val="00C8186F"/>
    <w:rsid w:val="00C818BC"/>
    <w:rsid w:val="00C8199D"/>
    <w:rsid w:val="00C81A7F"/>
    <w:rsid w:val="00C81CD4"/>
    <w:rsid w:val="00C81F0D"/>
    <w:rsid w:val="00C81F26"/>
    <w:rsid w:val="00C81F6A"/>
    <w:rsid w:val="00C822C9"/>
    <w:rsid w:val="00C8231D"/>
    <w:rsid w:val="00C823A1"/>
    <w:rsid w:val="00C824F2"/>
    <w:rsid w:val="00C82730"/>
    <w:rsid w:val="00C8273A"/>
    <w:rsid w:val="00C827A8"/>
    <w:rsid w:val="00C82924"/>
    <w:rsid w:val="00C829D1"/>
    <w:rsid w:val="00C82F27"/>
    <w:rsid w:val="00C82F34"/>
    <w:rsid w:val="00C82F6A"/>
    <w:rsid w:val="00C831C6"/>
    <w:rsid w:val="00C831CD"/>
    <w:rsid w:val="00C8332E"/>
    <w:rsid w:val="00C8337C"/>
    <w:rsid w:val="00C83525"/>
    <w:rsid w:val="00C836BA"/>
    <w:rsid w:val="00C837DF"/>
    <w:rsid w:val="00C837F1"/>
    <w:rsid w:val="00C83B35"/>
    <w:rsid w:val="00C83B8B"/>
    <w:rsid w:val="00C83BE2"/>
    <w:rsid w:val="00C83C00"/>
    <w:rsid w:val="00C83E3C"/>
    <w:rsid w:val="00C83E7B"/>
    <w:rsid w:val="00C84256"/>
    <w:rsid w:val="00C844B9"/>
    <w:rsid w:val="00C845C8"/>
    <w:rsid w:val="00C8472B"/>
    <w:rsid w:val="00C84785"/>
    <w:rsid w:val="00C847D9"/>
    <w:rsid w:val="00C84ABF"/>
    <w:rsid w:val="00C84BA3"/>
    <w:rsid w:val="00C84C69"/>
    <w:rsid w:val="00C8502E"/>
    <w:rsid w:val="00C8515B"/>
    <w:rsid w:val="00C85163"/>
    <w:rsid w:val="00C8518F"/>
    <w:rsid w:val="00C852E7"/>
    <w:rsid w:val="00C85570"/>
    <w:rsid w:val="00C85612"/>
    <w:rsid w:val="00C856CC"/>
    <w:rsid w:val="00C85AF7"/>
    <w:rsid w:val="00C85BCB"/>
    <w:rsid w:val="00C85BFA"/>
    <w:rsid w:val="00C85CD1"/>
    <w:rsid w:val="00C85D9A"/>
    <w:rsid w:val="00C85DBB"/>
    <w:rsid w:val="00C85DC4"/>
    <w:rsid w:val="00C85E39"/>
    <w:rsid w:val="00C85EA3"/>
    <w:rsid w:val="00C8601F"/>
    <w:rsid w:val="00C860B3"/>
    <w:rsid w:val="00C86162"/>
    <w:rsid w:val="00C8618C"/>
    <w:rsid w:val="00C861D2"/>
    <w:rsid w:val="00C86405"/>
    <w:rsid w:val="00C864F3"/>
    <w:rsid w:val="00C867CE"/>
    <w:rsid w:val="00C867D7"/>
    <w:rsid w:val="00C867F7"/>
    <w:rsid w:val="00C86A6F"/>
    <w:rsid w:val="00C86AC7"/>
    <w:rsid w:val="00C86B37"/>
    <w:rsid w:val="00C86C60"/>
    <w:rsid w:val="00C86D1B"/>
    <w:rsid w:val="00C86DC8"/>
    <w:rsid w:val="00C86E78"/>
    <w:rsid w:val="00C87037"/>
    <w:rsid w:val="00C87073"/>
    <w:rsid w:val="00C870D3"/>
    <w:rsid w:val="00C87540"/>
    <w:rsid w:val="00C8754B"/>
    <w:rsid w:val="00C8785D"/>
    <w:rsid w:val="00C879E4"/>
    <w:rsid w:val="00C87B8A"/>
    <w:rsid w:val="00C87C5D"/>
    <w:rsid w:val="00C87CD5"/>
    <w:rsid w:val="00C87D82"/>
    <w:rsid w:val="00C87DA9"/>
    <w:rsid w:val="00C87E0C"/>
    <w:rsid w:val="00C87EB3"/>
    <w:rsid w:val="00C87FAA"/>
    <w:rsid w:val="00C90198"/>
    <w:rsid w:val="00C9033B"/>
    <w:rsid w:val="00C90439"/>
    <w:rsid w:val="00C9043F"/>
    <w:rsid w:val="00C905A9"/>
    <w:rsid w:val="00C905B6"/>
    <w:rsid w:val="00C906B7"/>
    <w:rsid w:val="00C906B9"/>
    <w:rsid w:val="00C90728"/>
    <w:rsid w:val="00C90771"/>
    <w:rsid w:val="00C90790"/>
    <w:rsid w:val="00C907D0"/>
    <w:rsid w:val="00C90892"/>
    <w:rsid w:val="00C908AB"/>
    <w:rsid w:val="00C9094D"/>
    <w:rsid w:val="00C9095E"/>
    <w:rsid w:val="00C909A1"/>
    <w:rsid w:val="00C90AEA"/>
    <w:rsid w:val="00C90D28"/>
    <w:rsid w:val="00C90DC6"/>
    <w:rsid w:val="00C90F1D"/>
    <w:rsid w:val="00C9109F"/>
    <w:rsid w:val="00C910C3"/>
    <w:rsid w:val="00C913F3"/>
    <w:rsid w:val="00C91495"/>
    <w:rsid w:val="00C914EC"/>
    <w:rsid w:val="00C9160B"/>
    <w:rsid w:val="00C91778"/>
    <w:rsid w:val="00C918CD"/>
    <w:rsid w:val="00C91C99"/>
    <w:rsid w:val="00C91C9C"/>
    <w:rsid w:val="00C91D15"/>
    <w:rsid w:val="00C91E0A"/>
    <w:rsid w:val="00C91EC9"/>
    <w:rsid w:val="00C921A9"/>
    <w:rsid w:val="00C92215"/>
    <w:rsid w:val="00C922EB"/>
    <w:rsid w:val="00C92306"/>
    <w:rsid w:val="00C9230D"/>
    <w:rsid w:val="00C92330"/>
    <w:rsid w:val="00C9242A"/>
    <w:rsid w:val="00C92465"/>
    <w:rsid w:val="00C925B2"/>
    <w:rsid w:val="00C925DD"/>
    <w:rsid w:val="00C9264C"/>
    <w:rsid w:val="00C9278F"/>
    <w:rsid w:val="00C92829"/>
    <w:rsid w:val="00C9299A"/>
    <w:rsid w:val="00C929AF"/>
    <w:rsid w:val="00C92A1D"/>
    <w:rsid w:val="00C92A9D"/>
    <w:rsid w:val="00C92AC2"/>
    <w:rsid w:val="00C92BAE"/>
    <w:rsid w:val="00C92C9B"/>
    <w:rsid w:val="00C92D8B"/>
    <w:rsid w:val="00C92E61"/>
    <w:rsid w:val="00C92F6C"/>
    <w:rsid w:val="00C9312E"/>
    <w:rsid w:val="00C93275"/>
    <w:rsid w:val="00C93536"/>
    <w:rsid w:val="00C9365E"/>
    <w:rsid w:val="00C9370A"/>
    <w:rsid w:val="00C9374E"/>
    <w:rsid w:val="00C93872"/>
    <w:rsid w:val="00C93956"/>
    <w:rsid w:val="00C93A51"/>
    <w:rsid w:val="00C93AD9"/>
    <w:rsid w:val="00C93C4F"/>
    <w:rsid w:val="00C93E68"/>
    <w:rsid w:val="00C93EA8"/>
    <w:rsid w:val="00C940F3"/>
    <w:rsid w:val="00C94189"/>
    <w:rsid w:val="00C9439F"/>
    <w:rsid w:val="00C94405"/>
    <w:rsid w:val="00C946B7"/>
    <w:rsid w:val="00C9471C"/>
    <w:rsid w:val="00C947B2"/>
    <w:rsid w:val="00C94860"/>
    <w:rsid w:val="00C949A7"/>
    <w:rsid w:val="00C949FF"/>
    <w:rsid w:val="00C94A38"/>
    <w:rsid w:val="00C94C37"/>
    <w:rsid w:val="00C94CF8"/>
    <w:rsid w:val="00C94D12"/>
    <w:rsid w:val="00C9512A"/>
    <w:rsid w:val="00C95673"/>
    <w:rsid w:val="00C956F5"/>
    <w:rsid w:val="00C957BD"/>
    <w:rsid w:val="00C95816"/>
    <w:rsid w:val="00C95CB8"/>
    <w:rsid w:val="00C95E7B"/>
    <w:rsid w:val="00C95E95"/>
    <w:rsid w:val="00C95F52"/>
    <w:rsid w:val="00C96128"/>
    <w:rsid w:val="00C961F6"/>
    <w:rsid w:val="00C961FF"/>
    <w:rsid w:val="00C9622C"/>
    <w:rsid w:val="00C96409"/>
    <w:rsid w:val="00C96492"/>
    <w:rsid w:val="00C964E6"/>
    <w:rsid w:val="00C965BA"/>
    <w:rsid w:val="00C96687"/>
    <w:rsid w:val="00C96788"/>
    <w:rsid w:val="00C96789"/>
    <w:rsid w:val="00C96867"/>
    <w:rsid w:val="00C9698A"/>
    <w:rsid w:val="00C969E4"/>
    <w:rsid w:val="00C969EF"/>
    <w:rsid w:val="00C96A7F"/>
    <w:rsid w:val="00C96B25"/>
    <w:rsid w:val="00C96C4A"/>
    <w:rsid w:val="00C96DAB"/>
    <w:rsid w:val="00C96DF5"/>
    <w:rsid w:val="00C96E1C"/>
    <w:rsid w:val="00C96F00"/>
    <w:rsid w:val="00C96FBD"/>
    <w:rsid w:val="00C96FE0"/>
    <w:rsid w:val="00C97100"/>
    <w:rsid w:val="00C972A8"/>
    <w:rsid w:val="00C97307"/>
    <w:rsid w:val="00C973C9"/>
    <w:rsid w:val="00C973E7"/>
    <w:rsid w:val="00C975C9"/>
    <w:rsid w:val="00C9781B"/>
    <w:rsid w:val="00C97AC7"/>
    <w:rsid w:val="00C97B80"/>
    <w:rsid w:val="00C97D93"/>
    <w:rsid w:val="00C97ED9"/>
    <w:rsid w:val="00C97FA4"/>
    <w:rsid w:val="00C97FC7"/>
    <w:rsid w:val="00C9B4D3"/>
    <w:rsid w:val="00CA0153"/>
    <w:rsid w:val="00CA0158"/>
    <w:rsid w:val="00CA0159"/>
    <w:rsid w:val="00CA0206"/>
    <w:rsid w:val="00CA02B0"/>
    <w:rsid w:val="00CA0572"/>
    <w:rsid w:val="00CA0649"/>
    <w:rsid w:val="00CA08B3"/>
    <w:rsid w:val="00CA0BBC"/>
    <w:rsid w:val="00CA0EF8"/>
    <w:rsid w:val="00CA0F3D"/>
    <w:rsid w:val="00CA0FA5"/>
    <w:rsid w:val="00CA0FEC"/>
    <w:rsid w:val="00CA1209"/>
    <w:rsid w:val="00CA12DC"/>
    <w:rsid w:val="00CA12E6"/>
    <w:rsid w:val="00CA13DD"/>
    <w:rsid w:val="00CA168B"/>
    <w:rsid w:val="00CA1771"/>
    <w:rsid w:val="00CA1774"/>
    <w:rsid w:val="00CA17D9"/>
    <w:rsid w:val="00CA192F"/>
    <w:rsid w:val="00CA1A53"/>
    <w:rsid w:val="00CA1AB6"/>
    <w:rsid w:val="00CA1AE1"/>
    <w:rsid w:val="00CA1C33"/>
    <w:rsid w:val="00CA1C7F"/>
    <w:rsid w:val="00CA1E90"/>
    <w:rsid w:val="00CA207F"/>
    <w:rsid w:val="00CA20F5"/>
    <w:rsid w:val="00CA22E2"/>
    <w:rsid w:val="00CA22EF"/>
    <w:rsid w:val="00CA259B"/>
    <w:rsid w:val="00CA25BD"/>
    <w:rsid w:val="00CA262F"/>
    <w:rsid w:val="00CA27F5"/>
    <w:rsid w:val="00CA2875"/>
    <w:rsid w:val="00CA2927"/>
    <w:rsid w:val="00CA2963"/>
    <w:rsid w:val="00CA29F7"/>
    <w:rsid w:val="00CA2AEB"/>
    <w:rsid w:val="00CA2BA8"/>
    <w:rsid w:val="00CA2CE8"/>
    <w:rsid w:val="00CA2DC1"/>
    <w:rsid w:val="00CA2E16"/>
    <w:rsid w:val="00CA2F55"/>
    <w:rsid w:val="00CA2FA6"/>
    <w:rsid w:val="00CA34A2"/>
    <w:rsid w:val="00CA3658"/>
    <w:rsid w:val="00CA37D7"/>
    <w:rsid w:val="00CA38B3"/>
    <w:rsid w:val="00CA3926"/>
    <w:rsid w:val="00CA39CF"/>
    <w:rsid w:val="00CA3C58"/>
    <w:rsid w:val="00CA3C7F"/>
    <w:rsid w:val="00CA3DC4"/>
    <w:rsid w:val="00CA3F26"/>
    <w:rsid w:val="00CA40BD"/>
    <w:rsid w:val="00CA41C4"/>
    <w:rsid w:val="00CA4259"/>
    <w:rsid w:val="00CA4266"/>
    <w:rsid w:val="00CA438B"/>
    <w:rsid w:val="00CA43AE"/>
    <w:rsid w:val="00CA43C6"/>
    <w:rsid w:val="00CA455E"/>
    <w:rsid w:val="00CA456A"/>
    <w:rsid w:val="00CA4695"/>
    <w:rsid w:val="00CA4718"/>
    <w:rsid w:val="00CA4725"/>
    <w:rsid w:val="00CA4802"/>
    <w:rsid w:val="00CA4871"/>
    <w:rsid w:val="00CA4A4E"/>
    <w:rsid w:val="00CA4C8E"/>
    <w:rsid w:val="00CA4DD3"/>
    <w:rsid w:val="00CA4F0F"/>
    <w:rsid w:val="00CA4F50"/>
    <w:rsid w:val="00CA4F66"/>
    <w:rsid w:val="00CA525C"/>
    <w:rsid w:val="00CA533B"/>
    <w:rsid w:val="00CA5398"/>
    <w:rsid w:val="00CA54C8"/>
    <w:rsid w:val="00CA5556"/>
    <w:rsid w:val="00CA589F"/>
    <w:rsid w:val="00CA5BB3"/>
    <w:rsid w:val="00CA5C2E"/>
    <w:rsid w:val="00CA5ECA"/>
    <w:rsid w:val="00CA5F5D"/>
    <w:rsid w:val="00CA60DB"/>
    <w:rsid w:val="00CA60F3"/>
    <w:rsid w:val="00CA620F"/>
    <w:rsid w:val="00CA6287"/>
    <w:rsid w:val="00CA62AF"/>
    <w:rsid w:val="00CA6403"/>
    <w:rsid w:val="00CA650F"/>
    <w:rsid w:val="00CA655D"/>
    <w:rsid w:val="00CA6793"/>
    <w:rsid w:val="00CA67BA"/>
    <w:rsid w:val="00CA69CB"/>
    <w:rsid w:val="00CA6A05"/>
    <w:rsid w:val="00CA6AB3"/>
    <w:rsid w:val="00CA6D69"/>
    <w:rsid w:val="00CA70B6"/>
    <w:rsid w:val="00CA7321"/>
    <w:rsid w:val="00CA7434"/>
    <w:rsid w:val="00CA7502"/>
    <w:rsid w:val="00CA75B4"/>
    <w:rsid w:val="00CA76C6"/>
    <w:rsid w:val="00CA77AD"/>
    <w:rsid w:val="00CA78A0"/>
    <w:rsid w:val="00CA78A5"/>
    <w:rsid w:val="00CA7945"/>
    <w:rsid w:val="00CA7D29"/>
    <w:rsid w:val="00CA7D46"/>
    <w:rsid w:val="00CA9018"/>
    <w:rsid w:val="00CB00FC"/>
    <w:rsid w:val="00CB027D"/>
    <w:rsid w:val="00CB0355"/>
    <w:rsid w:val="00CB0505"/>
    <w:rsid w:val="00CB0588"/>
    <w:rsid w:val="00CB0675"/>
    <w:rsid w:val="00CB0796"/>
    <w:rsid w:val="00CB0953"/>
    <w:rsid w:val="00CB0955"/>
    <w:rsid w:val="00CB0992"/>
    <w:rsid w:val="00CB09D2"/>
    <w:rsid w:val="00CB0AF5"/>
    <w:rsid w:val="00CB0BAD"/>
    <w:rsid w:val="00CB0DBF"/>
    <w:rsid w:val="00CB1257"/>
    <w:rsid w:val="00CB126F"/>
    <w:rsid w:val="00CB13E7"/>
    <w:rsid w:val="00CB13ED"/>
    <w:rsid w:val="00CB149F"/>
    <w:rsid w:val="00CB14C7"/>
    <w:rsid w:val="00CB168F"/>
    <w:rsid w:val="00CB1699"/>
    <w:rsid w:val="00CB17F1"/>
    <w:rsid w:val="00CB1830"/>
    <w:rsid w:val="00CB1892"/>
    <w:rsid w:val="00CB1957"/>
    <w:rsid w:val="00CB1A53"/>
    <w:rsid w:val="00CB1B15"/>
    <w:rsid w:val="00CB1BE7"/>
    <w:rsid w:val="00CB1C17"/>
    <w:rsid w:val="00CB1C64"/>
    <w:rsid w:val="00CB1D32"/>
    <w:rsid w:val="00CB1D49"/>
    <w:rsid w:val="00CB2011"/>
    <w:rsid w:val="00CB2013"/>
    <w:rsid w:val="00CB202A"/>
    <w:rsid w:val="00CB20C1"/>
    <w:rsid w:val="00CB21ED"/>
    <w:rsid w:val="00CB21F7"/>
    <w:rsid w:val="00CB2573"/>
    <w:rsid w:val="00CB2580"/>
    <w:rsid w:val="00CB26D6"/>
    <w:rsid w:val="00CB281F"/>
    <w:rsid w:val="00CB29CE"/>
    <w:rsid w:val="00CB2AF2"/>
    <w:rsid w:val="00CB2B0E"/>
    <w:rsid w:val="00CB2BE9"/>
    <w:rsid w:val="00CB2C76"/>
    <w:rsid w:val="00CB2EB7"/>
    <w:rsid w:val="00CB2F4F"/>
    <w:rsid w:val="00CB313F"/>
    <w:rsid w:val="00CB326F"/>
    <w:rsid w:val="00CB32F8"/>
    <w:rsid w:val="00CB34EF"/>
    <w:rsid w:val="00CB375B"/>
    <w:rsid w:val="00CB38A9"/>
    <w:rsid w:val="00CB3ACA"/>
    <w:rsid w:val="00CB3C47"/>
    <w:rsid w:val="00CB3C7F"/>
    <w:rsid w:val="00CB3FDF"/>
    <w:rsid w:val="00CB4001"/>
    <w:rsid w:val="00CB40F1"/>
    <w:rsid w:val="00CB42D6"/>
    <w:rsid w:val="00CB4370"/>
    <w:rsid w:val="00CB4484"/>
    <w:rsid w:val="00CB44BA"/>
    <w:rsid w:val="00CB4596"/>
    <w:rsid w:val="00CB4756"/>
    <w:rsid w:val="00CB478E"/>
    <w:rsid w:val="00CB4807"/>
    <w:rsid w:val="00CB483D"/>
    <w:rsid w:val="00CB4AEE"/>
    <w:rsid w:val="00CB4DCC"/>
    <w:rsid w:val="00CB4EC5"/>
    <w:rsid w:val="00CB51FF"/>
    <w:rsid w:val="00CB5292"/>
    <w:rsid w:val="00CB533D"/>
    <w:rsid w:val="00CB5396"/>
    <w:rsid w:val="00CB5758"/>
    <w:rsid w:val="00CB5993"/>
    <w:rsid w:val="00CB59D5"/>
    <w:rsid w:val="00CB59E6"/>
    <w:rsid w:val="00CB5BEE"/>
    <w:rsid w:val="00CB5EA2"/>
    <w:rsid w:val="00CB5ED6"/>
    <w:rsid w:val="00CB6052"/>
    <w:rsid w:val="00CB61D4"/>
    <w:rsid w:val="00CB6440"/>
    <w:rsid w:val="00CB658F"/>
    <w:rsid w:val="00CB65EF"/>
    <w:rsid w:val="00CB6627"/>
    <w:rsid w:val="00CB6876"/>
    <w:rsid w:val="00CB6960"/>
    <w:rsid w:val="00CB699E"/>
    <w:rsid w:val="00CB6B15"/>
    <w:rsid w:val="00CB6DE0"/>
    <w:rsid w:val="00CB6E9D"/>
    <w:rsid w:val="00CB6F25"/>
    <w:rsid w:val="00CB6F55"/>
    <w:rsid w:val="00CB6FEC"/>
    <w:rsid w:val="00CB703D"/>
    <w:rsid w:val="00CB70A3"/>
    <w:rsid w:val="00CB717E"/>
    <w:rsid w:val="00CB733E"/>
    <w:rsid w:val="00CB736D"/>
    <w:rsid w:val="00CB757A"/>
    <w:rsid w:val="00CB7792"/>
    <w:rsid w:val="00CB77A3"/>
    <w:rsid w:val="00CB77B6"/>
    <w:rsid w:val="00CB78EB"/>
    <w:rsid w:val="00CB7A7E"/>
    <w:rsid w:val="00CB7DAF"/>
    <w:rsid w:val="00CB7DE6"/>
    <w:rsid w:val="00CB7E63"/>
    <w:rsid w:val="00CC002A"/>
    <w:rsid w:val="00CC011C"/>
    <w:rsid w:val="00CC0266"/>
    <w:rsid w:val="00CC02B1"/>
    <w:rsid w:val="00CC02DC"/>
    <w:rsid w:val="00CC03CE"/>
    <w:rsid w:val="00CC07BA"/>
    <w:rsid w:val="00CC089F"/>
    <w:rsid w:val="00CC095A"/>
    <w:rsid w:val="00CC0A00"/>
    <w:rsid w:val="00CC0ADB"/>
    <w:rsid w:val="00CC0B06"/>
    <w:rsid w:val="00CC0CBB"/>
    <w:rsid w:val="00CC0EB5"/>
    <w:rsid w:val="00CC0EBE"/>
    <w:rsid w:val="00CC0FB6"/>
    <w:rsid w:val="00CC0FD6"/>
    <w:rsid w:val="00CC1000"/>
    <w:rsid w:val="00CC110C"/>
    <w:rsid w:val="00CC14EF"/>
    <w:rsid w:val="00CC19DA"/>
    <w:rsid w:val="00CC19F1"/>
    <w:rsid w:val="00CC1A6C"/>
    <w:rsid w:val="00CC1A76"/>
    <w:rsid w:val="00CC1B30"/>
    <w:rsid w:val="00CC1B57"/>
    <w:rsid w:val="00CC1BAC"/>
    <w:rsid w:val="00CC1CFD"/>
    <w:rsid w:val="00CC1EBC"/>
    <w:rsid w:val="00CC1ECE"/>
    <w:rsid w:val="00CC1F57"/>
    <w:rsid w:val="00CC21C1"/>
    <w:rsid w:val="00CC2286"/>
    <w:rsid w:val="00CC2384"/>
    <w:rsid w:val="00CC251F"/>
    <w:rsid w:val="00CC2755"/>
    <w:rsid w:val="00CC27BB"/>
    <w:rsid w:val="00CC2839"/>
    <w:rsid w:val="00CC2942"/>
    <w:rsid w:val="00CC29A0"/>
    <w:rsid w:val="00CC2A0A"/>
    <w:rsid w:val="00CC2BAB"/>
    <w:rsid w:val="00CC2C04"/>
    <w:rsid w:val="00CC320D"/>
    <w:rsid w:val="00CC3234"/>
    <w:rsid w:val="00CC34ED"/>
    <w:rsid w:val="00CC3548"/>
    <w:rsid w:val="00CC36D9"/>
    <w:rsid w:val="00CC37E2"/>
    <w:rsid w:val="00CC3A97"/>
    <w:rsid w:val="00CC3AB0"/>
    <w:rsid w:val="00CC3B6B"/>
    <w:rsid w:val="00CC3C05"/>
    <w:rsid w:val="00CC3D8D"/>
    <w:rsid w:val="00CC3D90"/>
    <w:rsid w:val="00CC40BC"/>
    <w:rsid w:val="00CC40FD"/>
    <w:rsid w:val="00CC4295"/>
    <w:rsid w:val="00CC45D2"/>
    <w:rsid w:val="00CC48C8"/>
    <w:rsid w:val="00CC49C8"/>
    <w:rsid w:val="00CC4A9D"/>
    <w:rsid w:val="00CC4B37"/>
    <w:rsid w:val="00CC4B3A"/>
    <w:rsid w:val="00CC5080"/>
    <w:rsid w:val="00CC50A5"/>
    <w:rsid w:val="00CC5190"/>
    <w:rsid w:val="00CC520A"/>
    <w:rsid w:val="00CC549A"/>
    <w:rsid w:val="00CC5730"/>
    <w:rsid w:val="00CC57CC"/>
    <w:rsid w:val="00CC57EF"/>
    <w:rsid w:val="00CC58AB"/>
    <w:rsid w:val="00CC5A8A"/>
    <w:rsid w:val="00CC5AF8"/>
    <w:rsid w:val="00CC5B4B"/>
    <w:rsid w:val="00CC5C67"/>
    <w:rsid w:val="00CC5E53"/>
    <w:rsid w:val="00CC5F0B"/>
    <w:rsid w:val="00CC6018"/>
    <w:rsid w:val="00CC62E1"/>
    <w:rsid w:val="00CC6329"/>
    <w:rsid w:val="00CC632D"/>
    <w:rsid w:val="00CC6573"/>
    <w:rsid w:val="00CC663E"/>
    <w:rsid w:val="00CC66D8"/>
    <w:rsid w:val="00CC690D"/>
    <w:rsid w:val="00CC6985"/>
    <w:rsid w:val="00CC6DAC"/>
    <w:rsid w:val="00CC724E"/>
    <w:rsid w:val="00CC7254"/>
    <w:rsid w:val="00CC735E"/>
    <w:rsid w:val="00CC73AD"/>
    <w:rsid w:val="00CC75E0"/>
    <w:rsid w:val="00CC7676"/>
    <w:rsid w:val="00CC79DA"/>
    <w:rsid w:val="00CC79DE"/>
    <w:rsid w:val="00CC7D54"/>
    <w:rsid w:val="00CC7E1F"/>
    <w:rsid w:val="00CD010E"/>
    <w:rsid w:val="00CD03AE"/>
    <w:rsid w:val="00CD03E5"/>
    <w:rsid w:val="00CD0428"/>
    <w:rsid w:val="00CD049E"/>
    <w:rsid w:val="00CD04C0"/>
    <w:rsid w:val="00CD055D"/>
    <w:rsid w:val="00CD0564"/>
    <w:rsid w:val="00CD0642"/>
    <w:rsid w:val="00CD064B"/>
    <w:rsid w:val="00CD06C7"/>
    <w:rsid w:val="00CD0D3C"/>
    <w:rsid w:val="00CD1140"/>
    <w:rsid w:val="00CD1327"/>
    <w:rsid w:val="00CD15EC"/>
    <w:rsid w:val="00CD1607"/>
    <w:rsid w:val="00CD1651"/>
    <w:rsid w:val="00CD1689"/>
    <w:rsid w:val="00CD16B4"/>
    <w:rsid w:val="00CD1799"/>
    <w:rsid w:val="00CD17EE"/>
    <w:rsid w:val="00CD17FF"/>
    <w:rsid w:val="00CD188C"/>
    <w:rsid w:val="00CD1AA6"/>
    <w:rsid w:val="00CD1AD3"/>
    <w:rsid w:val="00CD1AED"/>
    <w:rsid w:val="00CD1B63"/>
    <w:rsid w:val="00CD1B79"/>
    <w:rsid w:val="00CD1C7B"/>
    <w:rsid w:val="00CD1D92"/>
    <w:rsid w:val="00CD1E9F"/>
    <w:rsid w:val="00CD1F12"/>
    <w:rsid w:val="00CD1FAF"/>
    <w:rsid w:val="00CD20AA"/>
    <w:rsid w:val="00CD21EB"/>
    <w:rsid w:val="00CD22FE"/>
    <w:rsid w:val="00CD230B"/>
    <w:rsid w:val="00CD2768"/>
    <w:rsid w:val="00CD2A42"/>
    <w:rsid w:val="00CD2E0A"/>
    <w:rsid w:val="00CD2F53"/>
    <w:rsid w:val="00CD3142"/>
    <w:rsid w:val="00CD33AF"/>
    <w:rsid w:val="00CD33E9"/>
    <w:rsid w:val="00CD3428"/>
    <w:rsid w:val="00CD3462"/>
    <w:rsid w:val="00CD3529"/>
    <w:rsid w:val="00CD388C"/>
    <w:rsid w:val="00CD3906"/>
    <w:rsid w:val="00CD3931"/>
    <w:rsid w:val="00CD3970"/>
    <w:rsid w:val="00CD39D6"/>
    <w:rsid w:val="00CD3D58"/>
    <w:rsid w:val="00CD3DB6"/>
    <w:rsid w:val="00CD3E4F"/>
    <w:rsid w:val="00CD41D6"/>
    <w:rsid w:val="00CD42CD"/>
    <w:rsid w:val="00CD42EE"/>
    <w:rsid w:val="00CD42F9"/>
    <w:rsid w:val="00CD43A6"/>
    <w:rsid w:val="00CD43F1"/>
    <w:rsid w:val="00CD45E5"/>
    <w:rsid w:val="00CD4666"/>
    <w:rsid w:val="00CD4825"/>
    <w:rsid w:val="00CD4893"/>
    <w:rsid w:val="00CD4A00"/>
    <w:rsid w:val="00CD4BF6"/>
    <w:rsid w:val="00CD4C20"/>
    <w:rsid w:val="00CD4C24"/>
    <w:rsid w:val="00CD4C3F"/>
    <w:rsid w:val="00CD4E40"/>
    <w:rsid w:val="00CD4F54"/>
    <w:rsid w:val="00CD4F6F"/>
    <w:rsid w:val="00CD4FF6"/>
    <w:rsid w:val="00CD5038"/>
    <w:rsid w:val="00CD522D"/>
    <w:rsid w:val="00CD545C"/>
    <w:rsid w:val="00CD5542"/>
    <w:rsid w:val="00CD5649"/>
    <w:rsid w:val="00CD56D3"/>
    <w:rsid w:val="00CD56D8"/>
    <w:rsid w:val="00CD572B"/>
    <w:rsid w:val="00CD57CB"/>
    <w:rsid w:val="00CD59F6"/>
    <w:rsid w:val="00CD5AD8"/>
    <w:rsid w:val="00CD5BFA"/>
    <w:rsid w:val="00CD5C75"/>
    <w:rsid w:val="00CD5CAC"/>
    <w:rsid w:val="00CD60E6"/>
    <w:rsid w:val="00CD6132"/>
    <w:rsid w:val="00CD6318"/>
    <w:rsid w:val="00CD63A7"/>
    <w:rsid w:val="00CD6555"/>
    <w:rsid w:val="00CD6646"/>
    <w:rsid w:val="00CD67DD"/>
    <w:rsid w:val="00CD68BB"/>
    <w:rsid w:val="00CD691D"/>
    <w:rsid w:val="00CD6935"/>
    <w:rsid w:val="00CD6983"/>
    <w:rsid w:val="00CD6A84"/>
    <w:rsid w:val="00CD6AC4"/>
    <w:rsid w:val="00CD6B13"/>
    <w:rsid w:val="00CD6E78"/>
    <w:rsid w:val="00CD6EB3"/>
    <w:rsid w:val="00CD7009"/>
    <w:rsid w:val="00CD7021"/>
    <w:rsid w:val="00CD71DA"/>
    <w:rsid w:val="00CD7416"/>
    <w:rsid w:val="00CD7508"/>
    <w:rsid w:val="00CD76CB"/>
    <w:rsid w:val="00CD7767"/>
    <w:rsid w:val="00CD78AF"/>
    <w:rsid w:val="00CD79A4"/>
    <w:rsid w:val="00CD7A8C"/>
    <w:rsid w:val="00CD7E24"/>
    <w:rsid w:val="00CD7E64"/>
    <w:rsid w:val="00CD7F83"/>
    <w:rsid w:val="00CE0165"/>
    <w:rsid w:val="00CE01E5"/>
    <w:rsid w:val="00CE022B"/>
    <w:rsid w:val="00CE025F"/>
    <w:rsid w:val="00CE0351"/>
    <w:rsid w:val="00CE0563"/>
    <w:rsid w:val="00CE05E0"/>
    <w:rsid w:val="00CE0759"/>
    <w:rsid w:val="00CE0778"/>
    <w:rsid w:val="00CE08A9"/>
    <w:rsid w:val="00CE0BC4"/>
    <w:rsid w:val="00CE0D6C"/>
    <w:rsid w:val="00CE0E82"/>
    <w:rsid w:val="00CE0EE2"/>
    <w:rsid w:val="00CE117C"/>
    <w:rsid w:val="00CE129F"/>
    <w:rsid w:val="00CE12D1"/>
    <w:rsid w:val="00CE153F"/>
    <w:rsid w:val="00CE1771"/>
    <w:rsid w:val="00CE17A8"/>
    <w:rsid w:val="00CE1B6F"/>
    <w:rsid w:val="00CE1CD8"/>
    <w:rsid w:val="00CE1CE0"/>
    <w:rsid w:val="00CE1E2A"/>
    <w:rsid w:val="00CE1E6F"/>
    <w:rsid w:val="00CE1FD5"/>
    <w:rsid w:val="00CE20EC"/>
    <w:rsid w:val="00CE2149"/>
    <w:rsid w:val="00CE21D0"/>
    <w:rsid w:val="00CE2274"/>
    <w:rsid w:val="00CE2374"/>
    <w:rsid w:val="00CE2437"/>
    <w:rsid w:val="00CE25A7"/>
    <w:rsid w:val="00CE2841"/>
    <w:rsid w:val="00CE2955"/>
    <w:rsid w:val="00CE29B5"/>
    <w:rsid w:val="00CE29D4"/>
    <w:rsid w:val="00CE29F0"/>
    <w:rsid w:val="00CE2B4B"/>
    <w:rsid w:val="00CE2B6B"/>
    <w:rsid w:val="00CE2CB5"/>
    <w:rsid w:val="00CE2F0E"/>
    <w:rsid w:val="00CE2F29"/>
    <w:rsid w:val="00CE2F92"/>
    <w:rsid w:val="00CE2FE9"/>
    <w:rsid w:val="00CE31A1"/>
    <w:rsid w:val="00CE37AB"/>
    <w:rsid w:val="00CE37F1"/>
    <w:rsid w:val="00CE3A6D"/>
    <w:rsid w:val="00CE3C1E"/>
    <w:rsid w:val="00CE3C81"/>
    <w:rsid w:val="00CE3CA5"/>
    <w:rsid w:val="00CE3E0D"/>
    <w:rsid w:val="00CE3F9E"/>
    <w:rsid w:val="00CE412A"/>
    <w:rsid w:val="00CE4161"/>
    <w:rsid w:val="00CE43E8"/>
    <w:rsid w:val="00CE4514"/>
    <w:rsid w:val="00CE47A0"/>
    <w:rsid w:val="00CE47A6"/>
    <w:rsid w:val="00CE47E4"/>
    <w:rsid w:val="00CE49BD"/>
    <w:rsid w:val="00CE4AE5"/>
    <w:rsid w:val="00CE4BE6"/>
    <w:rsid w:val="00CE4CB0"/>
    <w:rsid w:val="00CE4D61"/>
    <w:rsid w:val="00CE4E34"/>
    <w:rsid w:val="00CE4F25"/>
    <w:rsid w:val="00CE4FF4"/>
    <w:rsid w:val="00CE504C"/>
    <w:rsid w:val="00CE51CF"/>
    <w:rsid w:val="00CE52A0"/>
    <w:rsid w:val="00CE5419"/>
    <w:rsid w:val="00CE545A"/>
    <w:rsid w:val="00CE54A6"/>
    <w:rsid w:val="00CE54EB"/>
    <w:rsid w:val="00CE550D"/>
    <w:rsid w:val="00CE563D"/>
    <w:rsid w:val="00CE5691"/>
    <w:rsid w:val="00CE5696"/>
    <w:rsid w:val="00CE5779"/>
    <w:rsid w:val="00CE58CA"/>
    <w:rsid w:val="00CE59F2"/>
    <w:rsid w:val="00CE5ADF"/>
    <w:rsid w:val="00CE5DA1"/>
    <w:rsid w:val="00CE5DC1"/>
    <w:rsid w:val="00CE5DE8"/>
    <w:rsid w:val="00CE60C9"/>
    <w:rsid w:val="00CE61C1"/>
    <w:rsid w:val="00CE63CC"/>
    <w:rsid w:val="00CE6580"/>
    <w:rsid w:val="00CE6954"/>
    <w:rsid w:val="00CE6963"/>
    <w:rsid w:val="00CE697E"/>
    <w:rsid w:val="00CE6AF5"/>
    <w:rsid w:val="00CE6BFD"/>
    <w:rsid w:val="00CE6D38"/>
    <w:rsid w:val="00CE6DCA"/>
    <w:rsid w:val="00CE6E38"/>
    <w:rsid w:val="00CE703F"/>
    <w:rsid w:val="00CE712A"/>
    <w:rsid w:val="00CE71E2"/>
    <w:rsid w:val="00CE735C"/>
    <w:rsid w:val="00CE7402"/>
    <w:rsid w:val="00CE75E7"/>
    <w:rsid w:val="00CE7724"/>
    <w:rsid w:val="00CE78FB"/>
    <w:rsid w:val="00CE794C"/>
    <w:rsid w:val="00CE79FA"/>
    <w:rsid w:val="00CE7B88"/>
    <w:rsid w:val="00CE7BB9"/>
    <w:rsid w:val="00CE7CAD"/>
    <w:rsid w:val="00CE7DE8"/>
    <w:rsid w:val="00CE7EA8"/>
    <w:rsid w:val="00CE7F1B"/>
    <w:rsid w:val="00CE7FE2"/>
    <w:rsid w:val="00CF008D"/>
    <w:rsid w:val="00CF00B4"/>
    <w:rsid w:val="00CF00D4"/>
    <w:rsid w:val="00CF00E3"/>
    <w:rsid w:val="00CF016B"/>
    <w:rsid w:val="00CF0253"/>
    <w:rsid w:val="00CF0645"/>
    <w:rsid w:val="00CF070C"/>
    <w:rsid w:val="00CF07B6"/>
    <w:rsid w:val="00CF0831"/>
    <w:rsid w:val="00CF0A9C"/>
    <w:rsid w:val="00CF0C5E"/>
    <w:rsid w:val="00CF0CE1"/>
    <w:rsid w:val="00CF0E00"/>
    <w:rsid w:val="00CF0EA4"/>
    <w:rsid w:val="00CF11E9"/>
    <w:rsid w:val="00CF1262"/>
    <w:rsid w:val="00CF1287"/>
    <w:rsid w:val="00CF13F1"/>
    <w:rsid w:val="00CF14F1"/>
    <w:rsid w:val="00CF166B"/>
    <w:rsid w:val="00CF16BD"/>
    <w:rsid w:val="00CF16C6"/>
    <w:rsid w:val="00CF1762"/>
    <w:rsid w:val="00CF18DC"/>
    <w:rsid w:val="00CF19EF"/>
    <w:rsid w:val="00CF1B3C"/>
    <w:rsid w:val="00CF1B60"/>
    <w:rsid w:val="00CF1BA5"/>
    <w:rsid w:val="00CF1CE6"/>
    <w:rsid w:val="00CF2146"/>
    <w:rsid w:val="00CF21ED"/>
    <w:rsid w:val="00CF2416"/>
    <w:rsid w:val="00CF2692"/>
    <w:rsid w:val="00CF26AF"/>
    <w:rsid w:val="00CF2808"/>
    <w:rsid w:val="00CF2818"/>
    <w:rsid w:val="00CF28BF"/>
    <w:rsid w:val="00CF293D"/>
    <w:rsid w:val="00CF2A02"/>
    <w:rsid w:val="00CF2D2A"/>
    <w:rsid w:val="00CF3081"/>
    <w:rsid w:val="00CF313A"/>
    <w:rsid w:val="00CF3176"/>
    <w:rsid w:val="00CF3259"/>
    <w:rsid w:val="00CF330A"/>
    <w:rsid w:val="00CF3417"/>
    <w:rsid w:val="00CF34D5"/>
    <w:rsid w:val="00CF3719"/>
    <w:rsid w:val="00CF3751"/>
    <w:rsid w:val="00CF37AB"/>
    <w:rsid w:val="00CF37FE"/>
    <w:rsid w:val="00CF3819"/>
    <w:rsid w:val="00CF38BE"/>
    <w:rsid w:val="00CF3A1F"/>
    <w:rsid w:val="00CF3BAD"/>
    <w:rsid w:val="00CF3C12"/>
    <w:rsid w:val="00CF3CA0"/>
    <w:rsid w:val="00CF3D46"/>
    <w:rsid w:val="00CF3D7C"/>
    <w:rsid w:val="00CF3DAF"/>
    <w:rsid w:val="00CF404D"/>
    <w:rsid w:val="00CF4117"/>
    <w:rsid w:val="00CF428B"/>
    <w:rsid w:val="00CF4426"/>
    <w:rsid w:val="00CF44BC"/>
    <w:rsid w:val="00CF452C"/>
    <w:rsid w:val="00CF4836"/>
    <w:rsid w:val="00CF4A17"/>
    <w:rsid w:val="00CF4BC4"/>
    <w:rsid w:val="00CF4C15"/>
    <w:rsid w:val="00CF4D19"/>
    <w:rsid w:val="00CF4E08"/>
    <w:rsid w:val="00CF4E49"/>
    <w:rsid w:val="00CF4ECC"/>
    <w:rsid w:val="00CF4F31"/>
    <w:rsid w:val="00CF501C"/>
    <w:rsid w:val="00CF50C0"/>
    <w:rsid w:val="00CF519D"/>
    <w:rsid w:val="00CF53E4"/>
    <w:rsid w:val="00CF577A"/>
    <w:rsid w:val="00CF5968"/>
    <w:rsid w:val="00CF597B"/>
    <w:rsid w:val="00CF5B50"/>
    <w:rsid w:val="00CF5B62"/>
    <w:rsid w:val="00CF5B7B"/>
    <w:rsid w:val="00CF5B7D"/>
    <w:rsid w:val="00CF5C0E"/>
    <w:rsid w:val="00CF5DA1"/>
    <w:rsid w:val="00CF6065"/>
    <w:rsid w:val="00CF6327"/>
    <w:rsid w:val="00CF63AB"/>
    <w:rsid w:val="00CF6629"/>
    <w:rsid w:val="00CF6772"/>
    <w:rsid w:val="00CF6793"/>
    <w:rsid w:val="00CF67FB"/>
    <w:rsid w:val="00CF6AE4"/>
    <w:rsid w:val="00CF6C12"/>
    <w:rsid w:val="00CF6D44"/>
    <w:rsid w:val="00CF7112"/>
    <w:rsid w:val="00CF72BC"/>
    <w:rsid w:val="00CF74B7"/>
    <w:rsid w:val="00CF756F"/>
    <w:rsid w:val="00CF764E"/>
    <w:rsid w:val="00CF7676"/>
    <w:rsid w:val="00CF7735"/>
    <w:rsid w:val="00CF7773"/>
    <w:rsid w:val="00CF7C76"/>
    <w:rsid w:val="00CF7D79"/>
    <w:rsid w:val="00CF7DE9"/>
    <w:rsid w:val="00CF7E66"/>
    <w:rsid w:val="00CF7FBC"/>
    <w:rsid w:val="00CF7FCD"/>
    <w:rsid w:val="00D00027"/>
    <w:rsid w:val="00D000B3"/>
    <w:rsid w:val="00D00139"/>
    <w:rsid w:val="00D00589"/>
    <w:rsid w:val="00D0090F"/>
    <w:rsid w:val="00D00972"/>
    <w:rsid w:val="00D00A5C"/>
    <w:rsid w:val="00D00D0F"/>
    <w:rsid w:val="00D00D6A"/>
    <w:rsid w:val="00D00FB8"/>
    <w:rsid w:val="00D01010"/>
    <w:rsid w:val="00D0123D"/>
    <w:rsid w:val="00D01287"/>
    <w:rsid w:val="00D01502"/>
    <w:rsid w:val="00D0156E"/>
    <w:rsid w:val="00D01834"/>
    <w:rsid w:val="00D0193D"/>
    <w:rsid w:val="00D019EA"/>
    <w:rsid w:val="00D01D90"/>
    <w:rsid w:val="00D01E15"/>
    <w:rsid w:val="00D01F68"/>
    <w:rsid w:val="00D021A0"/>
    <w:rsid w:val="00D021CC"/>
    <w:rsid w:val="00D02381"/>
    <w:rsid w:val="00D023FA"/>
    <w:rsid w:val="00D0263C"/>
    <w:rsid w:val="00D02653"/>
    <w:rsid w:val="00D02738"/>
    <w:rsid w:val="00D028BC"/>
    <w:rsid w:val="00D02CA9"/>
    <w:rsid w:val="00D02DE8"/>
    <w:rsid w:val="00D02EBF"/>
    <w:rsid w:val="00D02F08"/>
    <w:rsid w:val="00D031FB"/>
    <w:rsid w:val="00D0322D"/>
    <w:rsid w:val="00D03463"/>
    <w:rsid w:val="00D034AC"/>
    <w:rsid w:val="00D0351A"/>
    <w:rsid w:val="00D03578"/>
    <w:rsid w:val="00D037AC"/>
    <w:rsid w:val="00D037FA"/>
    <w:rsid w:val="00D03A2A"/>
    <w:rsid w:val="00D03AD8"/>
    <w:rsid w:val="00D03C79"/>
    <w:rsid w:val="00D03F3C"/>
    <w:rsid w:val="00D0439A"/>
    <w:rsid w:val="00D04496"/>
    <w:rsid w:val="00D046EF"/>
    <w:rsid w:val="00D04769"/>
    <w:rsid w:val="00D04BCB"/>
    <w:rsid w:val="00D04BFC"/>
    <w:rsid w:val="00D04E50"/>
    <w:rsid w:val="00D05032"/>
    <w:rsid w:val="00D050C5"/>
    <w:rsid w:val="00D050E3"/>
    <w:rsid w:val="00D05153"/>
    <w:rsid w:val="00D052DA"/>
    <w:rsid w:val="00D05302"/>
    <w:rsid w:val="00D053CA"/>
    <w:rsid w:val="00D0552C"/>
    <w:rsid w:val="00D05735"/>
    <w:rsid w:val="00D0576D"/>
    <w:rsid w:val="00D057C6"/>
    <w:rsid w:val="00D057E0"/>
    <w:rsid w:val="00D0580E"/>
    <w:rsid w:val="00D0582E"/>
    <w:rsid w:val="00D05929"/>
    <w:rsid w:val="00D0593A"/>
    <w:rsid w:val="00D05950"/>
    <w:rsid w:val="00D05A6B"/>
    <w:rsid w:val="00D05B2C"/>
    <w:rsid w:val="00D05D36"/>
    <w:rsid w:val="00D05E3D"/>
    <w:rsid w:val="00D0606A"/>
    <w:rsid w:val="00D060FE"/>
    <w:rsid w:val="00D06200"/>
    <w:rsid w:val="00D06403"/>
    <w:rsid w:val="00D065A4"/>
    <w:rsid w:val="00D06606"/>
    <w:rsid w:val="00D0664E"/>
    <w:rsid w:val="00D066A4"/>
    <w:rsid w:val="00D06736"/>
    <w:rsid w:val="00D06A89"/>
    <w:rsid w:val="00D06BC2"/>
    <w:rsid w:val="00D06C28"/>
    <w:rsid w:val="00D06DB0"/>
    <w:rsid w:val="00D07261"/>
    <w:rsid w:val="00D073A2"/>
    <w:rsid w:val="00D07490"/>
    <w:rsid w:val="00D074DC"/>
    <w:rsid w:val="00D07557"/>
    <w:rsid w:val="00D07858"/>
    <w:rsid w:val="00D07C17"/>
    <w:rsid w:val="00D07D2F"/>
    <w:rsid w:val="00D07D83"/>
    <w:rsid w:val="00D07F90"/>
    <w:rsid w:val="00D0A17C"/>
    <w:rsid w:val="00D100D1"/>
    <w:rsid w:val="00D1020F"/>
    <w:rsid w:val="00D10315"/>
    <w:rsid w:val="00D10604"/>
    <w:rsid w:val="00D10873"/>
    <w:rsid w:val="00D10FDD"/>
    <w:rsid w:val="00D110DB"/>
    <w:rsid w:val="00D11232"/>
    <w:rsid w:val="00D112C4"/>
    <w:rsid w:val="00D11325"/>
    <w:rsid w:val="00D114B7"/>
    <w:rsid w:val="00D1164F"/>
    <w:rsid w:val="00D11947"/>
    <w:rsid w:val="00D119E0"/>
    <w:rsid w:val="00D11ABC"/>
    <w:rsid w:val="00D11B06"/>
    <w:rsid w:val="00D11DBA"/>
    <w:rsid w:val="00D11EDF"/>
    <w:rsid w:val="00D11FBF"/>
    <w:rsid w:val="00D12120"/>
    <w:rsid w:val="00D1234B"/>
    <w:rsid w:val="00D12422"/>
    <w:rsid w:val="00D125B6"/>
    <w:rsid w:val="00D126A7"/>
    <w:rsid w:val="00D1279F"/>
    <w:rsid w:val="00D12862"/>
    <w:rsid w:val="00D128AA"/>
    <w:rsid w:val="00D129A8"/>
    <w:rsid w:val="00D12A33"/>
    <w:rsid w:val="00D12D40"/>
    <w:rsid w:val="00D12D51"/>
    <w:rsid w:val="00D12EB4"/>
    <w:rsid w:val="00D12EEE"/>
    <w:rsid w:val="00D12FBE"/>
    <w:rsid w:val="00D1313E"/>
    <w:rsid w:val="00D1347B"/>
    <w:rsid w:val="00D134E9"/>
    <w:rsid w:val="00D135A8"/>
    <w:rsid w:val="00D13643"/>
    <w:rsid w:val="00D13706"/>
    <w:rsid w:val="00D137D3"/>
    <w:rsid w:val="00D138E4"/>
    <w:rsid w:val="00D139C3"/>
    <w:rsid w:val="00D13A5C"/>
    <w:rsid w:val="00D13ABF"/>
    <w:rsid w:val="00D13BCC"/>
    <w:rsid w:val="00D13BD9"/>
    <w:rsid w:val="00D13D14"/>
    <w:rsid w:val="00D140AE"/>
    <w:rsid w:val="00D14177"/>
    <w:rsid w:val="00D14311"/>
    <w:rsid w:val="00D143DE"/>
    <w:rsid w:val="00D14495"/>
    <w:rsid w:val="00D145C6"/>
    <w:rsid w:val="00D148EA"/>
    <w:rsid w:val="00D14BB0"/>
    <w:rsid w:val="00D14C77"/>
    <w:rsid w:val="00D14CCA"/>
    <w:rsid w:val="00D14EAC"/>
    <w:rsid w:val="00D1518C"/>
    <w:rsid w:val="00D151D0"/>
    <w:rsid w:val="00D15242"/>
    <w:rsid w:val="00D1526D"/>
    <w:rsid w:val="00D154B3"/>
    <w:rsid w:val="00D1563A"/>
    <w:rsid w:val="00D156CA"/>
    <w:rsid w:val="00D156D7"/>
    <w:rsid w:val="00D15AAB"/>
    <w:rsid w:val="00D15B05"/>
    <w:rsid w:val="00D15BFD"/>
    <w:rsid w:val="00D15C35"/>
    <w:rsid w:val="00D15CAF"/>
    <w:rsid w:val="00D15CD8"/>
    <w:rsid w:val="00D15DE0"/>
    <w:rsid w:val="00D15F2D"/>
    <w:rsid w:val="00D15FA3"/>
    <w:rsid w:val="00D160C7"/>
    <w:rsid w:val="00D160EF"/>
    <w:rsid w:val="00D161E7"/>
    <w:rsid w:val="00D162E5"/>
    <w:rsid w:val="00D16315"/>
    <w:rsid w:val="00D16319"/>
    <w:rsid w:val="00D163B2"/>
    <w:rsid w:val="00D164F3"/>
    <w:rsid w:val="00D165D6"/>
    <w:rsid w:val="00D16602"/>
    <w:rsid w:val="00D166D9"/>
    <w:rsid w:val="00D16874"/>
    <w:rsid w:val="00D16997"/>
    <w:rsid w:val="00D16D2F"/>
    <w:rsid w:val="00D16DCF"/>
    <w:rsid w:val="00D16F08"/>
    <w:rsid w:val="00D17277"/>
    <w:rsid w:val="00D1727E"/>
    <w:rsid w:val="00D1731F"/>
    <w:rsid w:val="00D17537"/>
    <w:rsid w:val="00D17540"/>
    <w:rsid w:val="00D17562"/>
    <w:rsid w:val="00D175B9"/>
    <w:rsid w:val="00D177E3"/>
    <w:rsid w:val="00D1784B"/>
    <w:rsid w:val="00D17C01"/>
    <w:rsid w:val="00D1B76A"/>
    <w:rsid w:val="00D200C5"/>
    <w:rsid w:val="00D2022F"/>
    <w:rsid w:val="00D2033E"/>
    <w:rsid w:val="00D205FF"/>
    <w:rsid w:val="00D207B1"/>
    <w:rsid w:val="00D207E8"/>
    <w:rsid w:val="00D2083A"/>
    <w:rsid w:val="00D20876"/>
    <w:rsid w:val="00D20898"/>
    <w:rsid w:val="00D20A1E"/>
    <w:rsid w:val="00D20A3F"/>
    <w:rsid w:val="00D20BC0"/>
    <w:rsid w:val="00D20EFF"/>
    <w:rsid w:val="00D20F47"/>
    <w:rsid w:val="00D20F65"/>
    <w:rsid w:val="00D2105B"/>
    <w:rsid w:val="00D210CD"/>
    <w:rsid w:val="00D21393"/>
    <w:rsid w:val="00D2148B"/>
    <w:rsid w:val="00D21741"/>
    <w:rsid w:val="00D21AD1"/>
    <w:rsid w:val="00D21C65"/>
    <w:rsid w:val="00D21C79"/>
    <w:rsid w:val="00D21CC2"/>
    <w:rsid w:val="00D21E7C"/>
    <w:rsid w:val="00D21F0C"/>
    <w:rsid w:val="00D22267"/>
    <w:rsid w:val="00D22368"/>
    <w:rsid w:val="00D2286A"/>
    <w:rsid w:val="00D22AB9"/>
    <w:rsid w:val="00D22CCE"/>
    <w:rsid w:val="00D22CDC"/>
    <w:rsid w:val="00D22E95"/>
    <w:rsid w:val="00D2300E"/>
    <w:rsid w:val="00D2301D"/>
    <w:rsid w:val="00D2321E"/>
    <w:rsid w:val="00D23380"/>
    <w:rsid w:val="00D233E8"/>
    <w:rsid w:val="00D2353F"/>
    <w:rsid w:val="00D235A7"/>
    <w:rsid w:val="00D235E5"/>
    <w:rsid w:val="00D23743"/>
    <w:rsid w:val="00D23818"/>
    <w:rsid w:val="00D239B7"/>
    <w:rsid w:val="00D23A2A"/>
    <w:rsid w:val="00D23C38"/>
    <w:rsid w:val="00D23DF7"/>
    <w:rsid w:val="00D23EBF"/>
    <w:rsid w:val="00D24189"/>
    <w:rsid w:val="00D243B7"/>
    <w:rsid w:val="00D24467"/>
    <w:rsid w:val="00D2452B"/>
    <w:rsid w:val="00D24729"/>
    <w:rsid w:val="00D247A7"/>
    <w:rsid w:val="00D247B2"/>
    <w:rsid w:val="00D2485E"/>
    <w:rsid w:val="00D24A22"/>
    <w:rsid w:val="00D24B60"/>
    <w:rsid w:val="00D24B79"/>
    <w:rsid w:val="00D24C0C"/>
    <w:rsid w:val="00D24C87"/>
    <w:rsid w:val="00D24FAA"/>
    <w:rsid w:val="00D24FDA"/>
    <w:rsid w:val="00D250BD"/>
    <w:rsid w:val="00D253EE"/>
    <w:rsid w:val="00D2549B"/>
    <w:rsid w:val="00D25692"/>
    <w:rsid w:val="00D2569F"/>
    <w:rsid w:val="00D256D2"/>
    <w:rsid w:val="00D25908"/>
    <w:rsid w:val="00D25913"/>
    <w:rsid w:val="00D259C2"/>
    <w:rsid w:val="00D259EB"/>
    <w:rsid w:val="00D25C51"/>
    <w:rsid w:val="00D25CF2"/>
    <w:rsid w:val="00D25DB5"/>
    <w:rsid w:val="00D25E0A"/>
    <w:rsid w:val="00D25F6C"/>
    <w:rsid w:val="00D25FA2"/>
    <w:rsid w:val="00D26152"/>
    <w:rsid w:val="00D266AC"/>
    <w:rsid w:val="00D267FE"/>
    <w:rsid w:val="00D268E2"/>
    <w:rsid w:val="00D26BEA"/>
    <w:rsid w:val="00D26C32"/>
    <w:rsid w:val="00D26D19"/>
    <w:rsid w:val="00D26D23"/>
    <w:rsid w:val="00D26ED7"/>
    <w:rsid w:val="00D26FB3"/>
    <w:rsid w:val="00D26FFC"/>
    <w:rsid w:val="00D2703C"/>
    <w:rsid w:val="00D2723D"/>
    <w:rsid w:val="00D2730F"/>
    <w:rsid w:val="00D27388"/>
    <w:rsid w:val="00D27424"/>
    <w:rsid w:val="00D27580"/>
    <w:rsid w:val="00D2779C"/>
    <w:rsid w:val="00D27991"/>
    <w:rsid w:val="00D27A25"/>
    <w:rsid w:val="00D27B0A"/>
    <w:rsid w:val="00D27B24"/>
    <w:rsid w:val="00D27B48"/>
    <w:rsid w:val="00D27B69"/>
    <w:rsid w:val="00D27B75"/>
    <w:rsid w:val="00D27C0B"/>
    <w:rsid w:val="00D27CF7"/>
    <w:rsid w:val="00D27D0C"/>
    <w:rsid w:val="00D27D6D"/>
    <w:rsid w:val="00D27DA1"/>
    <w:rsid w:val="00D27E16"/>
    <w:rsid w:val="00D27E23"/>
    <w:rsid w:val="00D27E86"/>
    <w:rsid w:val="00D30164"/>
    <w:rsid w:val="00D302BC"/>
    <w:rsid w:val="00D302D2"/>
    <w:rsid w:val="00D3036D"/>
    <w:rsid w:val="00D3041F"/>
    <w:rsid w:val="00D305AD"/>
    <w:rsid w:val="00D30710"/>
    <w:rsid w:val="00D30964"/>
    <w:rsid w:val="00D30C34"/>
    <w:rsid w:val="00D30EA0"/>
    <w:rsid w:val="00D30FD6"/>
    <w:rsid w:val="00D311D9"/>
    <w:rsid w:val="00D312A9"/>
    <w:rsid w:val="00D312F4"/>
    <w:rsid w:val="00D3156C"/>
    <w:rsid w:val="00D31576"/>
    <w:rsid w:val="00D315D7"/>
    <w:rsid w:val="00D316A5"/>
    <w:rsid w:val="00D316EC"/>
    <w:rsid w:val="00D3170B"/>
    <w:rsid w:val="00D317C3"/>
    <w:rsid w:val="00D3189E"/>
    <w:rsid w:val="00D319DA"/>
    <w:rsid w:val="00D31A3E"/>
    <w:rsid w:val="00D31AFB"/>
    <w:rsid w:val="00D31C7C"/>
    <w:rsid w:val="00D31CAE"/>
    <w:rsid w:val="00D31CE5"/>
    <w:rsid w:val="00D31FD6"/>
    <w:rsid w:val="00D32026"/>
    <w:rsid w:val="00D32046"/>
    <w:rsid w:val="00D3205B"/>
    <w:rsid w:val="00D3207E"/>
    <w:rsid w:val="00D32296"/>
    <w:rsid w:val="00D32339"/>
    <w:rsid w:val="00D3243C"/>
    <w:rsid w:val="00D324B1"/>
    <w:rsid w:val="00D324ED"/>
    <w:rsid w:val="00D3250F"/>
    <w:rsid w:val="00D32566"/>
    <w:rsid w:val="00D325B2"/>
    <w:rsid w:val="00D32673"/>
    <w:rsid w:val="00D326C2"/>
    <w:rsid w:val="00D32769"/>
    <w:rsid w:val="00D32838"/>
    <w:rsid w:val="00D3288B"/>
    <w:rsid w:val="00D32899"/>
    <w:rsid w:val="00D32A0A"/>
    <w:rsid w:val="00D32A5C"/>
    <w:rsid w:val="00D32B16"/>
    <w:rsid w:val="00D32B33"/>
    <w:rsid w:val="00D32C5C"/>
    <w:rsid w:val="00D33095"/>
    <w:rsid w:val="00D33134"/>
    <w:rsid w:val="00D331F0"/>
    <w:rsid w:val="00D33238"/>
    <w:rsid w:val="00D33249"/>
    <w:rsid w:val="00D33288"/>
    <w:rsid w:val="00D332C3"/>
    <w:rsid w:val="00D33366"/>
    <w:rsid w:val="00D333E2"/>
    <w:rsid w:val="00D3350C"/>
    <w:rsid w:val="00D33592"/>
    <w:rsid w:val="00D339DC"/>
    <w:rsid w:val="00D33AED"/>
    <w:rsid w:val="00D33B3A"/>
    <w:rsid w:val="00D33B59"/>
    <w:rsid w:val="00D33B76"/>
    <w:rsid w:val="00D33BE2"/>
    <w:rsid w:val="00D33DBB"/>
    <w:rsid w:val="00D33DD7"/>
    <w:rsid w:val="00D33E32"/>
    <w:rsid w:val="00D33E37"/>
    <w:rsid w:val="00D33E43"/>
    <w:rsid w:val="00D33E51"/>
    <w:rsid w:val="00D3418C"/>
    <w:rsid w:val="00D34306"/>
    <w:rsid w:val="00D34337"/>
    <w:rsid w:val="00D3440E"/>
    <w:rsid w:val="00D344FC"/>
    <w:rsid w:val="00D34569"/>
    <w:rsid w:val="00D34598"/>
    <w:rsid w:val="00D34726"/>
    <w:rsid w:val="00D347DB"/>
    <w:rsid w:val="00D347EB"/>
    <w:rsid w:val="00D3482E"/>
    <w:rsid w:val="00D34979"/>
    <w:rsid w:val="00D34E0D"/>
    <w:rsid w:val="00D34E23"/>
    <w:rsid w:val="00D34F11"/>
    <w:rsid w:val="00D34FC1"/>
    <w:rsid w:val="00D351CE"/>
    <w:rsid w:val="00D3534E"/>
    <w:rsid w:val="00D3535F"/>
    <w:rsid w:val="00D353BD"/>
    <w:rsid w:val="00D35411"/>
    <w:rsid w:val="00D3541C"/>
    <w:rsid w:val="00D354BA"/>
    <w:rsid w:val="00D35622"/>
    <w:rsid w:val="00D3563C"/>
    <w:rsid w:val="00D356AB"/>
    <w:rsid w:val="00D3571D"/>
    <w:rsid w:val="00D35748"/>
    <w:rsid w:val="00D35847"/>
    <w:rsid w:val="00D35922"/>
    <w:rsid w:val="00D359C8"/>
    <w:rsid w:val="00D35C17"/>
    <w:rsid w:val="00D35CA6"/>
    <w:rsid w:val="00D35E8F"/>
    <w:rsid w:val="00D35FD0"/>
    <w:rsid w:val="00D36133"/>
    <w:rsid w:val="00D36240"/>
    <w:rsid w:val="00D36255"/>
    <w:rsid w:val="00D36408"/>
    <w:rsid w:val="00D3642B"/>
    <w:rsid w:val="00D365D2"/>
    <w:rsid w:val="00D36609"/>
    <w:rsid w:val="00D36720"/>
    <w:rsid w:val="00D36743"/>
    <w:rsid w:val="00D367BC"/>
    <w:rsid w:val="00D36A4A"/>
    <w:rsid w:val="00D36A86"/>
    <w:rsid w:val="00D36B47"/>
    <w:rsid w:val="00D36CCA"/>
    <w:rsid w:val="00D36DCF"/>
    <w:rsid w:val="00D36E28"/>
    <w:rsid w:val="00D373CD"/>
    <w:rsid w:val="00D3741C"/>
    <w:rsid w:val="00D374AC"/>
    <w:rsid w:val="00D37523"/>
    <w:rsid w:val="00D3753D"/>
    <w:rsid w:val="00D37662"/>
    <w:rsid w:val="00D378EA"/>
    <w:rsid w:val="00D37D39"/>
    <w:rsid w:val="00D37D53"/>
    <w:rsid w:val="00D37F75"/>
    <w:rsid w:val="00D37FC7"/>
    <w:rsid w:val="00D40019"/>
    <w:rsid w:val="00D400B6"/>
    <w:rsid w:val="00D40610"/>
    <w:rsid w:val="00D406A7"/>
    <w:rsid w:val="00D407CF"/>
    <w:rsid w:val="00D40894"/>
    <w:rsid w:val="00D4094D"/>
    <w:rsid w:val="00D40974"/>
    <w:rsid w:val="00D40AB2"/>
    <w:rsid w:val="00D40C0F"/>
    <w:rsid w:val="00D40D8E"/>
    <w:rsid w:val="00D40E8F"/>
    <w:rsid w:val="00D413FB"/>
    <w:rsid w:val="00D41402"/>
    <w:rsid w:val="00D41536"/>
    <w:rsid w:val="00D4184C"/>
    <w:rsid w:val="00D41A22"/>
    <w:rsid w:val="00D41A7E"/>
    <w:rsid w:val="00D41A95"/>
    <w:rsid w:val="00D41C45"/>
    <w:rsid w:val="00D41C4C"/>
    <w:rsid w:val="00D41E19"/>
    <w:rsid w:val="00D41E39"/>
    <w:rsid w:val="00D41E80"/>
    <w:rsid w:val="00D42046"/>
    <w:rsid w:val="00D422C9"/>
    <w:rsid w:val="00D422DC"/>
    <w:rsid w:val="00D42370"/>
    <w:rsid w:val="00D423F2"/>
    <w:rsid w:val="00D42424"/>
    <w:rsid w:val="00D424F4"/>
    <w:rsid w:val="00D425E5"/>
    <w:rsid w:val="00D42628"/>
    <w:rsid w:val="00D42711"/>
    <w:rsid w:val="00D427AF"/>
    <w:rsid w:val="00D427BB"/>
    <w:rsid w:val="00D42896"/>
    <w:rsid w:val="00D42904"/>
    <w:rsid w:val="00D42D7B"/>
    <w:rsid w:val="00D42E07"/>
    <w:rsid w:val="00D42EFE"/>
    <w:rsid w:val="00D430B8"/>
    <w:rsid w:val="00D431BB"/>
    <w:rsid w:val="00D4322E"/>
    <w:rsid w:val="00D432BE"/>
    <w:rsid w:val="00D4333E"/>
    <w:rsid w:val="00D43398"/>
    <w:rsid w:val="00D433BD"/>
    <w:rsid w:val="00D433E2"/>
    <w:rsid w:val="00D4365E"/>
    <w:rsid w:val="00D43740"/>
    <w:rsid w:val="00D4378F"/>
    <w:rsid w:val="00D43A95"/>
    <w:rsid w:val="00D43DDB"/>
    <w:rsid w:val="00D43EDC"/>
    <w:rsid w:val="00D43F10"/>
    <w:rsid w:val="00D4411D"/>
    <w:rsid w:val="00D44376"/>
    <w:rsid w:val="00D44790"/>
    <w:rsid w:val="00D44802"/>
    <w:rsid w:val="00D449D7"/>
    <w:rsid w:val="00D449E1"/>
    <w:rsid w:val="00D44B14"/>
    <w:rsid w:val="00D44D36"/>
    <w:rsid w:val="00D44D8A"/>
    <w:rsid w:val="00D45218"/>
    <w:rsid w:val="00D45274"/>
    <w:rsid w:val="00D452AE"/>
    <w:rsid w:val="00D452C8"/>
    <w:rsid w:val="00D452E2"/>
    <w:rsid w:val="00D45339"/>
    <w:rsid w:val="00D45601"/>
    <w:rsid w:val="00D45619"/>
    <w:rsid w:val="00D457BB"/>
    <w:rsid w:val="00D45835"/>
    <w:rsid w:val="00D459F0"/>
    <w:rsid w:val="00D45ACA"/>
    <w:rsid w:val="00D45B66"/>
    <w:rsid w:val="00D45DA3"/>
    <w:rsid w:val="00D45E0C"/>
    <w:rsid w:val="00D461D9"/>
    <w:rsid w:val="00D46264"/>
    <w:rsid w:val="00D46265"/>
    <w:rsid w:val="00D46289"/>
    <w:rsid w:val="00D462FA"/>
    <w:rsid w:val="00D464A1"/>
    <w:rsid w:val="00D46542"/>
    <w:rsid w:val="00D46D15"/>
    <w:rsid w:val="00D46E00"/>
    <w:rsid w:val="00D47058"/>
    <w:rsid w:val="00D47183"/>
    <w:rsid w:val="00D47374"/>
    <w:rsid w:val="00D47413"/>
    <w:rsid w:val="00D474EB"/>
    <w:rsid w:val="00D47510"/>
    <w:rsid w:val="00D476C5"/>
    <w:rsid w:val="00D4778C"/>
    <w:rsid w:val="00D47858"/>
    <w:rsid w:val="00D47923"/>
    <w:rsid w:val="00D47C70"/>
    <w:rsid w:val="00D47D32"/>
    <w:rsid w:val="00D47DFA"/>
    <w:rsid w:val="00D47E3F"/>
    <w:rsid w:val="00D47E7F"/>
    <w:rsid w:val="00D501F0"/>
    <w:rsid w:val="00D502D1"/>
    <w:rsid w:val="00D5030C"/>
    <w:rsid w:val="00D503A8"/>
    <w:rsid w:val="00D50423"/>
    <w:rsid w:val="00D505A3"/>
    <w:rsid w:val="00D50776"/>
    <w:rsid w:val="00D50859"/>
    <w:rsid w:val="00D50927"/>
    <w:rsid w:val="00D50CA9"/>
    <w:rsid w:val="00D50CFA"/>
    <w:rsid w:val="00D50DD1"/>
    <w:rsid w:val="00D50EBB"/>
    <w:rsid w:val="00D50F81"/>
    <w:rsid w:val="00D51080"/>
    <w:rsid w:val="00D51105"/>
    <w:rsid w:val="00D512AA"/>
    <w:rsid w:val="00D5142F"/>
    <w:rsid w:val="00D51464"/>
    <w:rsid w:val="00D514A4"/>
    <w:rsid w:val="00D51601"/>
    <w:rsid w:val="00D51711"/>
    <w:rsid w:val="00D51A3B"/>
    <w:rsid w:val="00D52103"/>
    <w:rsid w:val="00D52222"/>
    <w:rsid w:val="00D523C6"/>
    <w:rsid w:val="00D525D3"/>
    <w:rsid w:val="00D526C1"/>
    <w:rsid w:val="00D52758"/>
    <w:rsid w:val="00D528E3"/>
    <w:rsid w:val="00D52A59"/>
    <w:rsid w:val="00D52B7E"/>
    <w:rsid w:val="00D52BCC"/>
    <w:rsid w:val="00D52C3B"/>
    <w:rsid w:val="00D52D72"/>
    <w:rsid w:val="00D5367C"/>
    <w:rsid w:val="00D5391F"/>
    <w:rsid w:val="00D53A4E"/>
    <w:rsid w:val="00D53A5D"/>
    <w:rsid w:val="00D53B81"/>
    <w:rsid w:val="00D53C91"/>
    <w:rsid w:val="00D53DFA"/>
    <w:rsid w:val="00D53F17"/>
    <w:rsid w:val="00D53F41"/>
    <w:rsid w:val="00D53F67"/>
    <w:rsid w:val="00D546B3"/>
    <w:rsid w:val="00D549F6"/>
    <w:rsid w:val="00D54CC8"/>
    <w:rsid w:val="00D54E6D"/>
    <w:rsid w:val="00D54FDC"/>
    <w:rsid w:val="00D551DD"/>
    <w:rsid w:val="00D5522E"/>
    <w:rsid w:val="00D5523D"/>
    <w:rsid w:val="00D5539A"/>
    <w:rsid w:val="00D55408"/>
    <w:rsid w:val="00D555CB"/>
    <w:rsid w:val="00D5587B"/>
    <w:rsid w:val="00D55ACA"/>
    <w:rsid w:val="00D55BB7"/>
    <w:rsid w:val="00D55BBC"/>
    <w:rsid w:val="00D55BE8"/>
    <w:rsid w:val="00D55D13"/>
    <w:rsid w:val="00D55DF1"/>
    <w:rsid w:val="00D55EB0"/>
    <w:rsid w:val="00D55F8D"/>
    <w:rsid w:val="00D55FFB"/>
    <w:rsid w:val="00D56086"/>
    <w:rsid w:val="00D564FB"/>
    <w:rsid w:val="00D56609"/>
    <w:rsid w:val="00D56644"/>
    <w:rsid w:val="00D56676"/>
    <w:rsid w:val="00D56686"/>
    <w:rsid w:val="00D567C5"/>
    <w:rsid w:val="00D5687F"/>
    <w:rsid w:val="00D568D8"/>
    <w:rsid w:val="00D568FA"/>
    <w:rsid w:val="00D569A3"/>
    <w:rsid w:val="00D56A10"/>
    <w:rsid w:val="00D56B17"/>
    <w:rsid w:val="00D56B56"/>
    <w:rsid w:val="00D56CC9"/>
    <w:rsid w:val="00D56D53"/>
    <w:rsid w:val="00D56F27"/>
    <w:rsid w:val="00D57134"/>
    <w:rsid w:val="00D57195"/>
    <w:rsid w:val="00D57241"/>
    <w:rsid w:val="00D572CB"/>
    <w:rsid w:val="00D57463"/>
    <w:rsid w:val="00D57474"/>
    <w:rsid w:val="00D5755C"/>
    <w:rsid w:val="00D5786F"/>
    <w:rsid w:val="00D57A2F"/>
    <w:rsid w:val="00D57B1D"/>
    <w:rsid w:val="00D57D22"/>
    <w:rsid w:val="00D57D45"/>
    <w:rsid w:val="00D57DCA"/>
    <w:rsid w:val="00D6008E"/>
    <w:rsid w:val="00D60119"/>
    <w:rsid w:val="00D6066F"/>
    <w:rsid w:val="00D60695"/>
    <w:rsid w:val="00D606B2"/>
    <w:rsid w:val="00D606C7"/>
    <w:rsid w:val="00D607C2"/>
    <w:rsid w:val="00D60C32"/>
    <w:rsid w:val="00D61043"/>
    <w:rsid w:val="00D6114D"/>
    <w:rsid w:val="00D611DC"/>
    <w:rsid w:val="00D61298"/>
    <w:rsid w:val="00D61345"/>
    <w:rsid w:val="00D6144B"/>
    <w:rsid w:val="00D61532"/>
    <w:rsid w:val="00D61731"/>
    <w:rsid w:val="00D61812"/>
    <w:rsid w:val="00D618B6"/>
    <w:rsid w:val="00D61911"/>
    <w:rsid w:val="00D61B37"/>
    <w:rsid w:val="00D61C15"/>
    <w:rsid w:val="00D61EB8"/>
    <w:rsid w:val="00D61EEF"/>
    <w:rsid w:val="00D61F2E"/>
    <w:rsid w:val="00D6203A"/>
    <w:rsid w:val="00D620CD"/>
    <w:rsid w:val="00D6222C"/>
    <w:rsid w:val="00D6227E"/>
    <w:rsid w:val="00D625E9"/>
    <w:rsid w:val="00D627A4"/>
    <w:rsid w:val="00D627A7"/>
    <w:rsid w:val="00D6281B"/>
    <w:rsid w:val="00D6282B"/>
    <w:rsid w:val="00D62883"/>
    <w:rsid w:val="00D628C6"/>
    <w:rsid w:val="00D6293F"/>
    <w:rsid w:val="00D629A1"/>
    <w:rsid w:val="00D62A2A"/>
    <w:rsid w:val="00D62EAF"/>
    <w:rsid w:val="00D62EF7"/>
    <w:rsid w:val="00D62F16"/>
    <w:rsid w:val="00D62F70"/>
    <w:rsid w:val="00D6307F"/>
    <w:rsid w:val="00D630BC"/>
    <w:rsid w:val="00D630C9"/>
    <w:rsid w:val="00D6315C"/>
    <w:rsid w:val="00D63768"/>
    <w:rsid w:val="00D6395B"/>
    <w:rsid w:val="00D63975"/>
    <w:rsid w:val="00D63C0E"/>
    <w:rsid w:val="00D63C73"/>
    <w:rsid w:val="00D63D59"/>
    <w:rsid w:val="00D63E2D"/>
    <w:rsid w:val="00D6420A"/>
    <w:rsid w:val="00D644A1"/>
    <w:rsid w:val="00D64506"/>
    <w:rsid w:val="00D64A39"/>
    <w:rsid w:val="00D64AAB"/>
    <w:rsid w:val="00D64D0C"/>
    <w:rsid w:val="00D64D41"/>
    <w:rsid w:val="00D64E89"/>
    <w:rsid w:val="00D64EAD"/>
    <w:rsid w:val="00D64FFA"/>
    <w:rsid w:val="00D65031"/>
    <w:rsid w:val="00D6504B"/>
    <w:rsid w:val="00D651B8"/>
    <w:rsid w:val="00D6522B"/>
    <w:rsid w:val="00D65403"/>
    <w:rsid w:val="00D65426"/>
    <w:rsid w:val="00D65604"/>
    <w:rsid w:val="00D656CB"/>
    <w:rsid w:val="00D65748"/>
    <w:rsid w:val="00D65763"/>
    <w:rsid w:val="00D658F9"/>
    <w:rsid w:val="00D65956"/>
    <w:rsid w:val="00D65991"/>
    <w:rsid w:val="00D65B03"/>
    <w:rsid w:val="00D65DDF"/>
    <w:rsid w:val="00D65E86"/>
    <w:rsid w:val="00D65F0A"/>
    <w:rsid w:val="00D65FF6"/>
    <w:rsid w:val="00D6604D"/>
    <w:rsid w:val="00D661E2"/>
    <w:rsid w:val="00D66297"/>
    <w:rsid w:val="00D665E7"/>
    <w:rsid w:val="00D6660C"/>
    <w:rsid w:val="00D668F8"/>
    <w:rsid w:val="00D66932"/>
    <w:rsid w:val="00D66ABF"/>
    <w:rsid w:val="00D66B6F"/>
    <w:rsid w:val="00D66CAD"/>
    <w:rsid w:val="00D66E3B"/>
    <w:rsid w:val="00D66F47"/>
    <w:rsid w:val="00D67054"/>
    <w:rsid w:val="00D6711B"/>
    <w:rsid w:val="00D67175"/>
    <w:rsid w:val="00D67484"/>
    <w:rsid w:val="00D676B1"/>
    <w:rsid w:val="00D6776C"/>
    <w:rsid w:val="00D677EB"/>
    <w:rsid w:val="00D6783C"/>
    <w:rsid w:val="00D67B9A"/>
    <w:rsid w:val="00D67C40"/>
    <w:rsid w:val="00D67C7E"/>
    <w:rsid w:val="00D67CD8"/>
    <w:rsid w:val="00D67DBE"/>
    <w:rsid w:val="00D67DDE"/>
    <w:rsid w:val="00D67E6D"/>
    <w:rsid w:val="00D70053"/>
    <w:rsid w:val="00D70149"/>
    <w:rsid w:val="00D702C3"/>
    <w:rsid w:val="00D7084B"/>
    <w:rsid w:val="00D70A9B"/>
    <w:rsid w:val="00D70BB3"/>
    <w:rsid w:val="00D70C0B"/>
    <w:rsid w:val="00D70D65"/>
    <w:rsid w:val="00D7129D"/>
    <w:rsid w:val="00D714A7"/>
    <w:rsid w:val="00D71582"/>
    <w:rsid w:val="00D71678"/>
    <w:rsid w:val="00D716F7"/>
    <w:rsid w:val="00D717BB"/>
    <w:rsid w:val="00D71A30"/>
    <w:rsid w:val="00D71B4E"/>
    <w:rsid w:val="00D71BBC"/>
    <w:rsid w:val="00D71C35"/>
    <w:rsid w:val="00D71C87"/>
    <w:rsid w:val="00D72004"/>
    <w:rsid w:val="00D72024"/>
    <w:rsid w:val="00D7202B"/>
    <w:rsid w:val="00D7232D"/>
    <w:rsid w:val="00D7267D"/>
    <w:rsid w:val="00D72692"/>
    <w:rsid w:val="00D72876"/>
    <w:rsid w:val="00D72B73"/>
    <w:rsid w:val="00D72BD7"/>
    <w:rsid w:val="00D72C4F"/>
    <w:rsid w:val="00D72C72"/>
    <w:rsid w:val="00D7312D"/>
    <w:rsid w:val="00D73432"/>
    <w:rsid w:val="00D7346B"/>
    <w:rsid w:val="00D7356D"/>
    <w:rsid w:val="00D735F8"/>
    <w:rsid w:val="00D7372B"/>
    <w:rsid w:val="00D737B2"/>
    <w:rsid w:val="00D73857"/>
    <w:rsid w:val="00D73934"/>
    <w:rsid w:val="00D73ACC"/>
    <w:rsid w:val="00D73E35"/>
    <w:rsid w:val="00D7417A"/>
    <w:rsid w:val="00D7420C"/>
    <w:rsid w:val="00D74279"/>
    <w:rsid w:val="00D742FE"/>
    <w:rsid w:val="00D74D5A"/>
    <w:rsid w:val="00D74DA9"/>
    <w:rsid w:val="00D74F88"/>
    <w:rsid w:val="00D7507F"/>
    <w:rsid w:val="00D7518D"/>
    <w:rsid w:val="00D75217"/>
    <w:rsid w:val="00D7527B"/>
    <w:rsid w:val="00D75420"/>
    <w:rsid w:val="00D75460"/>
    <w:rsid w:val="00D7565E"/>
    <w:rsid w:val="00D75900"/>
    <w:rsid w:val="00D75AEB"/>
    <w:rsid w:val="00D75AEE"/>
    <w:rsid w:val="00D75B17"/>
    <w:rsid w:val="00D75B7A"/>
    <w:rsid w:val="00D75D4D"/>
    <w:rsid w:val="00D75DC5"/>
    <w:rsid w:val="00D75DF9"/>
    <w:rsid w:val="00D75F41"/>
    <w:rsid w:val="00D75FB3"/>
    <w:rsid w:val="00D760DA"/>
    <w:rsid w:val="00D7622A"/>
    <w:rsid w:val="00D7624F"/>
    <w:rsid w:val="00D762F2"/>
    <w:rsid w:val="00D76305"/>
    <w:rsid w:val="00D7633D"/>
    <w:rsid w:val="00D76799"/>
    <w:rsid w:val="00D7684F"/>
    <w:rsid w:val="00D76B40"/>
    <w:rsid w:val="00D76C25"/>
    <w:rsid w:val="00D76CA8"/>
    <w:rsid w:val="00D76E44"/>
    <w:rsid w:val="00D76FC9"/>
    <w:rsid w:val="00D7708A"/>
    <w:rsid w:val="00D7715A"/>
    <w:rsid w:val="00D77294"/>
    <w:rsid w:val="00D77485"/>
    <w:rsid w:val="00D775F1"/>
    <w:rsid w:val="00D776FB"/>
    <w:rsid w:val="00D77812"/>
    <w:rsid w:val="00D7782F"/>
    <w:rsid w:val="00D778C3"/>
    <w:rsid w:val="00D7793B"/>
    <w:rsid w:val="00D77C31"/>
    <w:rsid w:val="00D77E69"/>
    <w:rsid w:val="00D77F4C"/>
    <w:rsid w:val="00D77F4E"/>
    <w:rsid w:val="00D78C25"/>
    <w:rsid w:val="00D8000B"/>
    <w:rsid w:val="00D8007C"/>
    <w:rsid w:val="00D800C6"/>
    <w:rsid w:val="00D80251"/>
    <w:rsid w:val="00D804B7"/>
    <w:rsid w:val="00D8056E"/>
    <w:rsid w:val="00D806C2"/>
    <w:rsid w:val="00D80808"/>
    <w:rsid w:val="00D80884"/>
    <w:rsid w:val="00D80889"/>
    <w:rsid w:val="00D80894"/>
    <w:rsid w:val="00D808AD"/>
    <w:rsid w:val="00D808C9"/>
    <w:rsid w:val="00D80A82"/>
    <w:rsid w:val="00D80AF7"/>
    <w:rsid w:val="00D80B1D"/>
    <w:rsid w:val="00D80C11"/>
    <w:rsid w:val="00D80C78"/>
    <w:rsid w:val="00D80D0E"/>
    <w:rsid w:val="00D80E49"/>
    <w:rsid w:val="00D80F6F"/>
    <w:rsid w:val="00D81085"/>
    <w:rsid w:val="00D812A9"/>
    <w:rsid w:val="00D81430"/>
    <w:rsid w:val="00D8169D"/>
    <w:rsid w:val="00D81830"/>
    <w:rsid w:val="00D81879"/>
    <w:rsid w:val="00D81A62"/>
    <w:rsid w:val="00D81A76"/>
    <w:rsid w:val="00D81B95"/>
    <w:rsid w:val="00D81D4F"/>
    <w:rsid w:val="00D81EF1"/>
    <w:rsid w:val="00D81F53"/>
    <w:rsid w:val="00D81FD0"/>
    <w:rsid w:val="00D820B5"/>
    <w:rsid w:val="00D82254"/>
    <w:rsid w:val="00D8238C"/>
    <w:rsid w:val="00D82417"/>
    <w:rsid w:val="00D82476"/>
    <w:rsid w:val="00D8254C"/>
    <w:rsid w:val="00D825CB"/>
    <w:rsid w:val="00D82636"/>
    <w:rsid w:val="00D82819"/>
    <w:rsid w:val="00D829B9"/>
    <w:rsid w:val="00D82AC1"/>
    <w:rsid w:val="00D82C59"/>
    <w:rsid w:val="00D82CDE"/>
    <w:rsid w:val="00D82D0C"/>
    <w:rsid w:val="00D83478"/>
    <w:rsid w:val="00D83610"/>
    <w:rsid w:val="00D83699"/>
    <w:rsid w:val="00D83739"/>
    <w:rsid w:val="00D837D2"/>
    <w:rsid w:val="00D83954"/>
    <w:rsid w:val="00D83967"/>
    <w:rsid w:val="00D839F4"/>
    <w:rsid w:val="00D83A35"/>
    <w:rsid w:val="00D83BB9"/>
    <w:rsid w:val="00D83BF1"/>
    <w:rsid w:val="00D83CB6"/>
    <w:rsid w:val="00D83D23"/>
    <w:rsid w:val="00D83DD0"/>
    <w:rsid w:val="00D84047"/>
    <w:rsid w:val="00D8408F"/>
    <w:rsid w:val="00D841AF"/>
    <w:rsid w:val="00D843D6"/>
    <w:rsid w:val="00D843D7"/>
    <w:rsid w:val="00D8450E"/>
    <w:rsid w:val="00D84531"/>
    <w:rsid w:val="00D846E2"/>
    <w:rsid w:val="00D84719"/>
    <w:rsid w:val="00D84758"/>
    <w:rsid w:val="00D8479F"/>
    <w:rsid w:val="00D848CC"/>
    <w:rsid w:val="00D849DB"/>
    <w:rsid w:val="00D84A04"/>
    <w:rsid w:val="00D84B6A"/>
    <w:rsid w:val="00D84C69"/>
    <w:rsid w:val="00D84C8D"/>
    <w:rsid w:val="00D84C92"/>
    <w:rsid w:val="00D84E6A"/>
    <w:rsid w:val="00D84F72"/>
    <w:rsid w:val="00D84FC4"/>
    <w:rsid w:val="00D85029"/>
    <w:rsid w:val="00D8510E"/>
    <w:rsid w:val="00D8513E"/>
    <w:rsid w:val="00D855E0"/>
    <w:rsid w:val="00D85717"/>
    <w:rsid w:val="00D85814"/>
    <w:rsid w:val="00D859BA"/>
    <w:rsid w:val="00D85A5F"/>
    <w:rsid w:val="00D85A65"/>
    <w:rsid w:val="00D85CC4"/>
    <w:rsid w:val="00D85CD6"/>
    <w:rsid w:val="00D85D45"/>
    <w:rsid w:val="00D85DC1"/>
    <w:rsid w:val="00D85E11"/>
    <w:rsid w:val="00D8609E"/>
    <w:rsid w:val="00D861A5"/>
    <w:rsid w:val="00D8637D"/>
    <w:rsid w:val="00D865B4"/>
    <w:rsid w:val="00D8669D"/>
    <w:rsid w:val="00D8686D"/>
    <w:rsid w:val="00D8693A"/>
    <w:rsid w:val="00D86963"/>
    <w:rsid w:val="00D869EC"/>
    <w:rsid w:val="00D869FE"/>
    <w:rsid w:val="00D86B4C"/>
    <w:rsid w:val="00D86BAA"/>
    <w:rsid w:val="00D86C9F"/>
    <w:rsid w:val="00D86CC9"/>
    <w:rsid w:val="00D86E50"/>
    <w:rsid w:val="00D86EBE"/>
    <w:rsid w:val="00D86ECB"/>
    <w:rsid w:val="00D8707C"/>
    <w:rsid w:val="00D87446"/>
    <w:rsid w:val="00D8750C"/>
    <w:rsid w:val="00D87694"/>
    <w:rsid w:val="00D878C8"/>
    <w:rsid w:val="00D8795B"/>
    <w:rsid w:val="00D87AB8"/>
    <w:rsid w:val="00D87BA6"/>
    <w:rsid w:val="00D87D39"/>
    <w:rsid w:val="00D87ED6"/>
    <w:rsid w:val="00D87EE3"/>
    <w:rsid w:val="00D90016"/>
    <w:rsid w:val="00D90137"/>
    <w:rsid w:val="00D9022B"/>
    <w:rsid w:val="00D90278"/>
    <w:rsid w:val="00D903A6"/>
    <w:rsid w:val="00D903F4"/>
    <w:rsid w:val="00D90564"/>
    <w:rsid w:val="00D90918"/>
    <w:rsid w:val="00D90989"/>
    <w:rsid w:val="00D90A29"/>
    <w:rsid w:val="00D90AA8"/>
    <w:rsid w:val="00D90CCC"/>
    <w:rsid w:val="00D90E96"/>
    <w:rsid w:val="00D90EB0"/>
    <w:rsid w:val="00D911AC"/>
    <w:rsid w:val="00D915BF"/>
    <w:rsid w:val="00D9163E"/>
    <w:rsid w:val="00D91885"/>
    <w:rsid w:val="00D9192E"/>
    <w:rsid w:val="00D9198B"/>
    <w:rsid w:val="00D919D6"/>
    <w:rsid w:val="00D91BB5"/>
    <w:rsid w:val="00D91EFB"/>
    <w:rsid w:val="00D91F3F"/>
    <w:rsid w:val="00D91FCF"/>
    <w:rsid w:val="00D920EA"/>
    <w:rsid w:val="00D9220D"/>
    <w:rsid w:val="00D922BF"/>
    <w:rsid w:val="00D923F3"/>
    <w:rsid w:val="00D9252D"/>
    <w:rsid w:val="00D925F0"/>
    <w:rsid w:val="00D927ED"/>
    <w:rsid w:val="00D9285B"/>
    <w:rsid w:val="00D92B9B"/>
    <w:rsid w:val="00D92D07"/>
    <w:rsid w:val="00D92D26"/>
    <w:rsid w:val="00D92D40"/>
    <w:rsid w:val="00D92EFB"/>
    <w:rsid w:val="00D92F83"/>
    <w:rsid w:val="00D930AD"/>
    <w:rsid w:val="00D930DF"/>
    <w:rsid w:val="00D930F9"/>
    <w:rsid w:val="00D9362A"/>
    <w:rsid w:val="00D93675"/>
    <w:rsid w:val="00D936A3"/>
    <w:rsid w:val="00D93AAD"/>
    <w:rsid w:val="00D93B42"/>
    <w:rsid w:val="00D93D2F"/>
    <w:rsid w:val="00D93E85"/>
    <w:rsid w:val="00D94014"/>
    <w:rsid w:val="00D94076"/>
    <w:rsid w:val="00D940D9"/>
    <w:rsid w:val="00D9442D"/>
    <w:rsid w:val="00D944C6"/>
    <w:rsid w:val="00D946BE"/>
    <w:rsid w:val="00D94858"/>
    <w:rsid w:val="00D94B95"/>
    <w:rsid w:val="00D94BA1"/>
    <w:rsid w:val="00D94D4C"/>
    <w:rsid w:val="00D95008"/>
    <w:rsid w:val="00D95083"/>
    <w:rsid w:val="00D9511B"/>
    <w:rsid w:val="00D952ED"/>
    <w:rsid w:val="00D954D7"/>
    <w:rsid w:val="00D95A38"/>
    <w:rsid w:val="00D95C51"/>
    <w:rsid w:val="00D95D7D"/>
    <w:rsid w:val="00D95E4F"/>
    <w:rsid w:val="00D95F09"/>
    <w:rsid w:val="00D95F8B"/>
    <w:rsid w:val="00D960BB"/>
    <w:rsid w:val="00D9613A"/>
    <w:rsid w:val="00D9621B"/>
    <w:rsid w:val="00D962C1"/>
    <w:rsid w:val="00D963FA"/>
    <w:rsid w:val="00D964CB"/>
    <w:rsid w:val="00D96693"/>
    <w:rsid w:val="00D966E7"/>
    <w:rsid w:val="00D967A9"/>
    <w:rsid w:val="00D96975"/>
    <w:rsid w:val="00D969EC"/>
    <w:rsid w:val="00D96A1E"/>
    <w:rsid w:val="00D96B32"/>
    <w:rsid w:val="00D96D05"/>
    <w:rsid w:val="00D96D95"/>
    <w:rsid w:val="00D97122"/>
    <w:rsid w:val="00D97231"/>
    <w:rsid w:val="00D972B1"/>
    <w:rsid w:val="00D97320"/>
    <w:rsid w:val="00D974E6"/>
    <w:rsid w:val="00D97520"/>
    <w:rsid w:val="00D97588"/>
    <w:rsid w:val="00D9790F"/>
    <w:rsid w:val="00D97A4B"/>
    <w:rsid w:val="00D97E81"/>
    <w:rsid w:val="00D97F9E"/>
    <w:rsid w:val="00D97FAE"/>
    <w:rsid w:val="00DA0119"/>
    <w:rsid w:val="00DA01CA"/>
    <w:rsid w:val="00DA0392"/>
    <w:rsid w:val="00DA0667"/>
    <w:rsid w:val="00DA078C"/>
    <w:rsid w:val="00DA08C9"/>
    <w:rsid w:val="00DA0A58"/>
    <w:rsid w:val="00DA0B66"/>
    <w:rsid w:val="00DA0DEE"/>
    <w:rsid w:val="00DA0E2D"/>
    <w:rsid w:val="00DA0E7B"/>
    <w:rsid w:val="00DA0FFA"/>
    <w:rsid w:val="00DA105C"/>
    <w:rsid w:val="00DA1183"/>
    <w:rsid w:val="00DA1185"/>
    <w:rsid w:val="00DA119A"/>
    <w:rsid w:val="00DA11A6"/>
    <w:rsid w:val="00DA127E"/>
    <w:rsid w:val="00DA12A4"/>
    <w:rsid w:val="00DA1338"/>
    <w:rsid w:val="00DA135A"/>
    <w:rsid w:val="00DA139E"/>
    <w:rsid w:val="00DA140F"/>
    <w:rsid w:val="00DA16B9"/>
    <w:rsid w:val="00DA1726"/>
    <w:rsid w:val="00DA1796"/>
    <w:rsid w:val="00DA18E9"/>
    <w:rsid w:val="00DA1913"/>
    <w:rsid w:val="00DA1A1A"/>
    <w:rsid w:val="00DA1B49"/>
    <w:rsid w:val="00DA1C85"/>
    <w:rsid w:val="00DA1CD5"/>
    <w:rsid w:val="00DA2258"/>
    <w:rsid w:val="00DA23B1"/>
    <w:rsid w:val="00DA245D"/>
    <w:rsid w:val="00DA2488"/>
    <w:rsid w:val="00DA2531"/>
    <w:rsid w:val="00DA2718"/>
    <w:rsid w:val="00DA2788"/>
    <w:rsid w:val="00DA27B1"/>
    <w:rsid w:val="00DA283E"/>
    <w:rsid w:val="00DA2BDF"/>
    <w:rsid w:val="00DA2D09"/>
    <w:rsid w:val="00DA2EE9"/>
    <w:rsid w:val="00DA2F00"/>
    <w:rsid w:val="00DA2F46"/>
    <w:rsid w:val="00DA2F5D"/>
    <w:rsid w:val="00DA2FF0"/>
    <w:rsid w:val="00DA3246"/>
    <w:rsid w:val="00DA344B"/>
    <w:rsid w:val="00DA3689"/>
    <w:rsid w:val="00DA3786"/>
    <w:rsid w:val="00DA379E"/>
    <w:rsid w:val="00DA3B16"/>
    <w:rsid w:val="00DA3B1B"/>
    <w:rsid w:val="00DA3CD6"/>
    <w:rsid w:val="00DA3D0A"/>
    <w:rsid w:val="00DA3D0C"/>
    <w:rsid w:val="00DA3E76"/>
    <w:rsid w:val="00DA4025"/>
    <w:rsid w:val="00DA42F1"/>
    <w:rsid w:val="00DA4417"/>
    <w:rsid w:val="00DA4474"/>
    <w:rsid w:val="00DA4617"/>
    <w:rsid w:val="00DA4695"/>
    <w:rsid w:val="00DA4890"/>
    <w:rsid w:val="00DA4952"/>
    <w:rsid w:val="00DA4A3D"/>
    <w:rsid w:val="00DA4D06"/>
    <w:rsid w:val="00DA4D0E"/>
    <w:rsid w:val="00DA4F23"/>
    <w:rsid w:val="00DA5001"/>
    <w:rsid w:val="00DA5471"/>
    <w:rsid w:val="00DA5637"/>
    <w:rsid w:val="00DA565C"/>
    <w:rsid w:val="00DA5691"/>
    <w:rsid w:val="00DA58D9"/>
    <w:rsid w:val="00DA58FA"/>
    <w:rsid w:val="00DA5937"/>
    <w:rsid w:val="00DA5A1F"/>
    <w:rsid w:val="00DA5A3C"/>
    <w:rsid w:val="00DA5C60"/>
    <w:rsid w:val="00DA5D46"/>
    <w:rsid w:val="00DA5E2E"/>
    <w:rsid w:val="00DA5F1D"/>
    <w:rsid w:val="00DA603C"/>
    <w:rsid w:val="00DA6331"/>
    <w:rsid w:val="00DA64EB"/>
    <w:rsid w:val="00DA6752"/>
    <w:rsid w:val="00DA6884"/>
    <w:rsid w:val="00DA68AE"/>
    <w:rsid w:val="00DA69B7"/>
    <w:rsid w:val="00DA69BC"/>
    <w:rsid w:val="00DA6A27"/>
    <w:rsid w:val="00DA6A57"/>
    <w:rsid w:val="00DA6BCA"/>
    <w:rsid w:val="00DA6C60"/>
    <w:rsid w:val="00DA6EFB"/>
    <w:rsid w:val="00DA6F41"/>
    <w:rsid w:val="00DA6F50"/>
    <w:rsid w:val="00DA7053"/>
    <w:rsid w:val="00DA7150"/>
    <w:rsid w:val="00DA741C"/>
    <w:rsid w:val="00DA7535"/>
    <w:rsid w:val="00DA78C2"/>
    <w:rsid w:val="00DA7A42"/>
    <w:rsid w:val="00DA7DD1"/>
    <w:rsid w:val="00DA7E36"/>
    <w:rsid w:val="00DA7E64"/>
    <w:rsid w:val="00DA7FD0"/>
    <w:rsid w:val="00DB0356"/>
    <w:rsid w:val="00DB038F"/>
    <w:rsid w:val="00DB0405"/>
    <w:rsid w:val="00DB0413"/>
    <w:rsid w:val="00DB0466"/>
    <w:rsid w:val="00DB04A0"/>
    <w:rsid w:val="00DB06C7"/>
    <w:rsid w:val="00DB06DA"/>
    <w:rsid w:val="00DB08A1"/>
    <w:rsid w:val="00DB09AC"/>
    <w:rsid w:val="00DB0A80"/>
    <w:rsid w:val="00DB0BE9"/>
    <w:rsid w:val="00DB0CD7"/>
    <w:rsid w:val="00DB10EB"/>
    <w:rsid w:val="00DB12BE"/>
    <w:rsid w:val="00DB16A2"/>
    <w:rsid w:val="00DB19BE"/>
    <w:rsid w:val="00DB1A1C"/>
    <w:rsid w:val="00DB1CEA"/>
    <w:rsid w:val="00DB1D8C"/>
    <w:rsid w:val="00DB201B"/>
    <w:rsid w:val="00DB2177"/>
    <w:rsid w:val="00DB21FC"/>
    <w:rsid w:val="00DB22A0"/>
    <w:rsid w:val="00DB23BB"/>
    <w:rsid w:val="00DB23E5"/>
    <w:rsid w:val="00DB265F"/>
    <w:rsid w:val="00DB2660"/>
    <w:rsid w:val="00DB266A"/>
    <w:rsid w:val="00DB26BC"/>
    <w:rsid w:val="00DB2851"/>
    <w:rsid w:val="00DB292D"/>
    <w:rsid w:val="00DB2AAC"/>
    <w:rsid w:val="00DB2C0C"/>
    <w:rsid w:val="00DB2C83"/>
    <w:rsid w:val="00DB2E47"/>
    <w:rsid w:val="00DB307B"/>
    <w:rsid w:val="00DB30B0"/>
    <w:rsid w:val="00DB30EE"/>
    <w:rsid w:val="00DB3289"/>
    <w:rsid w:val="00DB333C"/>
    <w:rsid w:val="00DB33F2"/>
    <w:rsid w:val="00DB3676"/>
    <w:rsid w:val="00DB3747"/>
    <w:rsid w:val="00DB3878"/>
    <w:rsid w:val="00DB395C"/>
    <w:rsid w:val="00DB3A26"/>
    <w:rsid w:val="00DB3A60"/>
    <w:rsid w:val="00DB3CC7"/>
    <w:rsid w:val="00DB3F85"/>
    <w:rsid w:val="00DB3F87"/>
    <w:rsid w:val="00DB4095"/>
    <w:rsid w:val="00DB41F7"/>
    <w:rsid w:val="00DB42C3"/>
    <w:rsid w:val="00DB454B"/>
    <w:rsid w:val="00DB455F"/>
    <w:rsid w:val="00DB473C"/>
    <w:rsid w:val="00DB4768"/>
    <w:rsid w:val="00DB48B4"/>
    <w:rsid w:val="00DB4949"/>
    <w:rsid w:val="00DB496D"/>
    <w:rsid w:val="00DB4AA4"/>
    <w:rsid w:val="00DB4B2D"/>
    <w:rsid w:val="00DB4B51"/>
    <w:rsid w:val="00DB4C1A"/>
    <w:rsid w:val="00DB4D07"/>
    <w:rsid w:val="00DB4FBF"/>
    <w:rsid w:val="00DB517E"/>
    <w:rsid w:val="00DB5193"/>
    <w:rsid w:val="00DB5273"/>
    <w:rsid w:val="00DB536D"/>
    <w:rsid w:val="00DB5438"/>
    <w:rsid w:val="00DB5443"/>
    <w:rsid w:val="00DB557A"/>
    <w:rsid w:val="00DB57E3"/>
    <w:rsid w:val="00DB596D"/>
    <w:rsid w:val="00DB599F"/>
    <w:rsid w:val="00DB5A43"/>
    <w:rsid w:val="00DB5AC1"/>
    <w:rsid w:val="00DB5D7A"/>
    <w:rsid w:val="00DB5F04"/>
    <w:rsid w:val="00DB5F13"/>
    <w:rsid w:val="00DB5F73"/>
    <w:rsid w:val="00DB60E8"/>
    <w:rsid w:val="00DB61D7"/>
    <w:rsid w:val="00DB61F5"/>
    <w:rsid w:val="00DB61F6"/>
    <w:rsid w:val="00DB6223"/>
    <w:rsid w:val="00DB62E4"/>
    <w:rsid w:val="00DB630E"/>
    <w:rsid w:val="00DB65B5"/>
    <w:rsid w:val="00DB6949"/>
    <w:rsid w:val="00DB6A69"/>
    <w:rsid w:val="00DB6BCA"/>
    <w:rsid w:val="00DB6D8A"/>
    <w:rsid w:val="00DB6EA9"/>
    <w:rsid w:val="00DB6EF4"/>
    <w:rsid w:val="00DB6FB1"/>
    <w:rsid w:val="00DB6FFA"/>
    <w:rsid w:val="00DB7088"/>
    <w:rsid w:val="00DB71BC"/>
    <w:rsid w:val="00DB7354"/>
    <w:rsid w:val="00DB73EB"/>
    <w:rsid w:val="00DB74FC"/>
    <w:rsid w:val="00DB7877"/>
    <w:rsid w:val="00DB7882"/>
    <w:rsid w:val="00DB788F"/>
    <w:rsid w:val="00DB7B7F"/>
    <w:rsid w:val="00DB7C9D"/>
    <w:rsid w:val="00DB7DE4"/>
    <w:rsid w:val="00DC01D3"/>
    <w:rsid w:val="00DC01EB"/>
    <w:rsid w:val="00DC0294"/>
    <w:rsid w:val="00DC02AE"/>
    <w:rsid w:val="00DC0332"/>
    <w:rsid w:val="00DC03CC"/>
    <w:rsid w:val="00DC05EE"/>
    <w:rsid w:val="00DC0C34"/>
    <w:rsid w:val="00DC0C9F"/>
    <w:rsid w:val="00DC0E7F"/>
    <w:rsid w:val="00DC1253"/>
    <w:rsid w:val="00DC12A5"/>
    <w:rsid w:val="00DC147B"/>
    <w:rsid w:val="00DC14C3"/>
    <w:rsid w:val="00DC1502"/>
    <w:rsid w:val="00DC1834"/>
    <w:rsid w:val="00DC1A21"/>
    <w:rsid w:val="00DC1A63"/>
    <w:rsid w:val="00DC1CDC"/>
    <w:rsid w:val="00DC1D5A"/>
    <w:rsid w:val="00DC1E05"/>
    <w:rsid w:val="00DC1F1D"/>
    <w:rsid w:val="00DC1F30"/>
    <w:rsid w:val="00DC2057"/>
    <w:rsid w:val="00DC20F9"/>
    <w:rsid w:val="00DC217A"/>
    <w:rsid w:val="00DC21AF"/>
    <w:rsid w:val="00DC2283"/>
    <w:rsid w:val="00DC256B"/>
    <w:rsid w:val="00DC25DC"/>
    <w:rsid w:val="00DC268F"/>
    <w:rsid w:val="00DC26D8"/>
    <w:rsid w:val="00DC2CDB"/>
    <w:rsid w:val="00DC2DFF"/>
    <w:rsid w:val="00DC2FF9"/>
    <w:rsid w:val="00DC31AD"/>
    <w:rsid w:val="00DC31B0"/>
    <w:rsid w:val="00DC3209"/>
    <w:rsid w:val="00DC3245"/>
    <w:rsid w:val="00DC32E3"/>
    <w:rsid w:val="00DC331F"/>
    <w:rsid w:val="00DC351D"/>
    <w:rsid w:val="00DC35E5"/>
    <w:rsid w:val="00DC39B6"/>
    <w:rsid w:val="00DC3AE4"/>
    <w:rsid w:val="00DC3B29"/>
    <w:rsid w:val="00DC3C4A"/>
    <w:rsid w:val="00DC3CE5"/>
    <w:rsid w:val="00DC3D11"/>
    <w:rsid w:val="00DC3EEB"/>
    <w:rsid w:val="00DC40CF"/>
    <w:rsid w:val="00DC4296"/>
    <w:rsid w:val="00DC42FC"/>
    <w:rsid w:val="00DC466E"/>
    <w:rsid w:val="00DC46C9"/>
    <w:rsid w:val="00DC4793"/>
    <w:rsid w:val="00DC498A"/>
    <w:rsid w:val="00DC49AE"/>
    <w:rsid w:val="00DC4B51"/>
    <w:rsid w:val="00DC4D28"/>
    <w:rsid w:val="00DC4DBC"/>
    <w:rsid w:val="00DC4DC2"/>
    <w:rsid w:val="00DC4FA9"/>
    <w:rsid w:val="00DC4FB5"/>
    <w:rsid w:val="00DC5207"/>
    <w:rsid w:val="00DC527B"/>
    <w:rsid w:val="00DC530B"/>
    <w:rsid w:val="00DC53BC"/>
    <w:rsid w:val="00DC5457"/>
    <w:rsid w:val="00DC54C2"/>
    <w:rsid w:val="00DC54C6"/>
    <w:rsid w:val="00DC54EE"/>
    <w:rsid w:val="00DC5534"/>
    <w:rsid w:val="00DC55AF"/>
    <w:rsid w:val="00DC5813"/>
    <w:rsid w:val="00DC5D95"/>
    <w:rsid w:val="00DC6271"/>
    <w:rsid w:val="00DC62D5"/>
    <w:rsid w:val="00DC62FD"/>
    <w:rsid w:val="00DC6511"/>
    <w:rsid w:val="00DC6594"/>
    <w:rsid w:val="00DC6A94"/>
    <w:rsid w:val="00DC6B4A"/>
    <w:rsid w:val="00DC6B56"/>
    <w:rsid w:val="00DC6B75"/>
    <w:rsid w:val="00DC6B9E"/>
    <w:rsid w:val="00DC6C3C"/>
    <w:rsid w:val="00DC6DCD"/>
    <w:rsid w:val="00DC6E91"/>
    <w:rsid w:val="00DC6F9C"/>
    <w:rsid w:val="00DC719A"/>
    <w:rsid w:val="00DC7270"/>
    <w:rsid w:val="00DC73E9"/>
    <w:rsid w:val="00DC7426"/>
    <w:rsid w:val="00DC74FC"/>
    <w:rsid w:val="00DC766A"/>
    <w:rsid w:val="00DC7750"/>
    <w:rsid w:val="00DC7853"/>
    <w:rsid w:val="00DC78BE"/>
    <w:rsid w:val="00DC790F"/>
    <w:rsid w:val="00DC793F"/>
    <w:rsid w:val="00DC7B3A"/>
    <w:rsid w:val="00DC7C1F"/>
    <w:rsid w:val="00DC7F15"/>
    <w:rsid w:val="00DC7F2A"/>
    <w:rsid w:val="00DC7FDB"/>
    <w:rsid w:val="00DD010E"/>
    <w:rsid w:val="00DD0226"/>
    <w:rsid w:val="00DD0255"/>
    <w:rsid w:val="00DD02B8"/>
    <w:rsid w:val="00DD0380"/>
    <w:rsid w:val="00DD03D6"/>
    <w:rsid w:val="00DD0560"/>
    <w:rsid w:val="00DD05C1"/>
    <w:rsid w:val="00DD0696"/>
    <w:rsid w:val="00DD070B"/>
    <w:rsid w:val="00DD0899"/>
    <w:rsid w:val="00DD08B9"/>
    <w:rsid w:val="00DD0C3C"/>
    <w:rsid w:val="00DD0CD1"/>
    <w:rsid w:val="00DD0D17"/>
    <w:rsid w:val="00DD0D29"/>
    <w:rsid w:val="00DD0E91"/>
    <w:rsid w:val="00DD0E9C"/>
    <w:rsid w:val="00DD0FBF"/>
    <w:rsid w:val="00DD1083"/>
    <w:rsid w:val="00DD10FA"/>
    <w:rsid w:val="00DD122F"/>
    <w:rsid w:val="00DD1269"/>
    <w:rsid w:val="00DD163F"/>
    <w:rsid w:val="00DD1740"/>
    <w:rsid w:val="00DD1833"/>
    <w:rsid w:val="00DD1890"/>
    <w:rsid w:val="00DD196B"/>
    <w:rsid w:val="00DD19E2"/>
    <w:rsid w:val="00DD1AED"/>
    <w:rsid w:val="00DD1B12"/>
    <w:rsid w:val="00DD1B54"/>
    <w:rsid w:val="00DD1B8A"/>
    <w:rsid w:val="00DD1B95"/>
    <w:rsid w:val="00DD1BF6"/>
    <w:rsid w:val="00DD1C22"/>
    <w:rsid w:val="00DD1CA7"/>
    <w:rsid w:val="00DD1D19"/>
    <w:rsid w:val="00DD1D5D"/>
    <w:rsid w:val="00DD1F2B"/>
    <w:rsid w:val="00DD1FE7"/>
    <w:rsid w:val="00DD1FF4"/>
    <w:rsid w:val="00DD223E"/>
    <w:rsid w:val="00DD2286"/>
    <w:rsid w:val="00DD2291"/>
    <w:rsid w:val="00DD2447"/>
    <w:rsid w:val="00DD2511"/>
    <w:rsid w:val="00DD25DE"/>
    <w:rsid w:val="00DD27AA"/>
    <w:rsid w:val="00DD2868"/>
    <w:rsid w:val="00DD2BD8"/>
    <w:rsid w:val="00DD2E24"/>
    <w:rsid w:val="00DD2E92"/>
    <w:rsid w:val="00DD2E94"/>
    <w:rsid w:val="00DD2EB0"/>
    <w:rsid w:val="00DD2F0D"/>
    <w:rsid w:val="00DD2FA4"/>
    <w:rsid w:val="00DD3125"/>
    <w:rsid w:val="00DD3428"/>
    <w:rsid w:val="00DD34A8"/>
    <w:rsid w:val="00DD3568"/>
    <w:rsid w:val="00DD35D0"/>
    <w:rsid w:val="00DD3964"/>
    <w:rsid w:val="00DD3AAF"/>
    <w:rsid w:val="00DD3BD8"/>
    <w:rsid w:val="00DD3C34"/>
    <w:rsid w:val="00DD3CC7"/>
    <w:rsid w:val="00DD3CF8"/>
    <w:rsid w:val="00DD3E5E"/>
    <w:rsid w:val="00DD3E9B"/>
    <w:rsid w:val="00DD3F5E"/>
    <w:rsid w:val="00DD4091"/>
    <w:rsid w:val="00DD414E"/>
    <w:rsid w:val="00DD41F5"/>
    <w:rsid w:val="00DD4335"/>
    <w:rsid w:val="00DD436A"/>
    <w:rsid w:val="00DD441E"/>
    <w:rsid w:val="00DD458C"/>
    <w:rsid w:val="00DD46EB"/>
    <w:rsid w:val="00DD46F9"/>
    <w:rsid w:val="00DD48EF"/>
    <w:rsid w:val="00DD48F4"/>
    <w:rsid w:val="00DD4A16"/>
    <w:rsid w:val="00DD4DCA"/>
    <w:rsid w:val="00DD4DD2"/>
    <w:rsid w:val="00DD4F13"/>
    <w:rsid w:val="00DD4F2B"/>
    <w:rsid w:val="00DD4F99"/>
    <w:rsid w:val="00DD4FC0"/>
    <w:rsid w:val="00DD51B8"/>
    <w:rsid w:val="00DD533D"/>
    <w:rsid w:val="00DD53C5"/>
    <w:rsid w:val="00DD5431"/>
    <w:rsid w:val="00DD5494"/>
    <w:rsid w:val="00DD552C"/>
    <w:rsid w:val="00DD5958"/>
    <w:rsid w:val="00DD59B0"/>
    <w:rsid w:val="00DD5CC2"/>
    <w:rsid w:val="00DD5EDA"/>
    <w:rsid w:val="00DD5FE9"/>
    <w:rsid w:val="00DD6073"/>
    <w:rsid w:val="00DD61F3"/>
    <w:rsid w:val="00DD6249"/>
    <w:rsid w:val="00DD6275"/>
    <w:rsid w:val="00DD62B8"/>
    <w:rsid w:val="00DD63CA"/>
    <w:rsid w:val="00DD63FD"/>
    <w:rsid w:val="00DD64E3"/>
    <w:rsid w:val="00DD66EA"/>
    <w:rsid w:val="00DD6734"/>
    <w:rsid w:val="00DD67A4"/>
    <w:rsid w:val="00DD6AFB"/>
    <w:rsid w:val="00DD6CCF"/>
    <w:rsid w:val="00DD6E1C"/>
    <w:rsid w:val="00DD714F"/>
    <w:rsid w:val="00DD72DB"/>
    <w:rsid w:val="00DD732C"/>
    <w:rsid w:val="00DD7398"/>
    <w:rsid w:val="00DD7577"/>
    <w:rsid w:val="00DD7590"/>
    <w:rsid w:val="00DD7596"/>
    <w:rsid w:val="00DD75F4"/>
    <w:rsid w:val="00DD76E2"/>
    <w:rsid w:val="00DD77F5"/>
    <w:rsid w:val="00DD78CB"/>
    <w:rsid w:val="00DD790F"/>
    <w:rsid w:val="00DD7B2C"/>
    <w:rsid w:val="00DD7C74"/>
    <w:rsid w:val="00DD7C87"/>
    <w:rsid w:val="00DD7CFF"/>
    <w:rsid w:val="00DD7D18"/>
    <w:rsid w:val="00DD7E85"/>
    <w:rsid w:val="00DD7F20"/>
    <w:rsid w:val="00DD7F6F"/>
    <w:rsid w:val="00DE01B2"/>
    <w:rsid w:val="00DE01ED"/>
    <w:rsid w:val="00DE04A6"/>
    <w:rsid w:val="00DE0530"/>
    <w:rsid w:val="00DE05A8"/>
    <w:rsid w:val="00DE0752"/>
    <w:rsid w:val="00DE083F"/>
    <w:rsid w:val="00DE08A1"/>
    <w:rsid w:val="00DE08BF"/>
    <w:rsid w:val="00DE0A9F"/>
    <w:rsid w:val="00DE0BC0"/>
    <w:rsid w:val="00DE0CFE"/>
    <w:rsid w:val="00DE0D17"/>
    <w:rsid w:val="00DE0FFD"/>
    <w:rsid w:val="00DE1527"/>
    <w:rsid w:val="00DE1541"/>
    <w:rsid w:val="00DE15E4"/>
    <w:rsid w:val="00DE15FD"/>
    <w:rsid w:val="00DE1620"/>
    <w:rsid w:val="00DE16A5"/>
    <w:rsid w:val="00DE1771"/>
    <w:rsid w:val="00DE180F"/>
    <w:rsid w:val="00DE186B"/>
    <w:rsid w:val="00DE187E"/>
    <w:rsid w:val="00DE1B29"/>
    <w:rsid w:val="00DE1CB1"/>
    <w:rsid w:val="00DE1DDC"/>
    <w:rsid w:val="00DE1E18"/>
    <w:rsid w:val="00DE1E26"/>
    <w:rsid w:val="00DE1F90"/>
    <w:rsid w:val="00DE1FE4"/>
    <w:rsid w:val="00DE2103"/>
    <w:rsid w:val="00DE266A"/>
    <w:rsid w:val="00DE27EA"/>
    <w:rsid w:val="00DE29FF"/>
    <w:rsid w:val="00DE2A56"/>
    <w:rsid w:val="00DE2A6D"/>
    <w:rsid w:val="00DE2ACE"/>
    <w:rsid w:val="00DE2B3F"/>
    <w:rsid w:val="00DE2B41"/>
    <w:rsid w:val="00DE2B9E"/>
    <w:rsid w:val="00DE2E33"/>
    <w:rsid w:val="00DE2FFE"/>
    <w:rsid w:val="00DE3066"/>
    <w:rsid w:val="00DE331A"/>
    <w:rsid w:val="00DE341B"/>
    <w:rsid w:val="00DE3652"/>
    <w:rsid w:val="00DE3754"/>
    <w:rsid w:val="00DE3760"/>
    <w:rsid w:val="00DE3876"/>
    <w:rsid w:val="00DE3A03"/>
    <w:rsid w:val="00DE3B8E"/>
    <w:rsid w:val="00DE3B9C"/>
    <w:rsid w:val="00DE3C1B"/>
    <w:rsid w:val="00DE40E0"/>
    <w:rsid w:val="00DE427A"/>
    <w:rsid w:val="00DE4299"/>
    <w:rsid w:val="00DE42E7"/>
    <w:rsid w:val="00DE4340"/>
    <w:rsid w:val="00DE467D"/>
    <w:rsid w:val="00DE46CE"/>
    <w:rsid w:val="00DE4705"/>
    <w:rsid w:val="00DE4717"/>
    <w:rsid w:val="00DE4741"/>
    <w:rsid w:val="00DE4890"/>
    <w:rsid w:val="00DE4B40"/>
    <w:rsid w:val="00DE4B47"/>
    <w:rsid w:val="00DE4BB4"/>
    <w:rsid w:val="00DE4D6E"/>
    <w:rsid w:val="00DE4F65"/>
    <w:rsid w:val="00DE4FD5"/>
    <w:rsid w:val="00DE5134"/>
    <w:rsid w:val="00DE51E7"/>
    <w:rsid w:val="00DE5252"/>
    <w:rsid w:val="00DE52EB"/>
    <w:rsid w:val="00DE532F"/>
    <w:rsid w:val="00DE5361"/>
    <w:rsid w:val="00DE5403"/>
    <w:rsid w:val="00DE566A"/>
    <w:rsid w:val="00DE568B"/>
    <w:rsid w:val="00DE56CC"/>
    <w:rsid w:val="00DE57D5"/>
    <w:rsid w:val="00DE5833"/>
    <w:rsid w:val="00DE58BD"/>
    <w:rsid w:val="00DE59B8"/>
    <w:rsid w:val="00DE5AD7"/>
    <w:rsid w:val="00DE5AEC"/>
    <w:rsid w:val="00DE5C2B"/>
    <w:rsid w:val="00DE5C3B"/>
    <w:rsid w:val="00DE5EAE"/>
    <w:rsid w:val="00DE5FA4"/>
    <w:rsid w:val="00DE60CD"/>
    <w:rsid w:val="00DE6281"/>
    <w:rsid w:val="00DE637B"/>
    <w:rsid w:val="00DE6385"/>
    <w:rsid w:val="00DE63EB"/>
    <w:rsid w:val="00DE6400"/>
    <w:rsid w:val="00DE67EA"/>
    <w:rsid w:val="00DE67EE"/>
    <w:rsid w:val="00DE67F5"/>
    <w:rsid w:val="00DE682B"/>
    <w:rsid w:val="00DE6946"/>
    <w:rsid w:val="00DE6D2D"/>
    <w:rsid w:val="00DE6E07"/>
    <w:rsid w:val="00DE6EB7"/>
    <w:rsid w:val="00DE6FB0"/>
    <w:rsid w:val="00DE7054"/>
    <w:rsid w:val="00DE7078"/>
    <w:rsid w:val="00DE709E"/>
    <w:rsid w:val="00DE731B"/>
    <w:rsid w:val="00DE73C4"/>
    <w:rsid w:val="00DE751E"/>
    <w:rsid w:val="00DE7568"/>
    <w:rsid w:val="00DE75B5"/>
    <w:rsid w:val="00DE76B7"/>
    <w:rsid w:val="00DE77A6"/>
    <w:rsid w:val="00DE79A0"/>
    <w:rsid w:val="00DE7B64"/>
    <w:rsid w:val="00DE7B9C"/>
    <w:rsid w:val="00DE7CC9"/>
    <w:rsid w:val="00DE7DF2"/>
    <w:rsid w:val="00DF0213"/>
    <w:rsid w:val="00DF02D9"/>
    <w:rsid w:val="00DF0470"/>
    <w:rsid w:val="00DF04DC"/>
    <w:rsid w:val="00DF04EB"/>
    <w:rsid w:val="00DF0599"/>
    <w:rsid w:val="00DF05BC"/>
    <w:rsid w:val="00DF07CC"/>
    <w:rsid w:val="00DF07D1"/>
    <w:rsid w:val="00DF0811"/>
    <w:rsid w:val="00DF08BD"/>
    <w:rsid w:val="00DF08FA"/>
    <w:rsid w:val="00DF0995"/>
    <w:rsid w:val="00DF0ADC"/>
    <w:rsid w:val="00DF0BA6"/>
    <w:rsid w:val="00DF0BB0"/>
    <w:rsid w:val="00DF0C7E"/>
    <w:rsid w:val="00DF0CCA"/>
    <w:rsid w:val="00DF0CFB"/>
    <w:rsid w:val="00DF0D27"/>
    <w:rsid w:val="00DF0D29"/>
    <w:rsid w:val="00DF0D38"/>
    <w:rsid w:val="00DF0D66"/>
    <w:rsid w:val="00DF0DE9"/>
    <w:rsid w:val="00DF0E2A"/>
    <w:rsid w:val="00DF0EF4"/>
    <w:rsid w:val="00DF0F26"/>
    <w:rsid w:val="00DF0F63"/>
    <w:rsid w:val="00DF0FE1"/>
    <w:rsid w:val="00DF103D"/>
    <w:rsid w:val="00DF1043"/>
    <w:rsid w:val="00DF10A8"/>
    <w:rsid w:val="00DF1149"/>
    <w:rsid w:val="00DF119D"/>
    <w:rsid w:val="00DF11EC"/>
    <w:rsid w:val="00DF1299"/>
    <w:rsid w:val="00DF12C7"/>
    <w:rsid w:val="00DF147F"/>
    <w:rsid w:val="00DF14A6"/>
    <w:rsid w:val="00DF1652"/>
    <w:rsid w:val="00DF19A1"/>
    <w:rsid w:val="00DF1A25"/>
    <w:rsid w:val="00DF1A2C"/>
    <w:rsid w:val="00DF1A8E"/>
    <w:rsid w:val="00DF1B78"/>
    <w:rsid w:val="00DF1BD1"/>
    <w:rsid w:val="00DF1C9F"/>
    <w:rsid w:val="00DF1D0E"/>
    <w:rsid w:val="00DF1D13"/>
    <w:rsid w:val="00DF1DE6"/>
    <w:rsid w:val="00DF1E19"/>
    <w:rsid w:val="00DF2064"/>
    <w:rsid w:val="00DF20F0"/>
    <w:rsid w:val="00DF2675"/>
    <w:rsid w:val="00DF26A2"/>
    <w:rsid w:val="00DF271B"/>
    <w:rsid w:val="00DF278B"/>
    <w:rsid w:val="00DF2808"/>
    <w:rsid w:val="00DF28E1"/>
    <w:rsid w:val="00DF2959"/>
    <w:rsid w:val="00DF2962"/>
    <w:rsid w:val="00DF296B"/>
    <w:rsid w:val="00DF29CB"/>
    <w:rsid w:val="00DF2B6E"/>
    <w:rsid w:val="00DF2B9F"/>
    <w:rsid w:val="00DF2BBA"/>
    <w:rsid w:val="00DF2C92"/>
    <w:rsid w:val="00DF2D9E"/>
    <w:rsid w:val="00DF2E34"/>
    <w:rsid w:val="00DF2EA0"/>
    <w:rsid w:val="00DF2FFA"/>
    <w:rsid w:val="00DF3071"/>
    <w:rsid w:val="00DF3203"/>
    <w:rsid w:val="00DF3351"/>
    <w:rsid w:val="00DF33EF"/>
    <w:rsid w:val="00DF35DA"/>
    <w:rsid w:val="00DF3759"/>
    <w:rsid w:val="00DF3825"/>
    <w:rsid w:val="00DF384C"/>
    <w:rsid w:val="00DF3C6C"/>
    <w:rsid w:val="00DF3D35"/>
    <w:rsid w:val="00DF3E5E"/>
    <w:rsid w:val="00DF3E91"/>
    <w:rsid w:val="00DF3F45"/>
    <w:rsid w:val="00DF411A"/>
    <w:rsid w:val="00DF41D6"/>
    <w:rsid w:val="00DF4296"/>
    <w:rsid w:val="00DF43E9"/>
    <w:rsid w:val="00DF4476"/>
    <w:rsid w:val="00DF4513"/>
    <w:rsid w:val="00DF45F2"/>
    <w:rsid w:val="00DF4737"/>
    <w:rsid w:val="00DF4771"/>
    <w:rsid w:val="00DF4820"/>
    <w:rsid w:val="00DF48CB"/>
    <w:rsid w:val="00DF48E3"/>
    <w:rsid w:val="00DF49A2"/>
    <w:rsid w:val="00DF4B9D"/>
    <w:rsid w:val="00DF4C5C"/>
    <w:rsid w:val="00DF4D77"/>
    <w:rsid w:val="00DF4E12"/>
    <w:rsid w:val="00DF4E45"/>
    <w:rsid w:val="00DF4EAE"/>
    <w:rsid w:val="00DF51D7"/>
    <w:rsid w:val="00DF5222"/>
    <w:rsid w:val="00DF53E0"/>
    <w:rsid w:val="00DF54FF"/>
    <w:rsid w:val="00DF58FA"/>
    <w:rsid w:val="00DF5977"/>
    <w:rsid w:val="00DF5A90"/>
    <w:rsid w:val="00DF5AD5"/>
    <w:rsid w:val="00DF5B2E"/>
    <w:rsid w:val="00DF5DF7"/>
    <w:rsid w:val="00DF5E17"/>
    <w:rsid w:val="00DF6068"/>
    <w:rsid w:val="00DF6074"/>
    <w:rsid w:val="00DF61D8"/>
    <w:rsid w:val="00DF6286"/>
    <w:rsid w:val="00DF65AE"/>
    <w:rsid w:val="00DF682E"/>
    <w:rsid w:val="00DF6937"/>
    <w:rsid w:val="00DF69B3"/>
    <w:rsid w:val="00DF69CE"/>
    <w:rsid w:val="00DF69F4"/>
    <w:rsid w:val="00DF6A33"/>
    <w:rsid w:val="00DF6BF7"/>
    <w:rsid w:val="00DF6E7E"/>
    <w:rsid w:val="00DF6F1A"/>
    <w:rsid w:val="00DF7046"/>
    <w:rsid w:val="00DF7058"/>
    <w:rsid w:val="00DF70E0"/>
    <w:rsid w:val="00DF7104"/>
    <w:rsid w:val="00DF7183"/>
    <w:rsid w:val="00DF7185"/>
    <w:rsid w:val="00DF71C7"/>
    <w:rsid w:val="00DF71E2"/>
    <w:rsid w:val="00DF72BE"/>
    <w:rsid w:val="00DF72CA"/>
    <w:rsid w:val="00DF750A"/>
    <w:rsid w:val="00DF7532"/>
    <w:rsid w:val="00DF770D"/>
    <w:rsid w:val="00DF7780"/>
    <w:rsid w:val="00DF7909"/>
    <w:rsid w:val="00DF79FC"/>
    <w:rsid w:val="00DF7A57"/>
    <w:rsid w:val="00DF7AC7"/>
    <w:rsid w:val="00DF7BB3"/>
    <w:rsid w:val="00DF7D33"/>
    <w:rsid w:val="00DF7F35"/>
    <w:rsid w:val="00DF7F77"/>
    <w:rsid w:val="00E00017"/>
    <w:rsid w:val="00E0009E"/>
    <w:rsid w:val="00E002BC"/>
    <w:rsid w:val="00E00392"/>
    <w:rsid w:val="00E003A1"/>
    <w:rsid w:val="00E003B1"/>
    <w:rsid w:val="00E005DE"/>
    <w:rsid w:val="00E005E7"/>
    <w:rsid w:val="00E00644"/>
    <w:rsid w:val="00E00788"/>
    <w:rsid w:val="00E00838"/>
    <w:rsid w:val="00E00A8D"/>
    <w:rsid w:val="00E00A9C"/>
    <w:rsid w:val="00E00ADC"/>
    <w:rsid w:val="00E00B14"/>
    <w:rsid w:val="00E00D7B"/>
    <w:rsid w:val="00E00DBD"/>
    <w:rsid w:val="00E00E67"/>
    <w:rsid w:val="00E00F54"/>
    <w:rsid w:val="00E01186"/>
    <w:rsid w:val="00E0120D"/>
    <w:rsid w:val="00E013EE"/>
    <w:rsid w:val="00E01491"/>
    <w:rsid w:val="00E0168E"/>
    <w:rsid w:val="00E016BC"/>
    <w:rsid w:val="00E01785"/>
    <w:rsid w:val="00E017F4"/>
    <w:rsid w:val="00E01802"/>
    <w:rsid w:val="00E01A4F"/>
    <w:rsid w:val="00E01AF9"/>
    <w:rsid w:val="00E01B34"/>
    <w:rsid w:val="00E01BB1"/>
    <w:rsid w:val="00E01C2B"/>
    <w:rsid w:val="00E01C35"/>
    <w:rsid w:val="00E01D3F"/>
    <w:rsid w:val="00E01ED5"/>
    <w:rsid w:val="00E01F29"/>
    <w:rsid w:val="00E02128"/>
    <w:rsid w:val="00E021F9"/>
    <w:rsid w:val="00E02361"/>
    <w:rsid w:val="00E02773"/>
    <w:rsid w:val="00E02802"/>
    <w:rsid w:val="00E0291C"/>
    <w:rsid w:val="00E029A4"/>
    <w:rsid w:val="00E02BB8"/>
    <w:rsid w:val="00E02F54"/>
    <w:rsid w:val="00E02F6D"/>
    <w:rsid w:val="00E03084"/>
    <w:rsid w:val="00E03133"/>
    <w:rsid w:val="00E032E7"/>
    <w:rsid w:val="00E03393"/>
    <w:rsid w:val="00E033BE"/>
    <w:rsid w:val="00E03469"/>
    <w:rsid w:val="00E03519"/>
    <w:rsid w:val="00E0368C"/>
    <w:rsid w:val="00E037F8"/>
    <w:rsid w:val="00E03828"/>
    <w:rsid w:val="00E03C75"/>
    <w:rsid w:val="00E03D4C"/>
    <w:rsid w:val="00E03D7A"/>
    <w:rsid w:val="00E0406D"/>
    <w:rsid w:val="00E04121"/>
    <w:rsid w:val="00E0416A"/>
    <w:rsid w:val="00E0419E"/>
    <w:rsid w:val="00E0421F"/>
    <w:rsid w:val="00E042B9"/>
    <w:rsid w:val="00E042C8"/>
    <w:rsid w:val="00E0430A"/>
    <w:rsid w:val="00E0465F"/>
    <w:rsid w:val="00E04672"/>
    <w:rsid w:val="00E049DB"/>
    <w:rsid w:val="00E04AD5"/>
    <w:rsid w:val="00E04AEE"/>
    <w:rsid w:val="00E04B5C"/>
    <w:rsid w:val="00E04BCC"/>
    <w:rsid w:val="00E04E12"/>
    <w:rsid w:val="00E05166"/>
    <w:rsid w:val="00E051A8"/>
    <w:rsid w:val="00E051F0"/>
    <w:rsid w:val="00E05246"/>
    <w:rsid w:val="00E05506"/>
    <w:rsid w:val="00E05551"/>
    <w:rsid w:val="00E05821"/>
    <w:rsid w:val="00E05B01"/>
    <w:rsid w:val="00E05B1E"/>
    <w:rsid w:val="00E05E53"/>
    <w:rsid w:val="00E06135"/>
    <w:rsid w:val="00E06188"/>
    <w:rsid w:val="00E06356"/>
    <w:rsid w:val="00E0680C"/>
    <w:rsid w:val="00E068D7"/>
    <w:rsid w:val="00E0698A"/>
    <w:rsid w:val="00E06A79"/>
    <w:rsid w:val="00E06B8A"/>
    <w:rsid w:val="00E06C16"/>
    <w:rsid w:val="00E06D1A"/>
    <w:rsid w:val="00E07281"/>
    <w:rsid w:val="00E0739F"/>
    <w:rsid w:val="00E075C6"/>
    <w:rsid w:val="00E07718"/>
    <w:rsid w:val="00E0783C"/>
    <w:rsid w:val="00E07995"/>
    <w:rsid w:val="00E07BC8"/>
    <w:rsid w:val="00E07C6E"/>
    <w:rsid w:val="00E07C90"/>
    <w:rsid w:val="00E07D6D"/>
    <w:rsid w:val="00E07EA3"/>
    <w:rsid w:val="00E07EFD"/>
    <w:rsid w:val="00E07F42"/>
    <w:rsid w:val="00E07F57"/>
    <w:rsid w:val="00E07FA0"/>
    <w:rsid w:val="00E08B37"/>
    <w:rsid w:val="00E10015"/>
    <w:rsid w:val="00E101C3"/>
    <w:rsid w:val="00E10570"/>
    <w:rsid w:val="00E10723"/>
    <w:rsid w:val="00E10774"/>
    <w:rsid w:val="00E10A79"/>
    <w:rsid w:val="00E10B59"/>
    <w:rsid w:val="00E10BDE"/>
    <w:rsid w:val="00E10CBE"/>
    <w:rsid w:val="00E10DFB"/>
    <w:rsid w:val="00E10E39"/>
    <w:rsid w:val="00E10E68"/>
    <w:rsid w:val="00E10F22"/>
    <w:rsid w:val="00E11001"/>
    <w:rsid w:val="00E1102D"/>
    <w:rsid w:val="00E11114"/>
    <w:rsid w:val="00E11179"/>
    <w:rsid w:val="00E1125A"/>
    <w:rsid w:val="00E114BE"/>
    <w:rsid w:val="00E118AA"/>
    <w:rsid w:val="00E11A89"/>
    <w:rsid w:val="00E11C96"/>
    <w:rsid w:val="00E11CD0"/>
    <w:rsid w:val="00E11CE1"/>
    <w:rsid w:val="00E11E98"/>
    <w:rsid w:val="00E11EDA"/>
    <w:rsid w:val="00E11F77"/>
    <w:rsid w:val="00E120D5"/>
    <w:rsid w:val="00E1226A"/>
    <w:rsid w:val="00E12282"/>
    <w:rsid w:val="00E1242B"/>
    <w:rsid w:val="00E12472"/>
    <w:rsid w:val="00E12484"/>
    <w:rsid w:val="00E1260E"/>
    <w:rsid w:val="00E127FF"/>
    <w:rsid w:val="00E1282C"/>
    <w:rsid w:val="00E129B6"/>
    <w:rsid w:val="00E12A23"/>
    <w:rsid w:val="00E12AEB"/>
    <w:rsid w:val="00E12B8D"/>
    <w:rsid w:val="00E12C07"/>
    <w:rsid w:val="00E12CED"/>
    <w:rsid w:val="00E12CEF"/>
    <w:rsid w:val="00E12D93"/>
    <w:rsid w:val="00E12F73"/>
    <w:rsid w:val="00E13340"/>
    <w:rsid w:val="00E133BB"/>
    <w:rsid w:val="00E134A1"/>
    <w:rsid w:val="00E135EB"/>
    <w:rsid w:val="00E136E0"/>
    <w:rsid w:val="00E1375A"/>
    <w:rsid w:val="00E1385C"/>
    <w:rsid w:val="00E13872"/>
    <w:rsid w:val="00E13AD8"/>
    <w:rsid w:val="00E13C7E"/>
    <w:rsid w:val="00E13E4B"/>
    <w:rsid w:val="00E13EC5"/>
    <w:rsid w:val="00E1408E"/>
    <w:rsid w:val="00E14258"/>
    <w:rsid w:val="00E14269"/>
    <w:rsid w:val="00E143CD"/>
    <w:rsid w:val="00E1456A"/>
    <w:rsid w:val="00E146D5"/>
    <w:rsid w:val="00E1481C"/>
    <w:rsid w:val="00E14B34"/>
    <w:rsid w:val="00E14B5E"/>
    <w:rsid w:val="00E14C3D"/>
    <w:rsid w:val="00E14E25"/>
    <w:rsid w:val="00E14FC2"/>
    <w:rsid w:val="00E1527D"/>
    <w:rsid w:val="00E152C0"/>
    <w:rsid w:val="00E15344"/>
    <w:rsid w:val="00E153A8"/>
    <w:rsid w:val="00E15410"/>
    <w:rsid w:val="00E1547D"/>
    <w:rsid w:val="00E155CD"/>
    <w:rsid w:val="00E1560F"/>
    <w:rsid w:val="00E15770"/>
    <w:rsid w:val="00E157B0"/>
    <w:rsid w:val="00E15829"/>
    <w:rsid w:val="00E159AE"/>
    <w:rsid w:val="00E15D1A"/>
    <w:rsid w:val="00E15E07"/>
    <w:rsid w:val="00E15E0D"/>
    <w:rsid w:val="00E15F2A"/>
    <w:rsid w:val="00E16401"/>
    <w:rsid w:val="00E16C75"/>
    <w:rsid w:val="00E16C85"/>
    <w:rsid w:val="00E16D44"/>
    <w:rsid w:val="00E16DBB"/>
    <w:rsid w:val="00E16E9B"/>
    <w:rsid w:val="00E16F31"/>
    <w:rsid w:val="00E16F32"/>
    <w:rsid w:val="00E171E7"/>
    <w:rsid w:val="00E17266"/>
    <w:rsid w:val="00E1727E"/>
    <w:rsid w:val="00E173C4"/>
    <w:rsid w:val="00E176BD"/>
    <w:rsid w:val="00E1786E"/>
    <w:rsid w:val="00E17A43"/>
    <w:rsid w:val="00E17B90"/>
    <w:rsid w:val="00E17C29"/>
    <w:rsid w:val="00E17C71"/>
    <w:rsid w:val="00E17F7B"/>
    <w:rsid w:val="00E20065"/>
    <w:rsid w:val="00E201BE"/>
    <w:rsid w:val="00E20427"/>
    <w:rsid w:val="00E2079A"/>
    <w:rsid w:val="00E209ED"/>
    <w:rsid w:val="00E20AE4"/>
    <w:rsid w:val="00E20C3F"/>
    <w:rsid w:val="00E20EA7"/>
    <w:rsid w:val="00E21176"/>
    <w:rsid w:val="00E21247"/>
    <w:rsid w:val="00E212DE"/>
    <w:rsid w:val="00E21306"/>
    <w:rsid w:val="00E2132A"/>
    <w:rsid w:val="00E21831"/>
    <w:rsid w:val="00E21961"/>
    <w:rsid w:val="00E21A7A"/>
    <w:rsid w:val="00E21CE8"/>
    <w:rsid w:val="00E21D8E"/>
    <w:rsid w:val="00E21EA5"/>
    <w:rsid w:val="00E21F6D"/>
    <w:rsid w:val="00E21FBD"/>
    <w:rsid w:val="00E226E0"/>
    <w:rsid w:val="00E226E9"/>
    <w:rsid w:val="00E228C4"/>
    <w:rsid w:val="00E228C7"/>
    <w:rsid w:val="00E22A93"/>
    <w:rsid w:val="00E22AEA"/>
    <w:rsid w:val="00E22B9C"/>
    <w:rsid w:val="00E22C0D"/>
    <w:rsid w:val="00E22C80"/>
    <w:rsid w:val="00E22CDD"/>
    <w:rsid w:val="00E23071"/>
    <w:rsid w:val="00E23417"/>
    <w:rsid w:val="00E2365A"/>
    <w:rsid w:val="00E237D0"/>
    <w:rsid w:val="00E2397C"/>
    <w:rsid w:val="00E23987"/>
    <w:rsid w:val="00E239A9"/>
    <w:rsid w:val="00E23A5C"/>
    <w:rsid w:val="00E23A86"/>
    <w:rsid w:val="00E23B57"/>
    <w:rsid w:val="00E23B8F"/>
    <w:rsid w:val="00E23BC5"/>
    <w:rsid w:val="00E23BCE"/>
    <w:rsid w:val="00E2403E"/>
    <w:rsid w:val="00E2457C"/>
    <w:rsid w:val="00E245B1"/>
    <w:rsid w:val="00E24690"/>
    <w:rsid w:val="00E247E5"/>
    <w:rsid w:val="00E2487A"/>
    <w:rsid w:val="00E24956"/>
    <w:rsid w:val="00E24B16"/>
    <w:rsid w:val="00E24CBC"/>
    <w:rsid w:val="00E24CF6"/>
    <w:rsid w:val="00E24D86"/>
    <w:rsid w:val="00E250C7"/>
    <w:rsid w:val="00E250CD"/>
    <w:rsid w:val="00E251A0"/>
    <w:rsid w:val="00E251E0"/>
    <w:rsid w:val="00E252A2"/>
    <w:rsid w:val="00E252FB"/>
    <w:rsid w:val="00E25478"/>
    <w:rsid w:val="00E2592C"/>
    <w:rsid w:val="00E25A03"/>
    <w:rsid w:val="00E25B40"/>
    <w:rsid w:val="00E25B5F"/>
    <w:rsid w:val="00E25C56"/>
    <w:rsid w:val="00E25CE2"/>
    <w:rsid w:val="00E25D40"/>
    <w:rsid w:val="00E25EAC"/>
    <w:rsid w:val="00E25F04"/>
    <w:rsid w:val="00E2614D"/>
    <w:rsid w:val="00E26584"/>
    <w:rsid w:val="00E26788"/>
    <w:rsid w:val="00E26AAF"/>
    <w:rsid w:val="00E26BB4"/>
    <w:rsid w:val="00E27073"/>
    <w:rsid w:val="00E2711E"/>
    <w:rsid w:val="00E272A2"/>
    <w:rsid w:val="00E27426"/>
    <w:rsid w:val="00E27505"/>
    <w:rsid w:val="00E2761A"/>
    <w:rsid w:val="00E27746"/>
    <w:rsid w:val="00E279FF"/>
    <w:rsid w:val="00E27A56"/>
    <w:rsid w:val="00E27A7F"/>
    <w:rsid w:val="00E27B05"/>
    <w:rsid w:val="00E27BB3"/>
    <w:rsid w:val="00E27C6E"/>
    <w:rsid w:val="00E27C74"/>
    <w:rsid w:val="00E2B4D6"/>
    <w:rsid w:val="00E301F2"/>
    <w:rsid w:val="00E302AE"/>
    <w:rsid w:val="00E30311"/>
    <w:rsid w:val="00E3033F"/>
    <w:rsid w:val="00E30467"/>
    <w:rsid w:val="00E3050E"/>
    <w:rsid w:val="00E30524"/>
    <w:rsid w:val="00E30532"/>
    <w:rsid w:val="00E307A0"/>
    <w:rsid w:val="00E30AFD"/>
    <w:rsid w:val="00E30E01"/>
    <w:rsid w:val="00E30F09"/>
    <w:rsid w:val="00E30F1F"/>
    <w:rsid w:val="00E3107C"/>
    <w:rsid w:val="00E31162"/>
    <w:rsid w:val="00E31342"/>
    <w:rsid w:val="00E315FC"/>
    <w:rsid w:val="00E31622"/>
    <w:rsid w:val="00E316B7"/>
    <w:rsid w:val="00E316B8"/>
    <w:rsid w:val="00E31752"/>
    <w:rsid w:val="00E31854"/>
    <w:rsid w:val="00E318A9"/>
    <w:rsid w:val="00E31992"/>
    <w:rsid w:val="00E31B29"/>
    <w:rsid w:val="00E31BE4"/>
    <w:rsid w:val="00E31D36"/>
    <w:rsid w:val="00E31DAD"/>
    <w:rsid w:val="00E31EDD"/>
    <w:rsid w:val="00E31F9A"/>
    <w:rsid w:val="00E32114"/>
    <w:rsid w:val="00E322E0"/>
    <w:rsid w:val="00E32375"/>
    <w:rsid w:val="00E32443"/>
    <w:rsid w:val="00E32577"/>
    <w:rsid w:val="00E325C2"/>
    <w:rsid w:val="00E326A0"/>
    <w:rsid w:val="00E3270E"/>
    <w:rsid w:val="00E32783"/>
    <w:rsid w:val="00E327B2"/>
    <w:rsid w:val="00E327C1"/>
    <w:rsid w:val="00E32B82"/>
    <w:rsid w:val="00E32D42"/>
    <w:rsid w:val="00E32DDD"/>
    <w:rsid w:val="00E32EC1"/>
    <w:rsid w:val="00E33022"/>
    <w:rsid w:val="00E33540"/>
    <w:rsid w:val="00E337AB"/>
    <w:rsid w:val="00E33808"/>
    <w:rsid w:val="00E33A1C"/>
    <w:rsid w:val="00E33AA7"/>
    <w:rsid w:val="00E33B84"/>
    <w:rsid w:val="00E33BFF"/>
    <w:rsid w:val="00E33CDA"/>
    <w:rsid w:val="00E33EF1"/>
    <w:rsid w:val="00E33F8C"/>
    <w:rsid w:val="00E3408B"/>
    <w:rsid w:val="00E340E7"/>
    <w:rsid w:val="00E341C6"/>
    <w:rsid w:val="00E34209"/>
    <w:rsid w:val="00E34259"/>
    <w:rsid w:val="00E3448A"/>
    <w:rsid w:val="00E34522"/>
    <w:rsid w:val="00E3457C"/>
    <w:rsid w:val="00E34631"/>
    <w:rsid w:val="00E346CC"/>
    <w:rsid w:val="00E346DC"/>
    <w:rsid w:val="00E34839"/>
    <w:rsid w:val="00E34932"/>
    <w:rsid w:val="00E34965"/>
    <w:rsid w:val="00E34C42"/>
    <w:rsid w:val="00E34C50"/>
    <w:rsid w:val="00E34CCB"/>
    <w:rsid w:val="00E34DAE"/>
    <w:rsid w:val="00E35066"/>
    <w:rsid w:val="00E350FB"/>
    <w:rsid w:val="00E3518F"/>
    <w:rsid w:val="00E351F9"/>
    <w:rsid w:val="00E3525A"/>
    <w:rsid w:val="00E35294"/>
    <w:rsid w:val="00E353AB"/>
    <w:rsid w:val="00E35588"/>
    <w:rsid w:val="00E35710"/>
    <w:rsid w:val="00E3588E"/>
    <w:rsid w:val="00E35936"/>
    <w:rsid w:val="00E35B6F"/>
    <w:rsid w:val="00E35CB0"/>
    <w:rsid w:val="00E35CBE"/>
    <w:rsid w:val="00E35DC7"/>
    <w:rsid w:val="00E35E3A"/>
    <w:rsid w:val="00E35E5E"/>
    <w:rsid w:val="00E35E6D"/>
    <w:rsid w:val="00E35FF5"/>
    <w:rsid w:val="00E36027"/>
    <w:rsid w:val="00E36132"/>
    <w:rsid w:val="00E361EC"/>
    <w:rsid w:val="00E3645E"/>
    <w:rsid w:val="00E365F1"/>
    <w:rsid w:val="00E36731"/>
    <w:rsid w:val="00E368D9"/>
    <w:rsid w:val="00E368FE"/>
    <w:rsid w:val="00E36A04"/>
    <w:rsid w:val="00E36A2A"/>
    <w:rsid w:val="00E36AA4"/>
    <w:rsid w:val="00E36AD7"/>
    <w:rsid w:val="00E36C61"/>
    <w:rsid w:val="00E36CC8"/>
    <w:rsid w:val="00E36D3A"/>
    <w:rsid w:val="00E36DE6"/>
    <w:rsid w:val="00E36E3B"/>
    <w:rsid w:val="00E36EC0"/>
    <w:rsid w:val="00E37048"/>
    <w:rsid w:val="00E37088"/>
    <w:rsid w:val="00E3718F"/>
    <w:rsid w:val="00E37339"/>
    <w:rsid w:val="00E37539"/>
    <w:rsid w:val="00E3755B"/>
    <w:rsid w:val="00E377A0"/>
    <w:rsid w:val="00E378A2"/>
    <w:rsid w:val="00E3791A"/>
    <w:rsid w:val="00E3794A"/>
    <w:rsid w:val="00E37D52"/>
    <w:rsid w:val="00E37D5E"/>
    <w:rsid w:val="00E37E30"/>
    <w:rsid w:val="00E3D5DE"/>
    <w:rsid w:val="00E40015"/>
    <w:rsid w:val="00E40016"/>
    <w:rsid w:val="00E40104"/>
    <w:rsid w:val="00E4016A"/>
    <w:rsid w:val="00E4028B"/>
    <w:rsid w:val="00E4057E"/>
    <w:rsid w:val="00E4066A"/>
    <w:rsid w:val="00E4066B"/>
    <w:rsid w:val="00E40760"/>
    <w:rsid w:val="00E409E7"/>
    <w:rsid w:val="00E40AD5"/>
    <w:rsid w:val="00E40D25"/>
    <w:rsid w:val="00E40DF8"/>
    <w:rsid w:val="00E40E37"/>
    <w:rsid w:val="00E40EF0"/>
    <w:rsid w:val="00E40FBE"/>
    <w:rsid w:val="00E40FDC"/>
    <w:rsid w:val="00E40FDE"/>
    <w:rsid w:val="00E413B7"/>
    <w:rsid w:val="00E413FA"/>
    <w:rsid w:val="00E414EB"/>
    <w:rsid w:val="00E41519"/>
    <w:rsid w:val="00E41578"/>
    <w:rsid w:val="00E416D2"/>
    <w:rsid w:val="00E41725"/>
    <w:rsid w:val="00E4174A"/>
    <w:rsid w:val="00E41910"/>
    <w:rsid w:val="00E4194D"/>
    <w:rsid w:val="00E41AA0"/>
    <w:rsid w:val="00E41B2B"/>
    <w:rsid w:val="00E41B47"/>
    <w:rsid w:val="00E41C18"/>
    <w:rsid w:val="00E41C1D"/>
    <w:rsid w:val="00E41CB1"/>
    <w:rsid w:val="00E4218D"/>
    <w:rsid w:val="00E4234F"/>
    <w:rsid w:val="00E42421"/>
    <w:rsid w:val="00E4242E"/>
    <w:rsid w:val="00E424C3"/>
    <w:rsid w:val="00E42675"/>
    <w:rsid w:val="00E426AA"/>
    <w:rsid w:val="00E4297A"/>
    <w:rsid w:val="00E429FA"/>
    <w:rsid w:val="00E42A8D"/>
    <w:rsid w:val="00E42B7A"/>
    <w:rsid w:val="00E42E1D"/>
    <w:rsid w:val="00E43001"/>
    <w:rsid w:val="00E430F3"/>
    <w:rsid w:val="00E431B9"/>
    <w:rsid w:val="00E43409"/>
    <w:rsid w:val="00E4345B"/>
    <w:rsid w:val="00E43476"/>
    <w:rsid w:val="00E43558"/>
    <w:rsid w:val="00E4358C"/>
    <w:rsid w:val="00E43668"/>
    <w:rsid w:val="00E436A7"/>
    <w:rsid w:val="00E4375E"/>
    <w:rsid w:val="00E439DE"/>
    <w:rsid w:val="00E43A0E"/>
    <w:rsid w:val="00E43CCB"/>
    <w:rsid w:val="00E43D4B"/>
    <w:rsid w:val="00E43DF5"/>
    <w:rsid w:val="00E43EB4"/>
    <w:rsid w:val="00E43EFC"/>
    <w:rsid w:val="00E44081"/>
    <w:rsid w:val="00E44121"/>
    <w:rsid w:val="00E4438B"/>
    <w:rsid w:val="00E44489"/>
    <w:rsid w:val="00E44506"/>
    <w:rsid w:val="00E44867"/>
    <w:rsid w:val="00E448A7"/>
    <w:rsid w:val="00E44934"/>
    <w:rsid w:val="00E44950"/>
    <w:rsid w:val="00E44990"/>
    <w:rsid w:val="00E44AF8"/>
    <w:rsid w:val="00E44B2E"/>
    <w:rsid w:val="00E44B6F"/>
    <w:rsid w:val="00E44EEB"/>
    <w:rsid w:val="00E44F8E"/>
    <w:rsid w:val="00E453D6"/>
    <w:rsid w:val="00E45611"/>
    <w:rsid w:val="00E4573C"/>
    <w:rsid w:val="00E45766"/>
    <w:rsid w:val="00E45A0C"/>
    <w:rsid w:val="00E45A26"/>
    <w:rsid w:val="00E45B16"/>
    <w:rsid w:val="00E45CAE"/>
    <w:rsid w:val="00E45CF8"/>
    <w:rsid w:val="00E45D3E"/>
    <w:rsid w:val="00E45E2A"/>
    <w:rsid w:val="00E45F0A"/>
    <w:rsid w:val="00E45F0C"/>
    <w:rsid w:val="00E45F5A"/>
    <w:rsid w:val="00E4607A"/>
    <w:rsid w:val="00E46254"/>
    <w:rsid w:val="00E464CF"/>
    <w:rsid w:val="00E46557"/>
    <w:rsid w:val="00E465C6"/>
    <w:rsid w:val="00E468AA"/>
    <w:rsid w:val="00E4699C"/>
    <w:rsid w:val="00E46AE0"/>
    <w:rsid w:val="00E46B3B"/>
    <w:rsid w:val="00E46BB4"/>
    <w:rsid w:val="00E46DCA"/>
    <w:rsid w:val="00E46E67"/>
    <w:rsid w:val="00E46F36"/>
    <w:rsid w:val="00E46F38"/>
    <w:rsid w:val="00E46F45"/>
    <w:rsid w:val="00E470C1"/>
    <w:rsid w:val="00E470D2"/>
    <w:rsid w:val="00E473AF"/>
    <w:rsid w:val="00E473CE"/>
    <w:rsid w:val="00E47459"/>
    <w:rsid w:val="00E47643"/>
    <w:rsid w:val="00E476F5"/>
    <w:rsid w:val="00E4783E"/>
    <w:rsid w:val="00E478D6"/>
    <w:rsid w:val="00E478FB"/>
    <w:rsid w:val="00E4798D"/>
    <w:rsid w:val="00E479A7"/>
    <w:rsid w:val="00E47B80"/>
    <w:rsid w:val="00E47C07"/>
    <w:rsid w:val="00E47DA7"/>
    <w:rsid w:val="00E500F4"/>
    <w:rsid w:val="00E5022E"/>
    <w:rsid w:val="00E5028F"/>
    <w:rsid w:val="00E5038B"/>
    <w:rsid w:val="00E50472"/>
    <w:rsid w:val="00E50625"/>
    <w:rsid w:val="00E50677"/>
    <w:rsid w:val="00E506E3"/>
    <w:rsid w:val="00E5071A"/>
    <w:rsid w:val="00E50775"/>
    <w:rsid w:val="00E50785"/>
    <w:rsid w:val="00E507CC"/>
    <w:rsid w:val="00E507F4"/>
    <w:rsid w:val="00E509E6"/>
    <w:rsid w:val="00E50BCF"/>
    <w:rsid w:val="00E50EC3"/>
    <w:rsid w:val="00E511EA"/>
    <w:rsid w:val="00E51250"/>
    <w:rsid w:val="00E51348"/>
    <w:rsid w:val="00E513B1"/>
    <w:rsid w:val="00E51433"/>
    <w:rsid w:val="00E51490"/>
    <w:rsid w:val="00E515A0"/>
    <w:rsid w:val="00E51634"/>
    <w:rsid w:val="00E51748"/>
    <w:rsid w:val="00E518DE"/>
    <w:rsid w:val="00E519C8"/>
    <w:rsid w:val="00E51A68"/>
    <w:rsid w:val="00E51B0D"/>
    <w:rsid w:val="00E51B23"/>
    <w:rsid w:val="00E51D24"/>
    <w:rsid w:val="00E51DFD"/>
    <w:rsid w:val="00E51E8E"/>
    <w:rsid w:val="00E51EBE"/>
    <w:rsid w:val="00E52328"/>
    <w:rsid w:val="00E5236A"/>
    <w:rsid w:val="00E523EE"/>
    <w:rsid w:val="00E52426"/>
    <w:rsid w:val="00E524C6"/>
    <w:rsid w:val="00E52706"/>
    <w:rsid w:val="00E52B74"/>
    <w:rsid w:val="00E52C71"/>
    <w:rsid w:val="00E52C7C"/>
    <w:rsid w:val="00E52DC3"/>
    <w:rsid w:val="00E52E61"/>
    <w:rsid w:val="00E52FD3"/>
    <w:rsid w:val="00E53464"/>
    <w:rsid w:val="00E53558"/>
    <w:rsid w:val="00E535DD"/>
    <w:rsid w:val="00E536D9"/>
    <w:rsid w:val="00E53722"/>
    <w:rsid w:val="00E537BC"/>
    <w:rsid w:val="00E538DB"/>
    <w:rsid w:val="00E53B22"/>
    <w:rsid w:val="00E53B98"/>
    <w:rsid w:val="00E53D9A"/>
    <w:rsid w:val="00E53DB7"/>
    <w:rsid w:val="00E53EB9"/>
    <w:rsid w:val="00E53FEB"/>
    <w:rsid w:val="00E5400A"/>
    <w:rsid w:val="00E54043"/>
    <w:rsid w:val="00E54308"/>
    <w:rsid w:val="00E543CC"/>
    <w:rsid w:val="00E5446E"/>
    <w:rsid w:val="00E544FB"/>
    <w:rsid w:val="00E54664"/>
    <w:rsid w:val="00E54761"/>
    <w:rsid w:val="00E54780"/>
    <w:rsid w:val="00E54813"/>
    <w:rsid w:val="00E549F4"/>
    <w:rsid w:val="00E54E07"/>
    <w:rsid w:val="00E54E1A"/>
    <w:rsid w:val="00E54FA7"/>
    <w:rsid w:val="00E5516D"/>
    <w:rsid w:val="00E551DF"/>
    <w:rsid w:val="00E55574"/>
    <w:rsid w:val="00E55621"/>
    <w:rsid w:val="00E55683"/>
    <w:rsid w:val="00E558F5"/>
    <w:rsid w:val="00E55998"/>
    <w:rsid w:val="00E55AAC"/>
    <w:rsid w:val="00E55BF6"/>
    <w:rsid w:val="00E55E72"/>
    <w:rsid w:val="00E5634A"/>
    <w:rsid w:val="00E5634C"/>
    <w:rsid w:val="00E56416"/>
    <w:rsid w:val="00E565DC"/>
    <w:rsid w:val="00E56B62"/>
    <w:rsid w:val="00E56E1B"/>
    <w:rsid w:val="00E56E8F"/>
    <w:rsid w:val="00E56EE5"/>
    <w:rsid w:val="00E5719E"/>
    <w:rsid w:val="00E571FC"/>
    <w:rsid w:val="00E572D7"/>
    <w:rsid w:val="00E57395"/>
    <w:rsid w:val="00E573D3"/>
    <w:rsid w:val="00E5741D"/>
    <w:rsid w:val="00E57551"/>
    <w:rsid w:val="00E57600"/>
    <w:rsid w:val="00E57698"/>
    <w:rsid w:val="00E5777E"/>
    <w:rsid w:val="00E5787C"/>
    <w:rsid w:val="00E578A3"/>
    <w:rsid w:val="00E5794F"/>
    <w:rsid w:val="00E57A64"/>
    <w:rsid w:val="00E57BC7"/>
    <w:rsid w:val="00E57CCD"/>
    <w:rsid w:val="00E57DE8"/>
    <w:rsid w:val="00E60007"/>
    <w:rsid w:val="00E600D0"/>
    <w:rsid w:val="00E6026E"/>
    <w:rsid w:val="00E6028C"/>
    <w:rsid w:val="00E603FC"/>
    <w:rsid w:val="00E6053E"/>
    <w:rsid w:val="00E60549"/>
    <w:rsid w:val="00E605A1"/>
    <w:rsid w:val="00E60619"/>
    <w:rsid w:val="00E6072C"/>
    <w:rsid w:val="00E60812"/>
    <w:rsid w:val="00E6087D"/>
    <w:rsid w:val="00E6088D"/>
    <w:rsid w:val="00E608DC"/>
    <w:rsid w:val="00E609CD"/>
    <w:rsid w:val="00E60ABA"/>
    <w:rsid w:val="00E60B97"/>
    <w:rsid w:val="00E60CA6"/>
    <w:rsid w:val="00E60D02"/>
    <w:rsid w:val="00E60E0C"/>
    <w:rsid w:val="00E611CE"/>
    <w:rsid w:val="00E61206"/>
    <w:rsid w:val="00E6121D"/>
    <w:rsid w:val="00E613A5"/>
    <w:rsid w:val="00E613AD"/>
    <w:rsid w:val="00E614C8"/>
    <w:rsid w:val="00E6198D"/>
    <w:rsid w:val="00E61A5B"/>
    <w:rsid w:val="00E61AE5"/>
    <w:rsid w:val="00E61D74"/>
    <w:rsid w:val="00E61DA9"/>
    <w:rsid w:val="00E61DF2"/>
    <w:rsid w:val="00E61E19"/>
    <w:rsid w:val="00E625C7"/>
    <w:rsid w:val="00E625F4"/>
    <w:rsid w:val="00E62646"/>
    <w:rsid w:val="00E62866"/>
    <w:rsid w:val="00E628C7"/>
    <w:rsid w:val="00E62901"/>
    <w:rsid w:val="00E62B74"/>
    <w:rsid w:val="00E62BF9"/>
    <w:rsid w:val="00E62C18"/>
    <w:rsid w:val="00E62C21"/>
    <w:rsid w:val="00E62F4F"/>
    <w:rsid w:val="00E62FA9"/>
    <w:rsid w:val="00E6343D"/>
    <w:rsid w:val="00E635A0"/>
    <w:rsid w:val="00E6360D"/>
    <w:rsid w:val="00E63658"/>
    <w:rsid w:val="00E63791"/>
    <w:rsid w:val="00E63854"/>
    <w:rsid w:val="00E638DA"/>
    <w:rsid w:val="00E63AE2"/>
    <w:rsid w:val="00E63AE3"/>
    <w:rsid w:val="00E63B16"/>
    <w:rsid w:val="00E63BD8"/>
    <w:rsid w:val="00E63CEF"/>
    <w:rsid w:val="00E63D62"/>
    <w:rsid w:val="00E63DC9"/>
    <w:rsid w:val="00E63DD6"/>
    <w:rsid w:val="00E63FC0"/>
    <w:rsid w:val="00E64243"/>
    <w:rsid w:val="00E64323"/>
    <w:rsid w:val="00E6443D"/>
    <w:rsid w:val="00E6448C"/>
    <w:rsid w:val="00E644D8"/>
    <w:rsid w:val="00E64598"/>
    <w:rsid w:val="00E647CE"/>
    <w:rsid w:val="00E64807"/>
    <w:rsid w:val="00E6492F"/>
    <w:rsid w:val="00E64948"/>
    <w:rsid w:val="00E6497E"/>
    <w:rsid w:val="00E64BF5"/>
    <w:rsid w:val="00E64C0A"/>
    <w:rsid w:val="00E64C18"/>
    <w:rsid w:val="00E64E82"/>
    <w:rsid w:val="00E64EC5"/>
    <w:rsid w:val="00E65102"/>
    <w:rsid w:val="00E65215"/>
    <w:rsid w:val="00E65241"/>
    <w:rsid w:val="00E652DD"/>
    <w:rsid w:val="00E653E4"/>
    <w:rsid w:val="00E6540F"/>
    <w:rsid w:val="00E65683"/>
    <w:rsid w:val="00E656B3"/>
    <w:rsid w:val="00E656B4"/>
    <w:rsid w:val="00E65720"/>
    <w:rsid w:val="00E6575B"/>
    <w:rsid w:val="00E65882"/>
    <w:rsid w:val="00E6588F"/>
    <w:rsid w:val="00E6589F"/>
    <w:rsid w:val="00E65B62"/>
    <w:rsid w:val="00E65C52"/>
    <w:rsid w:val="00E65CE6"/>
    <w:rsid w:val="00E65DD7"/>
    <w:rsid w:val="00E65E49"/>
    <w:rsid w:val="00E65E84"/>
    <w:rsid w:val="00E65F8A"/>
    <w:rsid w:val="00E660D1"/>
    <w:rsid w:val="00E6614C"/>
    <w:rsid w:val="00E66572"/>
    <w:rsid w:val="00E66723"/>
    <w:rsid w:val="00E6674F"/>
    <w:rsid w:val="00E66961"/>
    <w:rsid w:val="00E66A55"/>
    <w:rsid w:val="00E66AB9"/>
    <w:rsid w:val="00E66B01"/>
    <w:rsid w:val="00E66C02"/>
    <w:rsid w:val="00E66FB0"/>
    <w:rsid w:val="00E67157"/>
    <w:rsid w:val="00E6743D"/>
    <w:rsid w:val="00E677D6"/>
    <w:rsid w:val="00E678DA"/>
    <w:rsid w:val="00E67980"/>
    <w:rsid w:val="00E67B3A"/>
    <w:rsid w:val="00E67D48"/>
    <w:rsid w:val="00E67D6B"/>
    <w:rsid w:val="00E67DBC"/>
    <w:rsid w:val="00E67E6E"/>
    <w:rsid w:val="00E67FFB"/>
    <w:rsid w:val="00E7009B"/>
    <w:rsid w:val="00E700B8"/>
    <w:rsid w:val="00E70113"/>
    <w:rsid w:val="00E701B0"/>
    <w:rsid w:val="00E7029D"/>
    <w:rsid w:val="00E7034F"/>
    <w:rsid w:val="00E70467"/>
    <w:rsid w:val="00E70572"/>
    <w:rsid w:val="00E705F1"/>
    <w:rsid w:val="00E70602"/>
    <w:rsid w:val="00E70862"/>
    <w:rsid w:val="00E708D2"/>
    <w:rsid w:val="00E7090C"/>
    <w:rsid w:val="00E709A2"/>
    <w:rsid w:val="00E709F8"/>
    <w:rsid w:val="00E70A02"/>
    <w:rsid w:val="00E70A28"/>
    <w:rsid w:val="00E70AAD"/>
    <w:rsid w:val="00E70BCA"/>
    <w:rsid w:val="00E70D59"/>
    <w:rsid w:val="00E70E3C"/>
    <w:rsid w:val="00E70E4D"/>
    <w:rsid w:val="00E70ED1"/>
    <w:rsid w:val="00E70F3C"/>
    <w:rsid w:val="00E71144"/>
    <w:rsid w:val="00E715E8"/>
    <w:rsid w:val="00E71783"/>
    <w:rsid w:val="00E71896"/>
    <w:rsid w:val="00E718DF"/>
    <w:rsid w:val="00E7191A"/>
    <w:rsid w:val="00E71A22"/>
    <w:rsid w:val="00E71D9D"/>
    <w:rsid w:val="00E71DFB"/>
    <w:rsid w:val="00E71EE6"/>
    <w:rsid w:val="00E71F6E"/>
    <w:rsid w:val="00E71FFC"/>
    <w:rsid w:val="00E7203E"/>
    <w:rsid w:val="00E7214C"/>
    <w:rsid w:val="00E72220"/>
    <w:rsid w:val="00E7228E"/>
    <w:rsid w:val="00E72461"/>
    <w:rsid w:val="00E726B7"/>
    <w:rsid w:val="00E72998"/>
    <w:rsid w:val="00E729C8"/>
    <w:rsid w:val="00E72A2F"/>
    <w:rsid w:val="00E73199"/>
    <w:rsid w:val="00E731CC"/>
    <w:rsid w:val="00E73277"/>
    <w:rsid w:val="00E73293"/>
    <w:rsid w:val="00E73389"/>
    <w:rsid w:val="00E73421"/>
    <w:rsid w:val="00E73431"/>
    <w:rsid w:val="00E7351E"/>
    <w:rsid w:val="00E735C2"/>
    <w:rsid w:val="00E73683"/>
    <w:rsid w:val="00E737E5"/>
    <w:rsid w:val="00E7391E"/>
    <w:rsid w:val="00E73B0E"/>
    <w:rsid w:val="00E73CDE"/>
    <w:rsid w:val="00E73D53"/>
    <w:rsid w:val="00E73E02"/>
    <w:rsid w:val="00E73FB6"/>
    <w:rsid w:val="00E7405C"/>
    <w:rsid w:val="00E740B0"/>
    <w:rsid w:val="00E742C5"/>
    <w:rsid w:val="00E7445E"/>
    <w:rsid w:val="00E744DD"/>
    <w:rsid w:val="00E748AD"/>
    <w:rsid w:val="00E74A09"/>
    <w:rsid w:val="00E74CB3"/>
    <w:rsid w:val="00E74D19"/>
    <w:rsid w:val="00E74D58"/>
    <w:rsid w:val="00E74E62"/>
    <w:rsid w:val="00E74F3B"/>
    <w:rsid w:val="00E75206"/>
    <w:rsid w:val="00E752A3"/>
    <w:rsid w:val="00E753D1"/>
    <w:rsid w:val="00E7545F"/>
    <w:rsid w:val="00E754F0"/>
    <w:rsid w:val="00E7576B"/>
    <w:rsid w:val="00E75843"/>
    <w:rsid w:val="00E7595A"/>
    <w:rsid w:val="00E75996"/>
    <w:rsid w:val="00E7599C"/>
    <w:rsid w:val="00E759D6"/>
    <w:rsid w:val="00E75A0B"/>
    <w:rsid w:val="00E75AA8"/>
    <w:rsid w:val="00E75BBD"/>
    <w:rsid w:val="00E75D46"/>
    <w:rsid w:val="00E75DA5"/>
    <w:rsid w:val="00E75EAF"/>
    <w:rsid w:val="00E75F25"/>
    <w:rsid w:val="00E7611E"/>
    <w:rsid w:val="00E76244"/>
    <w:rsid w:val="00E76479"/>
    <w:rsid w:val="00E764FB"/>
    <w:rsid w:val="00E76517"/>
    <w:rsid w:val="00E7654D"/>
    <w:rsid w:val="00E765DB"/>
    <w:rsid w:val="00E7663E"/>
    <w:rsid w:val="00E766BA"/>
    <w:rsid w:val="00E767EF"/>
    <w:rsid w:val="00E76809"/>
    <w:rsid w:val="00E76A0C"/>
    <w:rsid w:val="00E76B19"/>
    <w:rsid w:val="00E76B38"/>
    <w:rsid w:val="00E76BBB"/>
    <w:rsid w:val="00E76CE4"/>
    <w:rsid w:val="00E76D47"/>
    <w:rsid w:val="00E77189"/>
    <w:rsid w:val="00E77334"/>
    <w:rsid w:val="00E773B7"/>
    <w:rsid w:val="00E774F4"/>
    <w:rsid w:val="00E77827"/>
    <w:rsid w:val="00E77D57"/>
    <w:rsid w:val="00E80154"/>
    <w:rsid w:val="00E80590"/>
    <w:rsid w:val="00E805A5"/>
    <w:rsid w:val="00E805B0"/>
    <w:rsid w:val="00E8068F"/>
    <w:rsid w:val="00E808F2"/>
    <w:rsid w:val="00E80902"/>
    <w:rsid w:val="00E80BBF"/>
    <w:rsid w:val="00E80BF4"/>
    <w:rsid w:val="00E80D0F"/>
    <w:rsid w:val="00E81141"/>
    <w:rsid w:val="00E81342"/>
    <w:rsid w:val="00E81399"/>
    <w:rsid w:val="00E813CD"/>
    <w:rsid w:val="00E81616"/>
    <w:rsid w:val="00E81638"/>
    <w:rsid w:val="00E818F5"/>
    <w:rsid w:val="00E819BE"/>
    <w:rsid w:val="00E819DF"/>
    <w:rsid w:val="00E81A7B"/>
    <w:rsid w:val="00E81E0B"/>
    <w:rsid w:val="00E82041"/>
    <w:rsid w:val="00E821B1"/>
    <w:rsid w:val="00E82238"/>
    <w:rsid w:val="00E8223A"/>
    <w:rsid w:val="00E8228E"/>
    <w:rsid w:val="00E82297"/>
    <w:rsid w:val="00E822FF"/>
    <w:rsid w:val="00E82351"/>
    <w:rsid w:val="00E82382"/>
    <w:rsid w:val="00E82477"/>
    <w:rsid w:val="00E82498"/>
    <w:rsid w:val="00E824F6"/>
    <w:rsid w:val="00E82A0F"/>
    <w:rsid w:val="00E82A2F"/>
    <w:rsid w:val="00E82B4B"/>
    <w:rsid w:val="00E82DB1"/>
    <w:rsid w:val="00E82E44"/>
    <w:rsid w:val="00E832A5"/>
    <w:rsid w:val="00E835D4"/>
    <w:rsid w:val="00E83669"/>
    <w:rsid w:val="00E837BE"/>
    <w:rsid w:val="00E837C5"/>
    <w:rsid w:val="00E8380D"/>
    <w:rsid w:val="00E83821"/>
    <w:rsid w:val="00E83928"/>
    <w:rsid w:val="00E83A07"/>
    <w:rsid w:val="00E83BE9"/>
    <w:rsid w:val="00E83BF5"/>
    <w:rsid w:val="00E83C61"/>
    <w:rsid w:val="00E83CB2"/>
    <w:rsid w:val="00E83DE2"/>
    <w:rsid w:val="00E83DE4"/>
    <w:rsid w:val="00E83DF1"/>
    <w:rsid w:val="00E83E45"/>
    <w:rsid w:val="00E83FD3"/>
    <w:rsid w:val="00E83FF7"/>
    <w:rsid w:val="00E8414F"/>
    <w:rsid w:val="00E84328"/>
    <w:rsid w:val="00E843D0"/>
    <w:rsid w:val="00E847A0"/>
    <w:rsid w:val="00E84854"/>
    <w:rsid w:val="00E8485E"/>
    <w:rsid w:val="00E84931"/>
    <w:rsid w:val="00E84A1C"/>
    <w:rsid w:val="00E84C09"/>
    <w:rsid w:val="00E84C5E"/>
    <w:rsid w:val="00E84C93"/>
    <w:rsid w:val="00E85023"/>
    <w:rsid w:val="00E8515F"/>
    <w:rsid w:val="00E85657"/>
    <w:rsid w:val="00E857EB"/>
    <w:rsid w:val="00E85890"/>
    <w:rsid w:val="00E85986"/>
    <w:rsid w:val="00E85A4B"/>
    <w:rsid w:val="00E85AB0"/>
    <w:rsid w:val="00E85C8A"/>
    <w:rsid w:val="00E85D8A"/>
    <w:rsid w:val="00E85E50"/>
    <w:rsid w:val="00E85E5B"/>
    <w:rsid w:val="00E86097"/>
    <w:rsid w:val="00E8609E"/>
    <w:rsid w:val="00E86195"/>
    <w:rsid w:val="00E8666D"/>
    <w:rsid w:val="00E867AA"/>
    <w:rsid w:val="00E868F3"/>
    <w:rsid w:val="00E86A0B"/>
    <w:rsid w:val="00E86A1E"/>
    <w:rsid w:val="00E86AEC"/>
    <w:rsid w:val="00E86D85"/>
    <w:rsid w:val="00E86F00"/>
    <w:rsid w:val="00E86F61"/>
    <w:rsid w:val="00E870D8"/>
    <w:rsid w:val="00E87179"/>
    <w:rsid w:val="00E872FD"/>
    <w:rsid w:val="00E87434"/>
    <w:rsid w:val="00E87533"/>
    <w:rsid w:val="00E875AB"/>
    <w:rsid w:val="00E87625"/>
    <w:rsid w:val="00E8776D"/>
    <w:rsid w:val="00E87798"/>
    <w:rsid w:val="00E87B0C"/>
    <w:rsid w:val="00E87C04"/>
    <w:rsid w:val="00E87C5D"/>
    <w:rsid w:val="00E87CE1"/>
    <w:rsid w:val="00E87DB4"/>
    <w:rsid w:val="00E87E19"/>
    <w:rsid w:val="00E900B3"/>
    <w:rsid w:val="00E90300"/>
    <w:rsid w:val="00E90409"/>
    <w:rsid w:val="00E90575"/>
    <w:rsid w:val="00E90906"/>
    <w:rsid w:val="00E90996"/>
    <w:rsid w:val="00E909BC"/>
    <w:rsid w:val="00E90AD8"/>
    <w:rsid w:val="00E90BAA"/>
    <w:rsid w:val="00E90C9A"/>
    <w:rsid w:val="00E90CC2"/>
    <w:rsid w:val="00E90ED8"/>
    <w:rsid w:val="00E90F63"/>
    <w:rsid w:val="00E910A6"/>
    <w:rsid w:val="00E9127D"/>
    <w:rsid w:val="00E9127F"/>
    <w:rsid w:val="00E912C1"/>
    <w:rsid w:val="00E913CD"/>
    <w:rsid w:val="00E9176D"/>
    <w:rsid w:val="00E91784"/>
    <w:rsid w:val="00E91797"/>
    <w:rsid w:val="00E9181A"/>
    <w:rsid w:val="00E918F6"/>
    <w:rsid w:val="00E91909"/>
    <w:rsid w:val="00E9191D"/>
    <w:rsid w:val="00E91ABB"/>
    <w:rsid w:val="00E91E75"/>
    <w:rsid w:val="00E91EFA"/>
    <w:rsid w:val="00E91FDB"/>
    <w:rsid w:val="00E92277"/>
    <w:rsid w:val="00E923B9"/>
    <w:rsid w:val="00E923C0"/>
    <w:rsid w:val="00E9241F"/>
    <w:rsid w:val="00E9242A"/>
    <w:rsid w:val="00E9248F"/>
    <w:rsid w:val="00E9283A"/>
    <w:rsid w:val="00E9284A"/>
    <w:rsid w:val="00E928D3"/>
    <w:rsid w:val="00E928FF"/>
    <w:rsid w:val="00E92959"/>
    <w:rsid w:val="00E929AB"/>
    <w:rsid w:val="00E929D5"/>
    <w:rsid w:val="00E92A30"/>
    <w:rsid w:val="00E92BF7"/>
    <w:rsid w:val="00E92C6B"/>
    <w:rsid w:val="00E92D04"/>
    <w:rsid w:val="00E92D4A"/>
    <w:rsid w:val="00E92F81"/>
    <w:rsid w:val="00E9301D"/>
    <w:rsid w:val="00E931EC"/>
    <w:rsid w:val="00E93341"/>
    <w:rsid w:val="00E9339C"/>
    <w:rsid w:val="00E9344C"/>
    <w:rsid w:val="00E935AC"/>
    <w:rsid w:val="00E93624"/>
    <w:rsid w:val="00E936E8"/>
    <w:rsid w:val="00E936EC"/>
    <w:rsid w:val="00E9391F"/>
    <w:rsid w:val="00E93B69"/>
    <w:rsid w:val="00E93CF5"/>
    <w:rsid w:val="00E93D3D"/>
    <w:rsid w:val="00E93DA0"/>
    <w:rsid w:val="00E93E55"/>
    <w:rsid w:val="00E93E93"/>
    <w:rsid w:val="00E93EC9"/>
    <w:rsid w:val="00E93EF4"/>
    <w:rsid w:val="00E94137"/>
    <w:rsid w:val="00E94174"/>
    <w:rsid w:val="00E94288"/>
    <w:rsid w:val="00E9442A"/>
    <w:rsid w:val="00E944A2"/>
    <w:rsid w:val="00E946AF"/>
    <w:rsid w:val="00E94778"/>
    <w:rsid w:val="00E9495B"/>
    <w:rsid w:val="00E949AC"/>
    <w:rsid w:val="00E94F9D"/>
    <w:rsid w:val="00E94FFA"/>
    <w:rsid w:val="00E95187"/>
    <w:rsid w:val="00E95246"/>
    <w:rsid w:val="00E95473"/>
    <w:rsid w:val="00E954EB"/>
    <w:rsid w:val="00E95635"/>
    <w:rsid w:val="00E9564C"/>
    <w:rsid w:val="00E95670"/>
    <w:rsid w:val="00E95761"/>
    <w:rsid w:val="00E95A36"/>
    <w:rsid w:val="00E95A8D"/>
    <w:rsid w:val="00E95AB9"/>
    <w:rsid w:val="00E95B66"/>
    <w:rsid w:val="00E95B9C"/>
    <w:rsid w:val="00E95D30"/>
    <w:rsid w:val="00E95E03"/>
    <w:rsid w:val="00E95EDA"/>
    <w:rsid w:val="00E960E1"/>
    <w:rsid w:val="00E960E5"/>
    <w:rsid w:val="00E961D1"/>
    <w:rsid w:val="00E9649B"/>
    <w:rsid w:val="00E96540"/>
    <w:rsid w:val="00E9657A"/>
    <w:rsid w:val="00E9684B"/>
    <w:rsid w:val="00E96971"/>
    <w:rsid w:val="00E96B52"/>
    <w:rsid w:val="00E96BDC"/>
    <w:rsid w:val="00E96FB4"/>
    <w:rsid w:val="00E970B8"/>
    <w:rsid w:val="00E970D7"/>
    <w:rsid w:val="00E97310"/>
    <w:rsid w:val="00E97328"/>
    <w:rsid w:val="00E97486"/>
    <w:rsid w:val="00E974FC"/>
    <w:rsid w:val="00E9763D"/>
    <w:rsid w:val="00E976D9"/>
    <w:rsid w:val="00E9779F"/>
    <w:rsid w:val="00E97815"/>
    <w:rsid w:val="00E97901"/>
    <w:rsid w:val="00E97BEF"/>
    <w:rsid w:val="00E97CE6"/>
    <w:rsid w:val="00EA0161"/>
    <w:rsid w:val="00EA01BF"/>
    <w:rsid w:val="00EA0225"/>
    <w:rsid w:val="00EA02F7"/>
    <w:rsid w:val="00EA049E"/>
    <w:rsid w:val="00EA04C7"/>
    <w:rsid w:val="00EA07E1"/>
    <w:rsid w:val="00EA08AB"/>
    <w:rsid w:val="00EA08BA"/>
    <w:rsid w:val="00EA08C5"/>
    <w:rsid w:val="00EA0BFD"/>
    <w:rsid w:val="00EA0C49"/>
    <w:rsid w:val="00EA0DB2"/>
    <w:rsid w:val="00EA0EC1"/>
    <w:rsid w:val="00EA11B3"/>
    <w:rsid w:val="00EA1244"/>
    <w:rsid w:val="00EA1389"/>
    <w:rsid w:val="00EA1457"/>
    <w:rsid w:val="00EA14F1"/>
    <w:rsid w:val="00EA1517"/>
    <w:rsid w:val="00EA153F"/>
    <w:rsid w:val="00EA16A3"/>
    <w:rsid w:val="00EA1781"/>
    <w:rsid w:val="00EA1902"/>
    <w:rsid w:val="00EA19D0"/>
    <w:rsid w:val="00EA1A11"/>
    <w:rsid w:val="00EA1BBA"/>
    <w:rsid w:val="00EA1CB8"/>
    <w:rsid w:val="00EA1E92"/>
    <w:rsid w:val="00EA1F4B"/>
    <w:rsid w:val="00EA22C2"/>
    <w:rsid w:val="00EA22E0"/>
    <w:rsid w:val="00EA2403"/>
    <w:rsid w:val="00EA251C"/>
    <w:rsid w:val="00EA257F"/>
    <w:rsid w:val="00EA2997"/>
    <w:rsid w:val="00EA2A20"/>
    <w:rsid w:val="00EA2BB3"/>
    <w:rsid w:val="00EA2BE3"/>
    <w:rsid w:val="00EA2D2C"/>
    <w:rsid w:val="00EA2D72"/>
    <w:rsid w:val="00EA2D92"/>
    <w:rsid w:val="00EA2F8B"/>
    <w:rsid w:val="00EA30DE"/>
    <w:rsid w:val="00EA31E6"/>
    <w:rsid w:val="00EA31FB"/>
    <w:rsid w:val="00EA338A"/>
    <w:rsid w:val="00EA34CF"/>
    <w:rsid w:val="00EA352E"/>
    <w:rsid w:val="00EA3691"/>
    <w:rsid w:val="00EA3709"/>
    <w:rsid w:val="00EA39C9"/>
    <w:rsid w:val="00EA3B79"/>
    <w:rsid w:val="00EA3BAD"/>
    <w:rsid w:val="00EA4101"/>
    <w:rsid w:val="00EA4112"/>
    <w:rsid w:val="00EA41C6"/>
    <w:rsid w:val="00EA4269"/>
    <w:rsid w:val="00EA4296"/>
    <w:rsid w:val="00EA434A"/>
    <w:rsid w:val="00EA4441"/>
    <w:rsid w:val="00EA44C3"/>
    <w:rsid w:val="00EA4504"/>
    <w:rsid w:val="00EA4519"/>
    <w:rsid w:val="00EA463C"/>
    <w:rsid w:val="00EA482C"/>
    <w:rsid w:val="00EA48CB"/>
    <w:rsid w:val="00EA48F7"/>
    <w:rsid w:val="00EA498B"/>
    <w:rsid w:val="00EA4A44"/>
    <w:rsid w:val="00EA4B2F"/>
    <w:rsid w:val="00EA4CDE"/>
    <w:rsid w:val="00EA4FD9"/>
    <w:rsid w:val="00EA50BB"/>
    <w:rsid w:val="00EA521D"/>
    <w:rsid w:val="00EA525C"/>
    <w:rsid w:val="00EA5273"/>
    <w:rsid w:val="00EA54AD"/>
    <w:rsid w:val="00EA54EE"/>
    <w:rsid w:val="00EA58AB"/>
    <w:rsid w:val="00EA5917"/>
    <w:rsid w:val="00EA59D6"/>
    <w:rsid w:val="00EA59EC"/>
    <w:rsid w:val="00EA5BC9"/>
    <w:rsid w:val="00EA5CA3"/>
    <w:rsid w:val="00EA5CDB"/>
    <w:rsid w:val="00EA5D83"/>
    <w:rsid w:val="00EA5E32"/>
    <w:rsid w:val="00EA5E76"/>
    <w:rsid w:val="00EA60E9"/>
    <w:rsid w:val="00EA60FC"/>
    <w:rsid w:val="00EA6476"/>
    <w:rsid w:val="00EA6976"/>
    <w:rsid w:val="00EA6977"/>
    <w:rsid w:val="00EA6AE3"/>
    <w:rsid w:val="00EA6B60"/>
    <w:rsid w:val="00EA6BDC"/>
    <w:rsid w:val="00EA6C90"/>
    <w:rsid w:val="00EA7022"/>
    <w:rsid w:val="00EA7041"/>
    <w:rsid w:val="00EA70AF"/>
    <w:rsid w:val="00EA71B8"/>
    <w:rsid w:val="00EA71EF"/>
    <w:rsid w:val="00EA72F6"/>
    <w:rsid w:val="00EA72F7"/>
    <w:rsid w:val="00EA7596"/>
    <w:rsid w:val="00EA77B8"/>
    <w:rsid w:val="00EA7877"/>
    <w:rsid w:val="00EA7AFF"/>
    <w:rsid w:val="00EA7E5B"/>
    <w:rsid w:val="00EA7FEB"/>
    <w:rsid w:val="00EB0033"/>
    <w:rsid w:val="00EB03B0"/>
    <w:rsid w:val="00EB083F"/>
    <w:rsid w:val="00EB08F4"/>
    <w:rsid w:val="00EB0962"/>
    <w:rsid w:val="00EB0ADD"/>
    <w:rsid w:val="00EB0C69"/>
    <w:rsid w:val="00EB0DFB"/>
    <w:rsid w:val="00EB0E1F"/>
    <w:rsid w:val="00EB0EA5"/>
    <w:rsid w:val="00EB0F9B"/>
    <w:rsid w:val="00EB0FCF"/>
    <w:rsid w:val="00EB11FB"/>
    <w:rsid w:val="00EB1217"/>
    <w:rsid w:val="00EB1290"/>
    <w:rsid w:val="00EB12EE"/>
    <w:rsid w:val="00EB1399"/>
    <w:rsid w:val="00EB1633"/>
    <w:rsid w:val="00EB1705"/>
    <w:rsid w:val="00EB1753"/>
    <w:rsid w:val="00EB18B8"/>
    <w:rsid w:val="00EB1A33"/>
    <w:rsid w:val="00EB1A6B"/>
    <w:rsid w:val="00EB1AB0"/>
    <w:rsid w:val="00EB1B30"/>
    <w:rsid w:val="00EB1B38"/>
    <w:rsid w:val="00EB1B73"/>
    <w:rsid w:val="00EB1C0B"/>
    <w:rsid w:val="00EB1E1E"/>
    <w:rsid w:val="00EB1EC2"/>
    <w:rsid w:val="00EB1EFA"/>
    <w:rsid w:val="00EB2066"/>
    <w:rsid w:val="00EB2218"/>
    <w:rsid w:val="00EB22C0"/>
    <w:rsid w:val="00EB248E"/>
    <w:rsid w:val="00EB24D5"/>
    <w:rsid w:val="00EB25CF"/>
    <w:rsid w:val="00EB25E5"/>
    <w:rsid w:val="00EB25F4"/>
    <w:rsid w:val="00EB2795"/>
    <w:rsid w:val="00EB2826"/>
    <w:rsid w:val="00EB2939"/>
    <w:rsid w:val="00EB2968"/>
    <w:rsid w:val="00EB298A"/>
    <w:rsid w:val="00EB29B0"/>
    <w:rsid w:val="00EB2A86"/>
    <w:rsid w:val="00EB2ADA"/>
    <w:rsid w:val="00EB2BC3"/>
    <w:rsid w:val="00EB2D53"/>
    <w:rsid w:val="00EB2D69"/>
    <w:rsid w:val="00EB2E99"/>
    <w:rsid w:val="00EB2EF1"/>
    <w:rsid w:val="00EB309F"/>
    <w:rsid w:val="00EB312D"/>
    <w:rsid w:val="00EB328D"/>
    <w:rsid w:val="00EB337F"/>
    <w:rsid w:val="00EB338B"/>
    <w:rsid w:val="00EB3469"/>
    <w:rsid w:val="00EB36FB"/>
    <w:rsid w:val="00EB39B7"/>
    <w:rsid w:val="00EB3B22"/>
    <w:rsid w:val="00EB3C0E"/>
    <w:rsid w:val="00EB3E55"/>
    <w:rsid w:val="00EB3E7A"/>
    <w:rsid w:val="00EB3EF3"/>
    <w:rsid w:val="00EB3F2C"/>
    <w:rsid w:val="00EB4378"/>
    <w:rsid w:val="00EB43A1"/>
    <w:rsid w:val="00EB43CF"/>
    <w:rsid w:val="00EB4415"/>
    <w:rsid w:val="00EB4439"/>
    <w:rsid w:val="00EB453F"/>
    <w:rsid w:val="00EB482B"/>
    <w:rsid w:val="00EB4913"/>
    <w:rsid w:val="00EB495E"/>
    <w:rsid w:val="00EB4C01"/>
    <w:rsid w:val="00EB4D29"/>
    <w:rsid w:val="00EB4F11"/>
    <w:rsid w:val="00EB508D"/>
    <w:rsid w:val="00EB50F5"/>
    <w:rsid w:val="00EB5200"/>
    <w:rsid w:val="00EB5236"/>
    <w:rsid w:val="00EB5341"/>
    <w:rsid w:val="00EB5409"/>
    <w:rsid w:val="00EB5498"/>
    <w:rsid w:val="00EB549F"/>
    <w:rsid w:val="00EB5574"/>
    <w:rsid w:val="00EB563B"/>
    <w:rsid w:val="00EB5944"/>
    <w:rsid w:val="00EB5A22"/>
    <w:rsid w:val="00EB5B4B"/>
    <w:rsid w:val="00EB5B9C"/>
    <w:rsid w:val="00EB5FFB"/>
    <w:rsid w:val="00EB6157"/>
    <w:rsid w:val="00EB61BC"/>
    <w:rsid w:val="00EB6250"/>
    <w:rsid w:val="00EB625F"/>
    <w:rsid w:val="00EB6265"/>
    <w:rsid w:val="00EB6364"/>
    <w:rsid w:val="00EB64AE"/>
    <w:rsid w:val="00EB6757"/>
    <w:rsid w:val="00EB6A54"/>
    <w:rsid w:val="00EB6CF1"/>
    <w:rsid w:val="00EB6D13"/>
    <w:rsid w:val="00EB6E28"/>
    <w:rsid w:val="00EB6ED2"/>
    <w:rsid w:val="00EB6FCD"/>
    <w:rsid w:val="00EB7108"/>
    <w:rsid w:val="00EB7320"/>
    <w:rsid w:val="00EB75DE"/>
    <w:rsid w:val="00EB789F"/>
    <w:rsid w:val="00EB7CAF"/>
    <w:rsid w:val="00EB7CC1"/>
    <w:rsid w:val="00EB7D3F"/>
    <w:rsid w:val="00EBB141"/>
    <w:rsid w:val="00EC0032"/>
    <w:rsid w:val="00EC0393"/>
    <w:rsid w:val="00EC08AA"/>
    <w:rsid w:val="00EC09E4"/>
    <w:rsid w:val="00EC0A0D"/>
    <w:rsid w:val="00EC0AC1"/>
    <w:rsid w:val="00EC0AFE"/>
    <w:rsid w:val="00EC0C4B"/>
    <w:rsid w:val="00EC1290"/>
    <w:rsid w:val="00EC1352"/>
    <w:rsid w:val="00EC13C9"/>
    <w:rsid w:val="00EC1432"/>
    <w:rsid w:val="00EC16D4"/>
    <w:rsid w:val="00EC16F3"/>
    <w:rsid w:val="00EC1701"/>
    <w:rsid w:val="00EC1761"/>
    <w:rsid w:val="00EC1791"/>
    <w:rsid w:val="00EC179D"/>
    <w:rsid w:val="00EC1A27"/>
    <w:rsid w:val="00EC1BC5"/>
    <w:rsid w:val="00EC1CC0"/>
    <w:rsid w:val="00EC1D2B"/>
    <w:rsid w:val="00EC1EE5"/>
    <w:rsid w:val="00EC1FDB"/>
    <w:rsid w:val="00EC209D"/>
    <w:rsid w:val="00EC20FA"/>
    <w:rsid w:val="00EC2128"/>
    <w:rsid w:val="00EC23AE"/>
    <w:rsid w:val="00EC23F3"/>
    <w:rsid w:val="00EC267E"/>
    <w:rsid w:val="00EC282F"/>
    <w:rsid w:val="00EC28E8"/>
    <w:rsid w:val="00EC2925"/>
    <w:rsid w:val="00EC2A2B"/>
    <w:rsid w:val="00EC2A35"/>
    <w:rsid w:val="00EC2B10"/>
    <w:rsid w:val="00EC2EB4"/>
    <w:rsid w:val="00EC2F9D"/>
    <w:rsid w:val="00EC3185"/>
    <w:rsid w:val="00EC31A6"/>
    <w:rsid w:val="00EC334F"/>
    <w:rsid w:val="00EC33A3"/>
    <w:rsid w:val="00EC343F"/>
    <w:rsid w:val="00EC3478"/>
    <w:rsid w:val="00EC36D4"/>
    <w:rsid w:val="00EC3739"/>
    <w:rsid w:val="00EC3781"/>
    <w:rsid w:val="00EC38FC"/>
    <w:rsid w:val="00EC3B51"/>
    <w:rsid w:val="00EC3BD0"/>
    <w:rsid w:val="00EC3E53"/>
    <w:rsid w:val="00EC405F"/>
    <w:rsid w:val="00EC4104"/>
    <w:rsid w:val="00EC431B"/>
    <w:rsid w:val="00EC4468"/>
    <w:rsid w:val="00EC4473"/>
    <w:rsid w:val="00EC4757"/>
    <w:rsid w:val="00EC4896"/>
    <w:rsid w:val="00EC4AF9"/>
    <w:rsid w:val="00EC4CFD"/>
    <w:rsid w:val="00EC4D5C"/>
    <w:rsid w:val="00EC4DF3"/>
    <w:rsid w:val="00EC4EE7"/>
    <w:rsid w:val="00EC54CE"/>
    <w:rsid w:val="00EC550F"/>
    <w:rsid w:val="00EC565B"/>
    <w:rsid w:val="00EC5735"/>
    <w:rsid w:val="00EC58D7"/>
    <w:rsid w:val="00EC5A44"/>
    <w:rsid w:val="00EC5A6F"/>
    <w:rsid w:val="00EC5B41"/>
    <w:rsid w:val="00EC5C85"/>
    <w:rsid w:val="00EC5DD9"/>
    <w:rsid w:val="00EC5E3D"/>
    <w:rsid w:val="00EC5FE8"/>
    <w:rsid w:val="00EC61D0"/>
    <w:rsid w:val="00EC6258"/>
    <w:rsid w:val="00EC62CE"/>
    <w:rsid w:val="00EC65CE"/>
    <w:rsid w:val="00EC66D9"/>
    <w:rsid w:val="00EC67F4"/>
    <w:rsid w:val="00EC6835"/>
    <w:rsid w:val="00EC6996"/>
    <w:rsid w:val="00EC6CCE"/>
    <w:rsid w:val="00EC6D75"/>
    <w:rsid w:val="00EC6D7B"/>
    <w:rsid w:val="00EC6EAF"/>
    <w:rsid w:val="00EC6F01"/>
    <w:rsid w:val="00EC6F68"/>
    <w:rsid w:val="00EC709B"/>
    <w:rsid w:val="00EC71B4"/>
    <w:rsid w:val="00EC7343"/>
    <w:rsid w:val="00EC7411"/>
    <w:rsid w:val="00EC74C2"/>
    <w:rsid w:val="00EC7542"/>
    <w:rsid w:val="00EC76AA"/>
    <w:rsid w:val="00EC77BB"/>
    <w:rsid w:val="00EC7A77"/>
    <w:rsid w:val="00EC7AD2"/>
    <w:rsid w:val="00EC7C2B"/>
    <w:rsid w:val="00EC7CC6"/>
    <w:rsid w:val="00EC7DD0"/>
    <w:rsid w:val="00EC7DD3"/>
    <w:rsid w:val="00EC7FBA"/>
    <w:rsid w:val="00ED0016"/>
    <w:rsid w:val="00ED00E6"/>
    <w:rsid w:val="00ED02F5"/>
    <w:rsid w:val="00ED0535"/>
    <w:rsid w:val="00ED059E"/>
    <w:rsid w:val="00ED05AA"/>
    <w:rsid w:val="00ED081D"/>
    <w:rsid w:val="00ED0877"/>
    <w:rsid w:val="00ED088D"/>
    <w:rsid w:val="00ED08BB"/>
    <w:rsid w:val="00ED0A99"/>
    <w:rsid w:val="00ED0B86"/>
    <w:rsid w:val="00ED0C52"/>
    <w:rsid w:val="00ED0C76"/>
    <w:rsid w:val="00ED0D75"/>
    <w:rsid w:val="00ED0ED6"/>
    <w:rsid w:val="00ED0EF6"/>
    <w:rsid w:val="00ED106C"/>
    <w:rsid w:val="00ED10B1"/>
    <w:rsid w:val="00ED10E3"/>
    <w:rsid w:val="00ED1158"/>
    <w:rsid w:val="00ED13F9"/>
    <w:rsid w:val="00ED1650"/>
    <w:rsid w:val="00ED1687"/>
    <w:rsid w:val="00ED176B"/>
    <w:rsid w:val="00ED177E"/>
    <w:rsid w:val="00ED17F6"/>
    <w:rsid w:val="00ED189B"/>
    <w:rsid w:val="00ED18D5"/>
    <w:rsid w:val="00ED19EF"/>
    <w:rsid w:val="00ED1A45"/>
    <w:rsid w:val="00ED1A61"/>
    <w:rsid w:val="00ED1F9F"/>
    <w:rsid w:val="00ED2080"/>
    <w:rsid w:val="00ED2179"/>
    <w:rsid w:val="00ED217C"/>
    <w:rsid w:val="00ED21C4"/>
    <w:rsid w:val="00ED22AE"/>
    <w:rsid w:val="00ED2496"/>
    <w:rsid w:val="00ED24C4"/>
    <w:rsid w:val="00ED2577"/>
    <w:rsid w:val="00ED262A"/>
    <w:rsid w:val="00ED2780"/>
    <w:rsid w:val="00ED29DA"/>
    <w:rsid w:val="00ED2B51"/>
    <w:rsid w:val="00ED2C65"/>
    <w:rsid w:val="00ED2D99"/>
    <w:rsid w:val="00ED2F96"/>
    <w:rsid w:val="00ED3001"/>
    <w:rsid w:val="00ED3021"/>
    <w:rsid w:val="00ED30A1"/>
    <w:rsid w:val="00ED30A8"/>
    <w:rsid w:val="00ED30C0"/>
    <w:rsid w:val="00ED30CE"/>
    <w:rsid w:val="00ED326E"/>
    <w:rsid w:val="00ED37FC"/>
    <w:rsid w:val="00ED399B"/>
    <w:rsid w:val="00ED39BF"/>
    <w:rsid w:val="00ED3A4F"/>
    <w:rsid w:val="00ED3C33"/>
    <w:rsid w:val="00ED3CBB"/>
    <w:rsid w:val="00ED3CD9"/>
    <w:rsid w:val="00ED3D3E"/>
    <w:rsid w:val="00ED409A"/>
    <w:rsid w:val="00ED4346"/>
    <w:rsid w:val="00ED449A"/>
    <w:rsid w:val="00ED459F"/>
    <w:rsid w:val="00ED45A3"/>
    <w:rsid w:val="00ED4792"/>
    <w:rsid w:val="00ED47FA"/>
    <w:rsid w:val="00ED481B"/>
    <w:rsid w:val="00ED4958"/>
    <w:rsid w:val="00ED4B97"/>
    <w:rsid w:val="00ED4CD0"/>
    <w:rsid w:val="00ED4EEA"/>
    <w:rsid w:val="00ED4EFC"/>
    <w:rsid w:val="00ED4F21"/>
    <w:rsid w:val="00ED4F92"/>
    <w:rsid w:val="00ED500D"/>
    <w:rsid w:val="00ED5156"/>
    <w:rsid w:val="00ED529E"/>
    <w:rsid w:val="00ED54DF"/>
    <w:rsid w:val="00ED54FF"/>
    <w:rsid w:val="00ED56C0"/>
    <w:rsid w:val="00ED56F6"/>
    <w:rsid w:val="00ED5812"/>
    <w:rsid w:val="00ED5897"/>
    <w:rsid w:val="00ED58E5"/>
    <w:rsid w:val="00ED5A0F"/>
    <w:rsid w:val="00ED5C62"/>
    <w:rsid w:val="00ED5C6C"/>
    <w:rsid w:val="00ED5CA0"/>
    <w:rsid w:val="00ED5CBB"/>
    <w:rsid w:val="00ED5CC2"/>
    <w:rsid w:val="00ED5DD0"/>
    <w:rsid w:val="00ED5E57"/>
    <w:rsid w:val="00ED5FDD"/>
    <w:rsid w:val="00ED6091"/>
    <w:rsid w:val="00ED60C7"/>
    <w:rsid w:val="00ED6177"/>
    <w:rsid w:val="00ED6506"/>
    <w:rsid w:val="00ED6527"/>
    <w:rsid w:val="00ED65C0"/>
    <w:rsid w:val="00ED686D"/>
    <w:rsid w:val="00ED68F6"/>
    <w:rsid w:val="00ED6A9E"/>
    <w:rsid w:val="00ED6B56"/>
    <w:rsid w:val="00ED6B7E"/>
    <w:rsid w:val="00ED6C98"/>
    <w:rsid w:val="00ED6D18"/>
    <w:rsid w:val="00ED7236"/>
    <w:rsid w:val="00ED734B"/>
    <w:rsid w:val="00ED73E8"/>
    <w:rsid w:val="00ED7590"/>
    <w:rsid w:val="00ED75ED"/>
    <w:rsid w:val="00ED77B1"/>
    <w:rsid w:val="00ED788E"/>
    <w:rsid w:val="00ED7891"/>
    <w:rsid w:val="00ED7978"/>
    <w:rsid w:val="00ED7A9B"/>
    <w:rsid w:val="00ED7BAA"/>
    <w:rsid w:val="00ED7DD9"/>
    <w:rsid w:val="00ED7F5D"/>
    <w:rsid w:val="00EDABBB"/>
    <w:rsid w:val="00EE02A8"/>
    <w:rsid w:val="00EE03EB"/>
    <w:rsid w:val="00EE0636"/>
    <w:rsid w:val="00EE0767"/>
    <w:rsid w:val="00EE08C4"/>
    <w:rsid w:val="00EE0D00"/>
    <w:rsid w:val="00EE0DBA"/>
    <w:rsid w:val="00EE0F8D"/>
    <w:rsid w:val="00EE101B"/>
    <w:rsid w:val="00EE106B"/>
    <w:rsid w:val="00EE10AA"/>
    <w:rsid w:val="00EE11EF"/>
    <w:rsid w:val="00EE1327"/>
    <w:rsid w:val="00EE13B7"/>
    <w:rsid w:val="00EE1495"/>
    <w:rsid w:val="00EE16F5"/>
    <w:rsid w:val="00EE1862"/>
    <w:rsid w:val="00EE18AD"/>
    <w:rsid w:val="00EE1968"/>
    <w:rsid w:val="00EE1C27"/>
    <w:rsid w:val="00EE1D95"/>
    <w:rsid w:val="00EE1E24"/>
    <w:rsid w:val="00EE1F06"/>
    <w:rsid w:val="00EE21BC"/>
    <w:rsid w:val="00EE220B"/>
    <w:rsid w:val="00EE2243"/>
    <w:rsid w:val="00EE228C"/>
    <w:rsid w:val="00EE2367"/>
    <w:rsid w:val="00EE2453"/>
    <w:rsid w:val="00EE258D"/>
    <w:rsid w:val="00EE2622"/>
    <w:rsid w:val="00EE27E5"/>
    <w:rsid w:val="00EE2A21"/>
    <w:rsid w:val="00EE2B30"/>
    <w:rsid w:val="00EE2B4C"/>
    <w:rsid w:val="00EE2BAF"/>
    <w:rsid w:val="00EE2C1A"/>
    <w:rsid w:val="00EE2C78"/>
    <w:rsid w:val="00EE2C86"/>
    <w:rsid w:val="00EE2EA8"/>
    <w:rsid w:val="00EE2F92"/>
    <w:rsid w:val="00EE3060"/>
    <w:rsid w:val="00EE31AA"/>
    <w:rsid w:val="00EE33BC"/>
    <w:rsid w:val="00EE33DF"/>
    <w:rsid w:val="00EE3476"/>
    <w:rsid w:val="00EE3573"/>
    <w:rsid w:val="00EE369B"/>
    <w:rsid w:val="00EE36DE"/>
    <w:rsid w:val="00EE3722"/>
    <w:rsid w:val="00EE37B2"/>
    <w:rsid w:val="00EE3804"/>
    <w:rsid w:val="00EE3900"/>
    <w:rsid w:val="00EE39E6"/>
    <w:rsid w:val="00EE3BEB"/>
    <w:rsid w:val="00EE3ED9"/>
    <w:rsid w:val="00EE415E"/>
    <w:rsid w:val="00EE420C"/>
    <w:rsid w:val="00EE429B"/>
    <w:rsid w:val="00EE4335"/>
    <w:rsid w:val="00EE4425"/>
    <w:rsid w:val="00EE4438"/>
    <w:rsid w:val="00EE456C"/>
    <w:rsid w:val="00EE45DB"/>
    <w:rsid w:val="00EE4684"/>
    <w:rsid w:val="00EE4827"/>
    <w:rsid w:val="00EE499C"/>
    <w:rsid w:val="00EE49CE"/>
    <w:rsid w:val="00EE4A06"/>
    <w:rsid w:val="00EE4A27"/>
    <w:rsid w:val="00EE4B16"/>
    <w:rsid w:val="00EE4DD2"/>
    <w:rsid w:val="00EE4DE5"/>
    <w:rsid w:val="00EE4E8A"/>
    <w:rsid w:val="00EE4F27"/>
    <w:rsid w:val="00EE4FCC"/>
    <w:rsid w:val="00EE502E"/>
    <w:rsid w:val="00EE5261"/>
    <w:rsid w:val="00EE5286"/>
    <w:rsid w:val="00EE53C4"/>
    <w:rsid w:val="00EE53F3"/>
    <w:rsid w:val="00EE5447"/>
    <w:rsid w:val="00EE544B"/>
    <w:rsid w:val="00EE5499"/>
    <w:rsid w:val="00EE56EB"/>
    <w:rsid w:val="00EE5778"/>
    <w:rsid w:val="00EE58A2"/>
    <w:rsid w:val="00EE594F"/>
    <w:rsid w:val="00EE5A5E"/>
    <w:rsid w:val="00EE5BE2"/>
    <w:rsid w:val="00EE5C4C"/>
    <w:rsid w:val="00EE5C56"/>
    <w:rsid w:val="00EE5CA6"/>
    <w:rsid w:val="00EE5D03"/>
    <w:rsid w:val="00EE5D2A"/>
    <w:rsid w:val="00EE5DFA"/>
    <w:rsid w:val="00EE5F50"/>
    <w:rsid w:val="00EE5FD6"/>
    <w:rsid w:val="00EE6062"/>
    <w:rsid w:val="00EE61B5"/>
    <w:rsid w:val="00EE632E"/>
    <w:rsid w:val="00EE6346"/>
    <w:rsid w:val="00EE651D"/>
    <w:rsid w:val="00EE6521"/>
    <w:rsid w:val="00EE6588"/>
    <w:rsid w:val="00EE6771"/>
    <w:rsid w:val="00EE6979"/>
    <w:rsid w:val="00EE6C1D"/>
    <w:rsid w:val="00EE6C77"/>
    <w:rsid w:val="00EE6CC6"/>
    <w:rsid w:val="00EE6CF7"/>
    <w:rsid w:val="00EE6D90"/>
    <w:rsid w:val="00EE7076"/>
    <w:rsid w:val="00EE7098"/>
    <w:rsid w:val="00EE714D"/>
    <w:rsid w:val="00EE72C1"/>
    <w:rsid w:val="00EE740E"/>
    <w:rsid w:val="00EE74A5"/>
    <w:rsid w:val="00EE77E4"/>
    <w:rsid w:val="00EE784F"/>
    <w:rsid w:val="00EE7975"/>
    <w:rsid w:val="00EE7A0E"/>
    <w:rsid w:val="00EE7ACF"/>
    <w:rsid w:val="00EE7AEF"/>
    <w:rsid w:val="00EE7B86"/>
    <w:rsid w:val="00EE7BBB"/>
    <w:rsid w:val="00EE7C69"/>
    <w:rsid w:val="00EE7CDF"/>
    <w:rsid w:val="00EE7D15"/>
    <w:rsid w:val="00EF03A4"/>
    <w:rsid w:val="00EF03DD"/>
    <w:rsid w:val="00EF054E"/>
    <w:rsid w:val="00EF0780"/>
    <w:rsid w:val="00EF099B"/>
    <w:rsid w:val="00EF09AB"/>
    <w:rsid w:val="00EF0AB6"/>
    <w:rsid w:val="00EF0AF1"/>
    <w:rsid w:val="00EF0BD0"/>
    <w:rsid w:val="00EF0C8E"/>
    <w:rsid w:val="00EF0DCC"/>
    <w:rsid w:val="00EF0E9A"/>
    <w:rsid w:val="00EF0EB5"/>
    <w:rsid w:val="00EF0F54"/>
    <w:rsid w:val="00EF0F90"/>
    <w:rsid w:val="00EF1223"/>
    <w:rsid w:val="00EF12BC"/>
    <w:rsid w:val="00EF1498"/>
    <w:rsid w:val="00EF1505"/>
    <w:rsid w:val="00EF1609"/>
    <w:rsid w:val="00EF1720"/>
    <w:rsid w:val="00EF1808"/>
    <w:rsid w:val="00EF1819"/>
    <w:rsid w:val="00EF188C"/>
    <w:rsid w:val="00EF191B"/>
    <w:rsid w:val="00EF192B"/>
    <w:rsid w:val="00EF1A28"/>
    <w:rsid w:val="00EF1A44"/>
    <w:rsid w:val="00EF1B08"/>
    <w:rsid w:val="00EF1B1E"/>
    <w:rsid w:val="00EF1C65"/>
    <w:rsid w:val="00EF1DFE"/>
    <w:rsid w:val="00EF1E11"/>
    <w:rsid w:val="00EF2218"/>
    <w:rsid w:val="00EF2364"/>
    <w:rsid w:val="00EF2561"/>
    <w:rsid w:val="00EF2563"/>
    <w:rsid w:val="00EF25C7"/>
    <w:rsid w:val="00EF27BC"/>
    <w:rsid w:val="00EF28F1"/>
    <w:rsid w:val="00EF2981"/>
    <w:rsid w:val="00EF2990"/>
    <w:rsid w:val="00EF2AA8"/>
    <w:rsid w:val="00EF2B12"/>
    <w:rsid w:val="00EF2DF3"/>
    <w:rsid w:val="00EF3028"/>
    <w:rsid w:val="00EF34B9"/>
    <w:rsid w:val="00EF35B7"/>
    <w:rsid w:val="00EF3614"/>
    <w:rsid w:val="00EF37E8"/>
    <w:rsid w:val="00EF39C4"/>
    <w:rsid w:val="00EF3A39"/>
    <w:rsid w:val="00EF3AB4"/>
    <w:rsid w:val="00EF3AC5"/>
    <w:rsid w:val="00EF3C71"/>
    <w:rsid w:val="00EF3D94"/>
    <w:rsid w:val="00EF3DB1"/>
    <w:rsid w:val="00EF3E45"/>
    <w:rsid w:val="00EF3F1D"/>
    <w:rsid w:val="00EF3F37"/>
    <w:rsid w:val="00EF3F95"/>
    <w:rsid w:val="00EF4079"/>
    <w:rsid w:val="00EF4139"/>
    <w:rsid w:val="00EF443C"/>
    <w:rsid w:val="00EF4705"/>
    <w:rsid w:val="00EF4803"/>
    <w:rsid w:val="00EF4814"/>
    <w:rsid w:val="00EF483F"/>
    <w:rsid w:val="00EF4861"/>
    <w:rsid w:val="00EF49F1"/>
    <w:rsid w:val="00EF4A38"/>
    <w:rsid w:val="00EF4C5D"/>
    <w:rsid w:val="00EF4F22"/>
    <w:rsid w:val="00EF504E"/>
    <w:rsid w:val="00EF505A"/>
    <w:rsid w:val="00EF5062"/>
    <w:rsid w:val="00EF5069"/>
    <w:rsid w:val="00EF533E"/>
    <w:rsid w:val="00EF55EE"/>
    <w:rsid w:val="00EF5619"/>
    <w:rsid w:val="00EF583A"/>
    <w:rsid w:val="00EF587A"/>
    <w:rsid w:val="00EF5A0C"/>
    <w:rsid w:val="00EF5BD5"/>
    <w:rsid w:val="00EF5E3B"/>
    <w:rsid w:val="00EF5F93"/>
    <w:rsid w:val="00EF6069"/>
    <w:rsid w:val="00EF6109"/>
    <w:rsid w:val="00EF62A3"/>
    <w:rsid w:val="00EF634C"/>
    <w:rsid w:val="00EF63E7"/>
    <w:rsid w:val="00EF6432"/>
    <w:rsid w:val="00EF67CF"/>
    <w:rsid w:val="00EF68CA"/>
    <w:rsid w:val="00EF6929"/>
    <w:rsid w:val="00EF6968"/>
    <w:rsid w:val="00EF6A22"/>
    <w:rsid w:val="00EF6ADA"/>
    <w:rsid w:val="00EF6B05"/>
    <w:rsid w:val="00EF6B35"/>
    <w:rsid w:val="00EF6BF6"/>
    <w:rsid w:val="00EF6C66"/>
    <w:rsid w:val="00EF6CE0"/>
    <w:rsid w:val="00EF6D96"/>
    <w:rsid w:val="00EF6DA2"/>
    <w:rsid w:val="00EF6FB6"/>
    <w:rsid w:val="00EF7087"/>
    <w:rsid w:val="00EF70C1"/>
    <w:rsid w:val="00EF71B1"/>
    <w:rsid w:val="00EF7209"/>
    <w:rsid w:val="00EF7348"/>
    <w:rsid w:val="00EF7358"/>
    <w:rsid w:val="00EF73C6"/>
    <w:rsid w:val="00EF7520"/>
    <w:rsid w:val="00EF7593"/>
    <w:rsid w:val="00EF77AB"/>
    <w:rsid w:val="00EF7883"/>
    <w:rsid w:val="00EF7ABD"/>
    <w:rsid w:val="00EF7BAD"/>
    <w:rsid w:val="00EF7DA0"/>
    <w:rsid w:val="00F003A3"/>
    <w:rsid w:val="00F004B0"/>
    <w:rsid w:val="00F00650"/>
    <w:rsid w:val="00F00686"/>
    <w:rsid w:val="00F00AB4"/>
    <w:rsid w:val="00F00B01"/>
    <w:rsid w:val="00F00C34"/>
    <w:rsid w:val="00F00C54"/>
    <w:rsid w:val="00F00E0A"/>
    <w:rsid w:val="00F00EDE"/>
    <w:rsid w:val="00F00F75"/>
    <w:rsid w:val="00F00FA2"/>
    <w:rsid w:val="00F0108D"/>
    <w:rsid w:val="00F012EC"/>
    <w:rsid w:val="00F014BC"/>
    <w:rsid w:val="00F014FB"/>
    <w:rsid w:val="00F016F4"/>
    <w:rsid w:val="00F017C0"/>
    <w:rsid w:val="00F01935"/>
    <w:rsid w:val="00F01951"/>
    <w:rsid w:val="00F01A2B"/>
    <w:rsid w:val="00F01C56"/>
    <w:rsid w:val="00F01E10"/>
    <w:rsid w:val="00F01E7C"/>
    <w:rsid w:val="00F01EB0"/>
    <w:rsid w:val="00F02321"/>
    <w:rsid w:val="00F02476"/>
    <w:rsid w:val="00F0263D"/>
    <w:rsid w:val="00F0268A"/>
    <w:rsid w:val="00F027B4"/>
    <w:rsid w:val="00F028E1"/>
    <w:rsid w:val="00F02BFE"/>
    <w:rsid w:val="00F02E10"/>
    <w:rsid w:val="00F02F76"/>
    <w:rsid w:val="00F02FE4"/>
    <w:rsid w:val="00F03047"/>
    <w:rsid w:val="00F03055"/>
    <w:rsid w:val="00F030BE"/>
    <w:rsid w:val="00F03179"/>
    <w:rsid w:val="00F0318B"/>
    <w:rsid w:val="00F03193"/>
    <w:rsid w:val="00F033A9"/>
    <w:rsid w:val="00F03620"/>
    <w:rsid w:val="00F03745"/>
    <w:rsid w:val="00F03752"/>
    <w:rsid w:val="00F03BBC"/>
    <w:rsid w:val="00F03C92"/>
    <w:rsid w:val="00F03D9A"/>
    <w:rsid w:val="00F03F10"/>
    <w:rsid w:val="00F03F88"/>
    <w:rsid w:val="00F03F8B"/>
    <w:rsid w:val="00F03FD6"/>
    <w:rsid w:val="00F04232"/>
    <w:rsid w:val="00F042CE"/>
    <w:rsid w:val="00F0434A"/>
    <w:rsid w:val="00F045C1"/>
    <w:rsid w:val="00F04607"/>
    <w:rsid w:val="00F04823"/>
    <w:rsid w:val="00F0483C"/>
    <w:rsid w:val="00F0495B"/>
    <w:rsid w:val="00F04973"/>
    <w:rsid w:val="00F04A1E"/>
    <w:rsid w:val="00F04AA4"/>
    <w:rsid w:val="00F04B0B"/>
    <w:rsid w:val="00F04C96"/>
    <w:rsid w:val="00F04F17"/>
    <w:rsid w:val="00F051CE"/>
    <w:rsid w:val="00F05393"/>
    <w:rsid w:val="00F05483"/>
    <w:rsid w:val="00F05658"/>
    <w:rsid w:val="00F057E9"/>
    <w:rsid w:val="00F05811"/>
    <w:rsid w:val="00F0593F"/>
    <w:rsid w:val="00F05A2E"/>
    <w:rsid w:val="00F05A95"/>
    <w:rsid w:val="00F05B3B"/>
    <w:rsid w:val="00F05B6E"/>
    <w:rsid w:val="00F05C9C"/>
    <w:rsid w:val="00F05CD0"/>
    <w:rsid w:val="00F05CD1"/>
    <w:rsid w:val="00F05D55"/>
    <w:rsid w:val="00F05DDB"/>
    <w:rsid w:val="00F05E59"/>
    <w:rsid w:val="00F05F33"/>
    <w:rsid w:val="00F061FD"/>
    <w:rsid w:val="00F0641B"/>
    <w:rsid w:val="00F06517"/>
    <w:rsid w:val="00F0664D"/>
    <w:rsid w:val="00F066C4"/>
    <w:rsid w:val="00F066E4"/>
    <w:rsid w:val="00F06807"/>
    <w:rsid w:val="00F0684A"/>
    <w:rsid w:val="00F06865"/>
    <w:rsid w:val="00F06942"/>
    <w:rsid w:val="00F06B51"/>
    <w:rsid w:val="00F06D28"/>
    <w:rsid w:val="00F06DD7"/>
    <w:rsid w:val="00F06F7B"/>
    <w:rsid w:val="00F06F86"/>
    <w:rsid w:val="00F07156"/>
    <w:rsid w:val="00F07200"/>
    <w:rsid w:val="00F072B6"/>
    <w:rsid w:val="00F072E9"/>
    <w:rsid w:val="00F0755F"/>
    <w:rsid w:val="00F07AD9"/>
    <w:rsid w:val="00F07B87"/>
    <w:rsid w:val="00F07BE3"/>
    <w:rsid w:val="00F07C02"/>
    <w:rsid w:val="00F07C61"/>
    <w:rsid w:val="00F07C71"/>
    <w:rsid w:val="00F07CDB"/>
    <w:rsid w:val="00F07E4C"/>
    <w:rsid w:val="00F07E84"/>
    <w:rsid w:val="00F07EC9"/>
    <w:rsid w:val="00F07FEC"/>
    <w:rsid w:val="00F07FF4"/>
    <w:rsid w:val="00F1045E"/>
    <w:rsid w:val="00F1060A"/>
    <w:rsid w:val="00F107ED"/>
    <w:rsid w:val="00F108E1"/>
    <w:rsid w:val="00F10926"/>
    <w:rsid w:val="00F10CDE"/>
    <w:rsid w:val="00F10D20"/>
    <w:rsid w:val="00F10D60"/>
    <w:rsid w:val="00F11119"/>
    <w:rsid w:val="00F1116C"/>
    <w:rsid w:val="00F112A2"/>
    <w:rsid w:val="00F112F4"/>
    <w:rsid w:val="00F11510"/>
    <w:rsid w:val="00F11541"/>
    <w:rsid w:val="00F1169B"/>
    <w:rsid w:val="00F11746"/>
    <w:rsid w:val="00F1177A"/>
    <w:rsid w:val="00F11785"/>
    <w:rsid w:val="00F117D0"/>
    <w:rsid w:val="00F11991"/>
    <w:rsid w:val="00F11E9B"/>
    <w:rsid w:val="00F11F7D"/>
    <w:rsid w:val="00F11F94"/>
    <w:rsid w:val="00F1223B"/>
    <w:rsid w:val="00F12255"/>
    <w:rsid w:val="00F12259"/>
    <w:rsid w:val="00F1234A"/>
    <w:rsid w:val="00F12393"/>
    <w:rsid w:val="00F123AA"/>
    <w:rsid w:val="00F124A4"/>
    <w:rsid w:val="00F125D2"/>
    <w:rsid w:val="00F12612"/>
    <w:rsid w:val="00F1267B"/>
    <w:rsid w:val="00F12694"/>
    <w:rsid w:val="00F127D0"/>
    <w:rsid w:val="00F12A5B"/>
    <w:rsid w:val="00F12B46"/>
    <w:rsid w:val="00F12B96"/>
    <w:rsid w:val="00F12B98"/>
    <w:rsid w:val="00F12BAF"/>
    <w:rsid w:val="00F12CA8"/>
    <w:rsid w:val="00F12E0D"/>
    <w:rsid w:val="00F12F7C"/>
    <w:rsid w:val="00F1311E"/>
    <w:rsid w:val="00F13361"/>
    <w:rsid w:val="00F1337C"/>
    <w:rsid w:val="00F13388"/>
    <w:rsid w:val="00F1344B"/>
    <w:rsid w:val="00F134DB"/>
    <w:rsid w:val="00F137B1"/>
    <w:rsid w:val="00F137BE"/>
    <w:rsid w:val="00F13DEA"/>
    <w:rsid w:val="00F13E7C"/>
    <w:rsid w:val="00F13FB8"/>
    <w:rsid w:val="00F14157"/>
    <w:rsid w:val="00F1422A"/>
    <w:rsid w:val="00F142DE"/>
    <w:rsid w:val="00F142FC"/>
    <w:rsid w:val="00F14324"/>
    <w:rsid w:val="00F14446"/>
    <w:rsid w:val="00F14674"/>
    <w:rsid w:val="00F14690"/>
    <w:rsid w:val="00F147EE"/>
    <w:rsid w:val="00F14A2F"/>
    <w:rsid w:val="00F14D4A"/>
    <w:rsid w:val="00F14DC6"/>
    <w:rsid w:val="00F14E81"/>
    <w:rsid w:val="00F14EE6"/>
    <w:rsid w:val="00F153C6"/>
    <w:rsid w:val="00F154C9"/>
    <w:rsid w:val="00F155FE"/>
    <w:rsid w:val="00F156F5"/>
    <w:rsid w:val="00F15A4E"/>
    <w:rsid w:val="00F15AFD"/>
    <w:rsid w:val="00F15D58"/>
    <w:rsid w:val="00F15ECA"/>
    <w:rsid w:val="00F15F04"/>
    <w:rsid w:val="00F15F88"/>
    <w:rsid w:val="00F1607D"/>
    <w:rsid w:val="00F160E5"/>
    <w:rsid w:val="00F166C1"/>
    <w:rsid w:val="00F1679D"/>
    <w:rsid w:val="00F16823"/>
    <w:rsid w:val="00F16845"/>
    <w:rsid w:val="00F16965"/>
    <w:rsid w:val="00F16A13"/>
    <w:rsid w:val="00F16B20"/>
    <w:rsid w:val="00F16DE1"/>
    <w:rsid w:val="00F16EB8"/>
    <w:rsid w:val="00F16FE4"/>
    <w:rsid w:val="00F17149"/>
    <w:rsid w:val="00F1726E"/>
    <w:rsid w:val="00F17343"/>
    <w:rsid w:val="00F1747A"/>
    <w:rsid w:val="00F174D7"/>
    <w:rsid w:val="00F175BD"/>
    <w:rsid w:val="00F178D0"/>
    <w:rsid w:val="00F17935"/>
    <w:rsid w:val="00F179DC"/>
    <w:rsid w:val="00F17ACC"/>
    <w:rsid w:val="00F17AE4"/>
    <w:rsid w:val="00F17B8D"/>
    <w:rsid w:val="00F17CC6"/>
    <w:rsid w:val="00F17D22"/>
    <w:rsid w:val="00F17EB5"/>
    <w:rsid w:val="00F17FA3"/>
    <w:rsid w:val="00F17FFB"/>
    <w:rsid w:val="00F200EB"/>
    <w:rsid w:val="00F204E2"/>
    <w:rsid w:val="00F2069E"/>
    <w:rsid w:val="00F20891"/>
    <w:rsid w:val="00F20A85"/>
    <w:rsid w:val="00F20AF2"/>
    <w:rsid w:val="00F20B9F"/>
    <w:rsid w:val="00F20BFE"/>
    <w:rsid w:val="00F20D35"/>
    <w:rsid w:val="00F20D45"/>
    <w:rsid w:val="00F20DB5"/>
    <w:rsid w:val="00F20DB6"/>
    <w:rsid w:val="00F20DCA"/>
    <w:rsid w:val="00F20E8B"/>
    <w:rsid w:val="00F20E8D"/>
    <w:rsid w:val="00F20F65"/>
    <w:rsid w:val="00F211CE"/>
    <w:rsid w:val="00F21202"/>
    <w:rsid w:val="00F212A3"/>
    <w:rsid w:val="00F212B2"/>
    <w:rsid w:val="00F213B7"/>
    <w:rsid w:val="00F214CA"/>
    <w:rsid w:val="00F21538"/>
    <w:rsid w:val="00F216EA"/>
    <w:rsid w:val="00F217B6"/>
    <w:rsid w:val="00F218CE"/>
    <w:rsid w:val="00F218E4"/>
    <w:rsid w:val="00F21DD3"/>
    <w:rsid w:val="00F21DE0"/>
    <w:rsid w:val="00F21F22"/>
    <w:rsid w:val="00F22197"/>
    <w:rsid w:val="00F221F5"/>
    <w:rsid w:val="00F2227B"/>
    <w:rsid w:val="00F223A3"/>
    <w:rsid w:val="00F22413"/>
    <w:rsid w:val="00F22695"/>
    <w:rsid w:val="00F228F9"/>
    <w:rsid w:val="00F22CCC"/>
    <w:rsid w:val="00F22F1C"/>
    <w:rsid w:val="00F22FC7"/>
    <w:rsid w:val="00F2300E"/>
    <w:rsid w:val="00F23089"/>
    <w:rsid w:val="00F230C2"/>
    <w:rsid w:val="00F23203"/>
    <w:rsid w:val="00F23340"/>
    <w:rsid w:val="00F2388E"/>
    <w:rsid w:val="00F23985"/>
    <w:rsid w:val="00F23B09"/>
    <w:rsid w:val="00F2426D"/>
    <w:rsid w:val="00F24457"/>
    <w:rsid w:val="00F24466"/>
    <w:rsid w:val="00F24515"/>
    <w:rsid w:val="00F24556"/>
    <w:rsid w:val="00F24561"/>
    <w:rsid w:val="00F245DE"/>
    <w:rsid w:val="00F2476D"/>
    <w:rsid w:val="00F24838"/>
    <w:rsid w:val="00F249F9"/>
    <w:rsid w:val="00F24A5F"/>
    <w:rsid w:val="00F24B23"/>
    <w:rsid w:val="00F24C1F"/>
    <w:rsid w:val="00F24C9A"/>
    <w:rsid w:val="00F24D10"/>
    <w:rsid w:val="00F24F7D"/>
    <w:rsid w:val="00F24FA5"/>
    <w:rsid w:val="00F250BD"/>
    <w:rsid w:val="00F2527A"/>
    <w:rsid w:val="00F2535F"/>
    <w:rsid w:val="00F25469"/>
    <w:rsid w:val="00F254D0"/>
    <w:rsid w:val="00F254E4"/>
    <w:rsid w:val="00F257A4"/>
    <w:rsid w:val="00F258D2"/>
    <w:rsid w:val="00F2595D"/>
    <w:rsid w:val="00F25CF4"/>
    <w:rsid w:val="00F25D5D"/>
    <w:rsid w:val="00F25D9B"/>
    <w:rsid w:val="00F25E18"/>
    <w:rsid w:val="00F25E55"/>
    <w:rsid w:val="00F25E57"/>
    <w:rsid w:val="00F25EF2"/>
    <w:rsid w:val="00F25F2B"/>
    <w:rsid w:val="00F25F30"/>
    <w:rsid w:val="00F25F54"/>
    <w:rsid w:val="00F25F71"/>
    <w:rsid w:val="00F26307"/>
    <w:rsid w:val="00F26396"/>
    <w:rsid w:val="00F26587"/>
    <w:rsid w:val="00F26638"/>
    <w:rsid w:val="00F26A7F"/>
    <w:rsid w:val="00F26BD4"/>
    <w:rsid w:val="00F26CAB"/>
    <w:rsid w:val="00F26D7D"/>
    <w:rsid w:val="00F26EEF"/>
    <w:rsid w:val="00F26F10"/>
    <w:rsid w:val="00F26F4A"/>
    <w:rsid w:val="00F26FE3"/>
    <w:rsid w:val="00F270AE"/>
    <w:rsid w:val="00F2721E"/>
    <w:rsid w:val="00F272C8"/>
    <w:rsid w:val="00F2735C"/>
    <w:rsid w:val="00F277EE"/>
    <w:rsid w:val="00F27880"/>
    <w:rsid w:val="00F27A24"/>
    <w:rsid w:val="00F27AE7"/>
    <w:rsid w:val="00F27BAB"/>
    <w:rsid w:val="00F27C8F"/>
    <w:rsid w:val="00F287FE"/>
    <w:rsid w:val="00F28C0C"/>
    <w:rsid w:val="00F30290"/>
    <w:rsid w:val="00F30534"/>
    <w:rsid w:val="00F305CC"/>
    <w:rsid w:val="00F30658"/>
    <w:rsid w:val="00F30760"/>
    <w:rsid w:val="00F307A7"/>
    <w:rsid w:val="00F307DC"/>
    <w:rsid w:val="00F307DE"/>
    <w:rsid w:val="00F30A9A"/>
    <w:rsid w:val="00F30B28"/>
    <w:rsid w:val="00F30BAD"/>
    <w:rsid w:val="00F30BE5"/>
    <w:rsid w:val="00F30D41"/>
    <w:rsid w:val="00F30D6F"/>
    <w:rsid w:val="00F30D83"/>
    <w:rsid w:val="00F30F01"/>
    <w:rsid w:val="00F30F48"/>
    <w:rsid w:val="00F30FEE"/>
    <w:rsid w:val="00F31054"/>
    <w:rsid w:val="00F31300"/>
    <w:rsid w:val="00F31586"/>
    <w:rsid w:val="00F315C0"/>
    <w:rsid w:val="00F315CF"/>
    <w:rsid w:val="00F31738"/>
    <w:rsid w:val="00F31A69"/>
    <w:rsid w:val="00F31A7E"/>
    <w:rsid w:val="00F31AAB"/>
    <w:rsid w:val="00F31BBF"/>
    <w:rsid w:val="00F31C61"/>
    <w:rsid w:val="00F31F70"/>
    <w:rsid w:val="00F32213"/>
    <w:rsid w:val="00F322FF"/>
    <w:rsid w:val="00F32377"/>
    <w:rsid w:val="00F32454"/>
    <w:rsid w:val="00F32648"/>
    <w:rsid w:val="00F3280D"/>
    <w:rsid w:val="00F33074"/>
    <w:rsid w:val="00F331AF"/>
    <w:rsid w:val="00F33429"/>
    <w:rsid w:val="00F334EA"/>
    <w:rsid w:val="00F33541"/>
    <w:rsid w:val="00F33619"/>
    <w:rsid w:val="00F33766"/>
    <w:rsid w:val="00F337EC"/>
    <w:rsid w:val="00F3386E"/>
    <w:rsid w:val="00F33998"/>
    <w:rsid w:val="00F33ABF"/>
    <w:rsid w:val="00F33C1A"/>
    <w:rsid w:val="00F33CAD"/>
    <w:rsid w:val="00F33EF8"/>
    <w:rsid w:val="00F33F8D"/>
    <w:rsid w:val="00F33FF7"/>
    <w:rsid w:val="00F34041"/>
    <w:rsid w:val="00F340A6"/>
    <w:rsid w:val="00F34183"/>
    <w:rsid w:val="00F3438A"/>
    <w:rsid w:val="00F343DB"/>
    <w:rsid w:val="00F34408"/>
    <w:rsid w:val="00F345D3"/>
    <w:rsid w:val="00F34644"/>
    <w:rsid w:val="00F3483F"/>
    <w:rsid w:val="00F348BA"/>
    <w:rsid w:val="00F34961"/>
    <w:rsid w:val="00F34ADD"/>
    <w:rsid w:val="00F34AE7"/>
    <w:rsid w:val="00F34CC6"/>
    <w:rsid w:val="00F34CEC"/>
    <w:rsid w:val="00F34DDB"/>
    <w:rsid w:val="00F34E29"/>
    <w:rsid w:val="00F34F24"/>
    <w:rsid w:val="00F34FD9"/>
    <w:rsid w:val="00F34FE9"/>
    <w:rsid w:val="00F35015"/>
    <w:rsid w:val="00F35066"/>
    <w:rsid w:val="00F3511A"/>
    <w:rsid w:val="00F35136"/>
    <w:rsid w:val="00F3518F"/>
    <w:rsid w:val="00F35252"/>
    <w:rsid w:val="00F35320"/>
    <w:rsid w:val="00F35393"/>
    <w:rsid w:val="00F354A3"/>
    <w:rsid w:val="00F35546"/>
    <w:rsid w:val="00F3570C"/>
    <w:rsid w:val="00F3583D"/>
    <w:rsid w:val="00F3597F"/>
    <w:rsid w:val="00F35AC9"/>
    <w:rsid w:val="00F35C07"/>
    <w:rsid w:val="00F35C64"/>
    <w:rsid w:val="00F35CC3"/>
    <w:rsid w:val="00F35DFD"/>
    <w:rsid w:val="00F35E73"/>
    <w:rsid w:val="00F35EA1"/>
    <w:rsid w:val="00F35EB1"/>
    <w:rsid w:val="00F3648A"/>
    <w:rsid w:val="00F3655F"/>
    <w:rsid w:val="00F365E1"/>
    <w:rsid w:val="00F36729"/>
    <w:rsid w:val="00F367D6"/>
    <w:rsid w:val="00F367E6"/>
    <w:rsid w:val="00F36C15"/>
    <w:rsid w:val="00F36C48"/>
    <w:rsid w:val="00F36D4F"/>
    <w:rsid w:val="00F37058"/>
    <w:rsid w:val="00F370EB"/>
    <w:rsid w:val="00F3729E"/>
    <w:rsid w:val="00F37461"/>
    <w:rsid w:val="00F3770B"/>
    <w:rsid w:val="00F37912"/>
    <w:rsid w:val="00F379B9"/>
    <w:rsid w:val="00F379C4"/>
    <w:rsid w:val="00F379EA"/>
    <w:rsid w:val="00F37B29"/>
    <w:rsid w:val="00F37CA8"/>
    <w:rsid w:val="00F37CBD"/>
    <w:rsid w:val="00F37E17"/>
    <w:rsid w:val="00F37E61"/>
    <w:rsid w:val="00F40041"/>
    <w:rsid w:val="00F403E4"/>
    <w:rsid w:val="00F40460"/>
    <w:rsid w:val="00F4056B"/>
    <w:rsid w:val="00F40665"/>
    <w:rsid w:val="00F406B4"/>
    <w:rsid w:val="00F4086F"/>
    <w:rsid w:val="00F40924"/>
    <w:rsid w:val="00F40DA4"/>
    <w:rsid w:val="00F40EF6"/>
    <w:rsid w:val="00F41112"/>
    <w:rsid w:val="00F41208"/>
    <w:rsid w:val="00F41531"/>
    <w:rsid w:val="00F4181F"/>
    <w:rsid w:val="00F4190B"/>
    <w:rsid w:val="00F41D58"/>
    <w:rsid w:val="00F41F50"/>
    <w:rsid w:val="00F42353"/>
    <w:rsid w:val="00F4259F"/>
    <w:rsid w:val="00F42660"/>
    <w:rsid w:val="00F428CC"/>
    <w:rsid w:val="00F429EF"/>
    <w:rsid w:val="00F42ED7"/>
    <w:rsid w:val="00F42FE2"/>
    <w:rsid w:val="00F4323A"/>
    <w:rsid w:val="00F4342F"/>
    <w:rsid w:val="00F4346D"/>
    <w:rsid w:val="00F43552"/>
    <w:rsid w:val="00F4356E"/>
    <w:rsid w:val="00F435C9"/>
    <w:rsid w:val="00F435DB"/>
    <w:rsid w:val="00F43746"/>
    <w:rsid w:val="00F438CD"/>
    <w:rsid w:val="00F43A30"/>
    <w:rsid w:val="00F43A52"/>
    <w:rsid w:val="00F43A5A"/>
    <w:rsid w:val="00F43C1A"/>
    <w:rsid w:val="00F43EAC"/>
    <w:rsid w:val="00F44017"/>
    <w:rsid w:val="00F440AC"/>
    <w:rsid w:val="00F4437F"/>
    <w:rsid w:val="00F44487"/>
    <w:rsid w:val="00F444F5"/>
    <w:rsid w:val="00F44646"/>
    <w:rsid w:val="00F44725"/>
    <w:rsid w:val="00F4495C"/>
    <w:rsid w:val="00F44BA8"/>
    <w:rsid w:val="00F44C64"/>
    <w:rsid w:val="00F4534D"/>
    <w:rsid w:val="00F45488"/>
    <w:rsid w:val="00F454EC"/>
    <w:rsid w:val="00F45554"/>
    <w:rsid w:val="00F455DE"/>
    <w:rsid w:val="00F45664"/>
    <w:rsid w:val="00F45720"/>
    <w:rsid w:val="00F45805"/>
    <w:rsid w:val="00F45A33"/>
    <w:rsid w:val="00F45AB8"/>
    <w:rsid w:val="00F45B59"/>
    <w:rsid w:val="00F45BD0"/>
    <w:rsid w:val="00F45CF0"/>
    <w:rsid w:val="00F45D22"/>
    <w:rsid w:val="00F45D6A"/>
    <w:rsid w:val="00F45DFE"/>
    <w:rsid w:val="00F45EF3"/>
    <w:rsid w:val="00F4612A"/>
    <w:rsid w:val="00F461F4"/>
    <w:rsid w:val="00F46218"/>
    <w:rsid w:val="00F4625C"/>
    <w:rsid w:val="00F463E2"/>
    <w:rsid w:val="00F4644D"/>
    <w:rsid w:val="00F4650C"/>
    <w:rsid w:val="00F465CF"/>
    <w:rsid w:val="00F46742"/>
    <w:rsid w:val="00F46807"/>
    <w:rsid w:val="00F4681E"/>
    <w:rsid w:val="00F4681F"/>
    <w:rsid w:val="00F468AE"/>
    <w:rsid w:val="00F46953"/>
    <w:rsid w:val="00F46A0D"/>
    <w:rsid w:val="00F46A1F"/>
    <w:rsid w:val="00F46B27"/>
    <w:rsid w:val="00F46B5A"/>
    <w:rsid w:val="00F46C44"/>
    <w:rsid w:val="00F46DA9"/>
    <w:rsid w:val="00F46DE9"/>
    <w:rsid w:val="00F46E16"/>
    <w:rsid w:val="00F46EFE"/>
    <w:rsid w:val="00F47077"/>
    <w:rsid w:val="00F47330"/>
    <w:rsid w:val="00F4746F"/>
    <w:rsid w:val="00F474F0"/>
    <w:rsid w:val="00F475A1"/>
    <w:rsid w:val="00F475FC"/>
    <w:rsid w:val="00F47641"/>
    <w:rsid w:val="00F4768D"/>
    <w:rsid w:val="00F476DA"/>
    <w:rsid w:val="00F47704"/>
    <w:rsid w:val="00F477A6"/>
    <w:rsid w:val="00F477BE"/>
    <w:rsid w:val="00F477C0"/>
    <w:rsid w:val="00F477EB"/>
    <w:rsid w:val="00F47877"/>
    <w:rsid w:val="00F47936"/>
    <w:rsid w:val="00F47B4D"/>
    <w:rsid w:val="00F47B70"/>
    <w:rsid w:val="00F47BF4"/>
    <w:rsid w:val="00F47C41"/>
    <w:rsid w:val="00F47E50"/>
    <w:rsid w:val="00F47FB9"/>
    <w:rsid w:val="00F50446"/>
    <w:rsid w:val="00F50460"/>
    <w:rsid w:val="00F50599"/>
    <w:rsid w:val="00F5063A"/>
    <w:rsid w:val="00F50673"/>
    <w:rsid w:val="00F5067F"/>
    <w:rsid w:val="00F50716"/>
    <w:rsid w:val="00F50842"/>
    <w:rsid w:val="00F50B7A"/>
    <w:rsid w:val="00F50B9B"/>
    <w:rsid w:val="00F50C40"/>
    <w:rsid w:val="00F50C64"/>
    <w:rsid w:val="00F50E52"/>
    <w:rsid w:val="00F50E88"/>
    <w:rsid w:val="00F50EE0"/>
    <w:rsid w:val="00F51546"/>
    <w:rsid w:val="00F517C1"/>
    <w:rsid w:val="00F517F2"/>
    <w:rsid w:val="00F519B7"/>
    <w:rsid w:val="00F51AB5"/>
    <w:rsid w:val="00F51AC7"/>
    <w:rsid w:val="00F51B35"/>
    <w:rsid w:val="00F51C31"/>
    <w:rsid w:val="00F51C41"/>
    <w:rsid w:val="00F51D1E"/>
    <w:rsid w:val="00F51DDB"/>
    <w:rsid w:val="00F51E24"/>
    <w:rsid w:val="00F5223B"/>
    <w:rsid w:val="00F52259"/>
    <w:rsid w:val="00F52364"/>
    <w:rsid w:val="00F5242C"/>
    <w:rsid w:val="00F52480"/>
    <w:rsid w:val="00F52521"/>
    <w:rsid w:val="00F525D8"/>
    <w:rsid w:val="00F52647"/>
    <w:rsid w:val="00F528D1"/>
    <w:rsid w:val="00F5291A"/>
    <w:rsid w:val="00F529AD"/>
    <w:rsid w:val="00F52A67"/>
    <w:rsid w:val="00F52ABF"/>
    <w:rsid w:val="00F52CE0"/>
    <w:rsid w:val="00F52D59"/>
    <w:rsid w:val="00F530FC"/>
    <w:rsid w:val="00F532AA"/>
    <w:rsid w:val="00F532CD"/>
    <w:rsid w:val="00F5330E"/>
    <w:rsid w:val="00F5335D"/>
    <w:rsid w:val="00F53368"/>
    <w:rsid w:val="00F53380"/>
    <w:rsid w:val="00F536B1"/>
    <w:rsid w:val="00F536B4"/>
    <w:rsid w:val="00F53809"/>
    <w:rsid w:val="00F5385D"/>
    <w:rsid w:val="00F53863"/>
    <w:rsid w:val="00F53871"/>
    <w:rsid w:val="00F53BED"/>
    <w:rsid w:val="00F53D57"/>
    <w:rsid w:val="00F53EB3"/>
    <w:rsid w:val="00F53F7F"/>
    <w:rsid w:val="00F53FAE"/>
    <w:rsid w:val="00F53FD9"/>
    <w:rsid w:val="00F53FF5"/>
    <w:rsid w:val="00F54003"/>
    <w:rsid w:val="00F54102"/>
    <w:rsid w:val="00F54294"/>
    <w:rsid w:val="00F5440B"/>
    <w:rsid w:val="00F5449E"/>
    <w:rsid w:val="00F544AB"/>
    <w:rsid w:val="00F546EA"/>
    <w:rsid w:val="00F54725"/>
    <w:rsid w:val="00F54881"/>
    <w:rsid w:val="00F549DF"/>
    <w:rsid w:val="00F54E0B"/>
    <w:rsid w:val="00F54F49"/>
    <w:rsid w:val="00F55063"/>
    <w:rsid w:val="00F5507F"/>
    <w:rsid w:val="00F555F8"/>
    <w:rsid w:val="00F5562D"/>
    <w:rsid w:val="00F5572E"/>
    <w:rsid w:val="00F55742"/>
    <w:rsid w:val="00F5576C"/>
    <w:rsid w:val="00F557AF"/>
    <w:rsid w:val="00F557DD"/>
    <w:rsid w:val="00F55910"/>
    <w:rsid w:val="00F5593A"/>
    <w:rsid w:val="00F55D89"/>
    <w:rsid w:val="00F55D8A"/>
    <w:rsid w:val="00F55E57"/>
    <w:rsid w:val="00F5614A"/>
    <w:rsid w:val="00F561FA"/>
    <w:rsid w:val="00F56494"/>
    <w:rsid w:val="00F564BA"/>
    <w:rsid w:val="00F56659"/>
    <w:rsid w:val="00F566F2"/>
    <w:rsid w:val="00F56735"/>
    <w:rsid w:val="00F56801"/>
    <w:rsid w:val="00F5694E"/>
    <w:rsid w:val="00F56998"/>
    <w:rsid w:val="00F56B7B"/>
    <w:rsid w:val="00F56BEA"/>
    <w:rsid w:val="00F56CB6"/>
    <w:rsid w:val="00F56E07"/>
    <w:rsid w:val="00F56EA2"/>
    <w:rsid w:val="00F56EA3"/>
    <w:rsid w:val="00F56EC9"/>
    <w:rsid w:val="00F57071"/>
    <w:rsid w:val="00F57171"/>
    <w:rsid w:val="00F57194"/>
    <w:rsid w:val="00F571F3"/>
    <w:rsid w:val="00F57209"/>
    <w:rsid w:val="00F5743A"/>
    <w:rsid w:val="00F574D4"/>
    <w:rsid w:val="00F5756A"/>
    <w:rsid w:val="00F575E4"/>
    <w:rsid w:val="00F575F6"/>
    <w:rsid w:val="00F57716"/>
    <w:rsid w:val="00F57761"/>
    <w:rsid w:val="00F57854"/>
    <w:rsid w:val="00F57912"/>
    <w:rsid w:val="00F57922"/>
    <w:rsid w:val="00F57A1F"/>
    <w:rsid w:val="00F57A64"/>
    <w:rsid w:val="00F57BE5"/>
    <w:rsid w:val="00F57C32"/>
    <w:rsid w:val="00F57D80"/>
    <w:rsid w:val="00F57DA1"/>
    <w:rsid w:val="00F5E3C0"/>
    <w:rsid w:val="00F6005E"/>
    <w:rsid w:val="00F6025A"/>
    <w:rsid w:val="00F60334"/>
    <w:rsid w:val="00F60374"/>
    <w:rsid w:val="00F60443"/>
    <w:rsid w:val="00F6062A"/>
    <w:rsid w:val="00F60716"/>
    <w:rsid w:val="00F607A5"/>
    <w:rsid w:val="00F60C6C"/>
    <w:rsid w:val="00F60DC4"/>
    <w:rsid w:val="00F60EE7"/>
    <w:rsid w:val="00F60EF5"/>
    <w:rsid w:val="00F60F0C"/>
    <w:rsid w:val="00F61008"/>
    <w:rsid w:val="00F612DC"/>
    <w:rsid w:val="00F61649"/>
    <w:rsid w:val="00F616B1"/>
    <w:rsid w:val="00F61AC0"/>
    <w:rsid w:val="00F61BC5"/>
    <w:rsid w:val="00F61C0E"/>
    <w:rsid w:val="00F61C9F"/>
    <w:rsid w:val="00F61D41"/>
    <w:rsid w:val="00F61E5F"/>
    <w:rsid w:val="00F61FC0"/>
    <w:rsid w:val="00F62084"/>
    <w:rsid w:val="00F62092"/>
    <w:rsid w:val="00F620D8"/>
    <w:rsid w:val="00F62123"/>
    <w:rsid w:val="00F62131"/>
    <w:rsid w:val="00F6239C"/>
    <w:rsid w:val="00F62483"/>
    <w:rsid w:val="00F624D3"/>
    <w:rsid w:val="00F62507"/>
    <w:rsid w:val="00F6251D"/>
    <w:rsid w:val="00F6254C"/>
    <w:rsid w:val="00F627CA"/>
    <w:rsid w:val="00F62826"/>
    <w:rsid w:val="00F628FB"/>
    <w:rsid w:val="00F62976"/>
    <w:rsid w:val="00F6299A"/>
    <w:rsid w:val="00F62BD4"/>
    <w:rsid w:val="00F62C5E"/>
    <w:rsid w:val="00F630BA"/>
    <w:rsid w:val="00F630FE"/>
    <w:rsid w:val="00F634E7"/>
    <w:rsid w:val="00F634F2"/>
    <w:rsid w:val="00F6354C"/>
    <w:rsid w:val="00F63BCB"/>
    <w:rsid w:val="00F63C97"/>
    <w:rsid w:val="00F63D08"/>
    <w:rsid w:val="00F63D63"/>
    <w:rsid w:val="00F63D96"/>
    <w:rsid w:val="00F63E82"/>
    <w:rsid w:val="00F63EA7"/>
    <w:rsid w:val="00F63FDF"/>
    <w:rsid w:val="00F641B7"/>
    <w:rsid w:val="00F64251"/>
    <w:rsid w:val="00F647FB"/>
    <w:rsid w:val="00F64885"/>
    <w:rsid w:val="00F648F7"/>
    <w:rsid w:val="00F64A9C"/>
    <w:rsid w:val="00F64CCB"/>
    <w:rsid w:val="00F64E81"/>
    <w:rsid w:val="00F65146"/>
    <w:rsid w:val="00F651A0"/>
    <w:rsid w:val="00F652BA"/>
    <w:rsid w:val="00F65524"/>
    <w:rsid w:val="00F6566A"/>
    <w:rsid w:val="00F6570B"/>
    <w:rsid w:val="00F657EC"/>
    <w:rsid w:val="00F65926"/>
    <w:rsid w:val="00F65930"/>
    <w:rsid w:val="00F65988"/>
    <w:rsid w:val="00F65BDC"/>
    <w:rsid w:val="00F65E2A"/>
    <w:rsid w:val="00F66062"/>
    <w:rsid w:val="00F662D4"/>
    <w:rsid w:val="00F66346"/>
    <w:rsid w:val="00F663E9"/>
    <w:rsid w:val="00F663F2"/>
    <w:rsid w:val="00F66629"/>
    <w:rsid w:val="00F66718"/>
    <w:rsid w:val="00F6677E"/>
    <w:rsid w:val="00F66894"/>
    <w:rsid w:val="00F66A69"/>
    <w:rsid w:val="00F66A99"/>
    <w:rsid w:val="00F66AF5"/>
    <w:rsid w:val="00F66B65"/>
    <w:rsid w:val="00F66C62"/>
    <w:rsid w:val="00F66C7A"/>
    <w:rsid w:val="00F66EFE"/>
    <w:rsid w:val="00F670AE"/>
    <w:rsid w:val="00F67209"/>
    <w:rsid w:val="00F672DA"/>
    <w:rsid w:val="00F6758D"/>
    <w:rsid w:val="00F675C6"/>
    <w:rsid w:val="00F6765A"/>
    <w:rsid w:val="00F677EE"/>
    <w:rsid w:val="00F67821"/>
    <w:rsid w:val="00F6783B"/>
    <w:rsid w:val="00F678D1"/>
    <w:rsid w:val="00F67A00"/>
    <w:rsid w:val="00F67FDF"/>
    <w:rsid w:val="00F6A49C"/>
    <w:rsid w:val="00F701DC"/>
    <w:rsid w:val="00F702F9"/>
    <w:rsid w:val="00F703AC"/>
    <w:rsid w:val="00F704D8"/>
    <w:rsid w:val="00F705FE"/>
    <w:rsid w:val="00F705FF"/>
    <w:rsid w:val="00F706E3"/>
    <w:rsid w:val="00F707CA"/>
    <w:rsid w:val="00F707DD"/>
    <w:rsid w:val="00F7080F"/>
    <w:rsid w:val="00F709BF"/>
    <w:rsid w:val="00F70B17"/>
    <w:rsid w:val="00F70FAE"/>
    <w:rsid w:val="00F71219"/>
    <w:rsid w:val="00F713BD"/>
    <w:rsid w:val="00F71724"/>
    <w:rsid w:val="00F71734"/>
    <w:rsid w:val="00F7174C"/>
    <w:rsid w:val="00F719CD"/>
    <w:rsid w:val="00F719D1"/>
    <w:rsid w:val="00F71A96"/>
    <w:rsid w:val="00F71B81"/>
    <w:rsid w:val="00F71C1D"/>
    <w:rsid w:val="00F71C34"/>
    <w:rsid w:val="00F71CD2"/>
    <w:rsid w:val="00F71D4B"/>
    <w:rsid w:val="00F71D53"/>
    <w:rsid w:val="00F71D63"/>
    <w:rsid w:val="00F71D98"/>
    <w:rsid w:val="00F71DC5"/>
    <w:rsid w:val="00F71ED4"/>
    <w:rsid w:val="00F71EDF"/>
    <w:rsid w:val="00F720B8"/>
    <w:rsid w:val="00F72176"/>
    <w:rsid w:val="00F72188"/>
    <w:rsid w:val="00F721EA"/>
    <w:rsid w:val="00F724BA"/>
    <w:rsid w:val="00F724BD"/>
    <w:rsid w:val="00F725DE"/>
    <w:rsid w:val="00F726E4"/>
    <w:rsid w:val="00F72842"/>
    <w:rsid w:val="00F729D6"/>
    <w:rsid w:val="00F72BA2"/>
    <w:rsid w:val="00F72BD5"/>
    <w:rsid w:val="00F72C4E"/>
    <w:rsid w:val="00F72DAB"/>
    <w:rsid w:val="00F72DDC"/>
    <w:rsid w:val="00F72E83"/>
    <w:rsid w:val="00F72F7C"/>
    <w:rsid w:val="00F7320D"/>
    <w:rsid w:val="00F73252"/>
    <w:rsid w:val="00F73336"/>
    <w:rsid w:val="00F733F4"/>
    <w:rsid w:val="00F7346B"/>
    <w:rsid w:val="00F73707"/>
    <w:rsid w:val="00F737EB"/>
    <w:rsid w:val="00F73A82"/>
    <w:rsid w:val="00F73C79"/>
    <w:rsid w:val="00F73C96"/>
    <w:rsid w:val="00F73CE8"/>
    <w:rsid w:val="00F73D1D"/>
    <w:rsid w:val="00F73D7E"/>
    <w:rsid w:val="00F73E04"/>
    <w:rsid w:val="00F7408C"/>
    <w:rsid w:val="00F740D6"/>
    <w:rsid w:val="00F74100"/>
    <w:rsid w:val="00F7415E"/>
    <w:rsid w:val="00F7420F"/>
    <w:rsid w:val="00F74470"/>
    <w:rsid w:val="00F745A1"/>
    <w:rsid w:val="00F746D1"/>
    <w:rsid w:val="00F7474D"/>
    <w:rsid w:val="00F748EB"/>
    <w:rsid w:val="00F74A70"/>
    <w:rsid w:val="00F74AE1"/>
    <w:rsid w:val="00F74AEF"/>
    <w:rsid w:val="00F74BAE"/>
    <w:rsid w:val="00F7528E"/>
    <w:rsid w:val="00F753C9"/>
    <w:rsid w:val="00F7547D"/>
    <w:rsid w:val="00F75532"/>
    <w:rsid w:val="00F7554B"/>
    <w:rsid w:val="00F75794"/>
    <w:rsid w:val="00F757AB"/>
    <w:rsid w:val="00F75909"/>
    <w:rsid w:val="00F75969"/>
    <w:rsid w:val="00F75BFD"/>
    <w:rsid w:val="00F75E48"/>
    <w:rsid w:val="00F75F8A"/>
    <w:rsid w:val="00F76092"/>
    <w:rsid w:val="00F761CC"/>
    <w:rsid w:val="00F76214"/>
    <w:rsid w:val="00F763B5"/>
    <w:rsid w:val="00F76685"/>
    <w:rsid w:val="00F767F7"/>
    <w:rsid w:val="00F76873"/>
    <w:rsid w:val="00F76896"/>
    <w:rsid w:val="00F76921"/>
    <w:rsid w:val="00F76A50"/>
    <w:rsid w:val="00F76A9C"/>
    <w:rsid w:val="00F76D25"/>
    <w:rsid w:val="00F76E44"/>
    <w:rsid w:val="00F770EF"/>
    <w:rsid w:val="00F770F9"/>
    <w:rsid w:val="00F7715E"/>
    <w:rsid w:val="00F7725D"/>
    <w:rsid w:val="00F773C7"/>
    <w:rsid w:val="00F77439"/>
    <w:rsid w:val="00F77573"/>
    <w:rsid w:val="00F77768"/>
    <w:rsid w:val="00F77A4A"/>
    <w:rsid w:val="00F77ACB"/>
    <w:rsid w:val="00F77BE1"/>
    <w:rsid w:val="00F77CA0"/>
    <w:rsid w:val="00F77CB0"/>
    <w:rsid w:val="00F77D7D"/>
    <w:rsid w:val="00F77DC4"/>
    <w:rsid w:val="00F77E42"/>
    <w:rsid w:val="00F77FD2"/>
    <w:rsid w:val="00F8026D"/>
    <w:rsid w:val="00F80472"/>
    <w:rsid w:val="00F8057B"/>
    <w:rsid w:val="00F80612"/>
    <w:rsid w:val="00F80671"/>
    <w:rsid w:val="00F806F4"/>
    <w:rsid w:val="00F8083D"/>
    <w:rsid w:val="00F8087F"/>
    <w:rsid w:val="00F809FF"/>
    <w:rsid w:val="00F80A85"/>
    <w:rsid w:val="00F80BF3"/>
    <w:rsid w:val="00F80C62"/>
    <w:rsid w:val="00F80D39"/>
    <w:rsid w:val="00F80DB0"/>
    <w:rsid w:val="00F80E3B"/>
    <w:rsid w:val="00F80E59"/>
    <w:rsid w:val="00F811AC"/>
    <w:rsid w:val="00F811E9"/>
    <w:rsid w:val="00F81353"/>
    <w:rsid w:val="00F813EC"/>
    <w:rsid w:val="00F81449"/>
    <w:rsid w:val="00F81541"/>
    <w:rsid w:val="00F818B0"/>
    <w:rsid w:val="00F81A4C"/>
    <w:rsid w:val="00F81B5F"/>
    <w:rsid w:val="00F81C33"/>
    <w:rsid w:val="00F81D1D"/>
    <w:rsid w:val="00F81D1E"/>
    <w:rsid w:val="00F81E47"/>
    <w:rsid w:val="00F81FE7"/>
    <w:rsid w:val="00F82562"/>
    <w:rsid w:val="00F825C1"/>
    <w:rsid w:val="00F826C3"/>
    <w:rsid w:val="00F8276C"/>
    <w:rsid w:val="00F827D3"/>
    <w:rsid w:val="00F82AE7"/>
    <w:rsid w:val="00F82B01"/>
    <w:rsid w:val="00F82B80"/>
    <w:rsid w:val="00F82BBE"/>
    <w:rsid w:val="00F82C3B"/>
    <w:rsid w:val="00F82CB9"/>
    <w:rsid w:val="00F82EBD"/>
    <w:rsid w:val="00F82FF7"/>
    <w:rsid w:val="00F83237"/>
    <w:rsid w:val="00F8327F"/>
    <w:rsid w:val="00F833A2"/>
    <w:rsid w:val="00F833A3"/>
    <w:rsid w:val="00F83445"/>
    <w:rsid w:val="00F834E1"/>
    <w:rsid w:val="00F835C2"/>
    <w:rsid w:val="00F83639"/>
    <w:rsid w:val="00F838C4"/>
    <w:rsid w:val="00F83CA3"/>
    <w:rsid w:val="00F83CC1"/>
    <w:rsid w:val="00F83CED"/>
    <w:rsid w:val="00F83F56"/>
    <w:rsid w:val="00F84219"/>
    <w:rsid w:val="00F84390"/>
    <w:rsid w:val="00F84406"/>
    <w:rsid w:val="00F844AD"/>
    <w:rsid w:val="00F84685"/>
    <w:rsid w:val="00F8480A"/>
    <w:rsid w:val="00F84826"/>
    <w:rsid w:val="00F84B0C"/>
    <w:rsid w:val="00F84C60"/>
    <w:rsid w:val="00F84CE4"/>
    <w:rsid w:val="00F84D1C"/>
    <w:rsid w:val="00F84D46"/>
    <w:rsid w:val="00F84D90"/>
    <w:rsid w:val="00F84D94"/>
    <w:rsid w:val="00F84E10"/>
    <w:rsid w:val="00F84E64"/>
    <w:rsid w:val="00F84EF3"/>
    <w:rsid w:val="00F84FFB"/>
    <w:rsid w:val="00F850B8"/>
    <w:rsid w:val="00F85159"/>
    <w:rsid w:val="00F85302"/>
    <w:rsid w:val="00F85469"/>
    <w:rsid w:val="00F85559"/>
    <w:rsid w:val="00F85696"/>
    <w:rsid w:val="00F858A5"/>
    <w:rsid w:val="00F85A86"/>
    <w:rsid w:val="00F85AEC"/>
    <w:rsid w:val="00F85BA0"/>
    <w:rsid w:val="00F85CB2"/>
    <w:rsid w:val="00F85F5D"/>
    <w:rsid w:val="00F86024"/>
    <w:rsid w:val="00F86166"/>
    <w:rsid w:val="00F862BD"/>
    <w:rsid w:val="00F864DC"/>
    <w:rsid w:val="00F86540"/>
    <w:rsid w:val="00F8680D"/>
    <w:rsid w:val="00F86827"/>
    <w:rsid w:val="00F8685A"/>
    <w:rsid w:val="00F86ABA"/>
    <w:rsid w:val="00F86BAD"/>
    <w:rsid w:val="00F86C49"/>
    <w:rsid w:val="00F86DEE"/>
    <w:rsid w:val="00F87018"/>
    <w:rsid w:val="00F8704F"/>
    <w:rsid w:val="00F870B4"/>
    <w:rsid w:val="00F87179"/>
    <w:rsid w:val="00F87209"/>
    <w:rsid w:val="00F8722B"/>
    <w:rsid w:val="00F87265"/>
    <w:rsid w:val="00F873ED"/>
    <w:rsid w:val="00F8743F"/>
    <w:rsid w:val="00F875A3"/>
    <w:rsid w:val="00F875C5"/>
    <w:rsid w:val="00F877BA"/>
    <w:rsid w:val="00F87896"/>
    <w:rsid w:val="00F8793F"/>
    <w:rsid w:val="00F8796F"/>
    <w:rsid w:val="00F87995"/>
    <w:rsid w:val="00F87B87"/>
    <w:rsid w:val="00F87B88"/>
    <w:rsid w:val="00F87BFD"/>
    <w:rsid w:val="00F87C16"/>
    <w:rsid w:val="00F87C86"/>
    <w:rsid w:val="00F87CEF"/>
    <w:rsid w:val="00F87D0B"/>
    <w:rsid w:val="00F90282"/>
    <w:rsid w:val="00F903C5"/>
    <w:rsid w:val="00F903EF"/>
    <w:rsid w:val="00F90584"/>
    <w:rsid w:val="00F905DC"/>
    <w:rsid w:val="00F9097D"/>
    <w:rsid w:val="00F909AD"/>
    <w:rsid w:val="00F90CF6"/>
    <w:rsid w:val="00F90D28"/>
    <w:rsid w:val="00F90D72"/>
    <w:rsid w:val="00F90E85"/>
    <w:rsid w:val="00F90EA5"/>
    <w:rsid w:val="00F90EB8"/>
    <w:rsid w:val="00F90F7B"/>
    <w:rsid w:val="00F90FBF"/>
    <w:rsid w:val="00F911E3"/>
    <w:rsid w:val="00F9129B"/>
    <w:rsid w:val="00F91345"/>
    <w:rsid w:val="00F91593"/>
    <w:rsid w:val="00F916B9"/>
    <w:rsid w:val="00F91BC7"/>
    <w:rsid w:val="00F91DEF"/>
    <w:rsid w:val="00F91E34"/>
    <w:rsid w:val="00F91EC6"/>
    <w:rsid w:val="00F91EEE"/>
    <w:rsid w:val="00F91F18"/>
    <w:rsid w:val="00F91F39"/>
    <w:rsid w:val="00F9219C"/>
    <w:rsid w:val="00F921C8"/>
    <w:rsid w:val="00F9230F"/>
    <w:rsid w:val="00F9232D"/>
    <w:rsid w:val="00F92494"/>
    <w:rsid w:val="00F92988"/>
    <w:rsid w:val="00F92B55"/>
    <w:rsid w:val="00F92D5F"/>
    <w:rsid w:val="00F92E85"/>
    <w:rsid w:val="00F93258"/>
    <w:rsid w:val="00F932D9"/>
    <w:rsid w:val="00F93301"/>
    <w:rsid w:val="00F93395"/>
    <w:rsid w:val="00F93537"/>
    <w:rsid w:val="00F93539"/>
    <w:rsid w:val="00F93584"/>
    <w:rsid w:val="00F93686"/>
    <w:rsid w:val="00F93690"/>
    <w:rsid w:val="00F937C8"/>
    <w:rsid w:val="00F93875"/>
    <w:rsid w:val="00F9389D"/>
    <w:rsid w:val="00F93CF5"/>
    <w:rsid w:val="00F93CF6"/>
    <w:rsid w:val="00F93D00"/>
    <w:rsid w:val="00F93D75"/>
    <w:rsid w:val="00F93E12"/>
    <w:rsid w:val="00F93F8B"/>
    <w:rsid w:val="00F9409F"/>
    <w:rsid w:val="00F94115"/>
    <w:rsid w:val="00F94151"/>
    <w:rsid w:val="00F941E4"/>
    <w:rsid w:val="00F94224"/>
    <w:rsid w:val="00F94313"/>
    <w:rsid w:val="00F9442D"/>
    <w:rsid w:val="00F947C6"/>
    <w:rsid w:val="00F9481C"/>
    <w:rsid w:val="00F94B1B"/>
    <w:rsid w:val="00F94E73"/>
    <w:rsid w:val="00F94FE5"/>
    <w:rsid w:val="00F950F1"/>
    <w:rsid w:val="00F9512B"/>
    <w:rsid w:val="00F95437"/>
    <w:rsid w:val="00F95793"/>
    <w:rsid w:val="00F9588F"/>
    <w:rsid w:val="00F95A77"/>
    <w:rsid w:val="00F95A79"/>
    <w:rsid w:val="00F95E39"/>
    <w:rsid w:val="00F95FE9"/>
    <w:rsid w:val="00F9618F"/>
    <w:rsid w:val="00F961AB"/>
    <w:rsid w:val="00F961D8"/>
    <w:rsid w:val="00F963B8"/>
    <w:rsid w:val="00F963F2"/>
    <w:rsid w:val="00F9652C"/>
    <w:rsid w:val="00F9664E"/>
    <w:rsid w:val="00F967D4"/>
    <w:rsid w:val="00F96888"/>
    <w:rsid w:val="00F96A58"/>
    <w:rsid w:val="00F96B96"/>
    <w:rsid w:val="00F96BFA"/>
    <w:rsid w:val="00F96CD8"/>
    <w:rsid w:val="00F96F5C"/>
    <w:rsid w:val="00F96F73"/>
    <w:rsid w:val="00F97161"/>
    <w:rsid w:val="00F9732F"/>
    <w:rsid w:val="00F97460"/>
    <w:rsid w:val="00F974C3"/>
    <w:rsid w:val="00F97623"/>
    <w:rsid w:val="00F9762F"/>
    <w:rsid w:val="00F97843"/>
    <w:rsid w:val="00F97846"/>
    <w:rsid w:val="00F978BD"/>
    <w:rsid w:val="00F97B7F"/>
    <w:rsid w:val="00F97C03"/>
    <w:rsid w:val="00F97C84"/>
    <w:rsid w:val="00F97CA3"/>
    <w:rsid w:val="00F97CEC"/>
    <w:rsid w:val="00F97D5E"/>
    <w:rsid w:val="00F97E8A"/>
    <w:rsid w:val="00FA002C"/>
    <w:rsid w:val="00FA0058"/>
    <w:rsid w:val="00FA01C4"/>
    <w:rsid w:val="00FA028E"/>
    <w:rsid w:val="00FA02A1"/>
    <w:rsid w:val="00FA0549"/>
    <w:rsid w:val="00FA05E9"/>
    <w:rsid w:val="00FA0787"/>
    <w:rsid w:val="00FA07E1"/>
    <w:rsid w:val="00FA0866"/>
    <w:rsid w:val="00FA095F"/>
    <w:rsid w:val="00FA0A22"/>
    <w:rsid w:val="00FA0A95"/>
    <w:rsid w:val="00FA0B8E"/>
    <w:rsid w:val="00FA0BB8"/>
    <w:rsid w:val="00FA0C34"/>
    <w:rsid w:val="00FA0C76"/>
    <w:rsid w:val="00FA0EE4"/>
    <w:rsid w:val="00FA1087"/>
    <w:rsid w:val="00FA108C"/>
    <w:rsid w:val="00FA116A"/>
    <w:rsid w:val="00FA11EB"/>
    <w:rsid w:val="00FA1531"/>
    <w:rsid w:val="00FA1621"/>
    <w:rsid w:val="00FA1824"/>
    <w:rsid w:val="00FA1A69"/>
    <w:rsid w:val="00FA20E6"/>
    <w:rsid w:val="00FA2108"/>
    <w:rsid w:val="00FA232F"/>
    <w:rsid w:val="00FA23A2"/>
    <w:rsid w:val="00FA2436"/>
    <w:rsid w:val="00FA2641"/>
    <w:rsid w:val="00FA2B56"/>
    <w:rsid w:val="00FA2CC8"/>
    <w:rsid w:val="00FA2D00"/>
    <w:rsid w:val="00FA2E25"/>
    <w:rsid w:val="00FA2FFF"/>
    <w:rsid w:val="00FA31D9"/>
    <w:rsid w:val="00FA344C"/>
    <w:rsid w:val="00FA357C"/>
    <w:rsid w:val="00FA3695"/>
    <w:rsid w:val="00FA374C"/>
    <w:rsid w:val="00FA37DF"/>
    <w:rsid w:val="00FA3B4B"/>
    <w:rsid w:val="00FA3D2D"/>
    <w:rsid w:val="00FA3DAA"/>
    <w:rsid w:val="00FA3EC7"/>
    <w:rsid w:val="00FA3FE8"/>
    <w:rsid w:val="00FA417C"/>
    <w:rsid w:val="00FA4238"/>
    <w:rsid w:val="00FA4266"/>
    <w:rsid w:val="00FA42AB"/>
    <w:rsid w:val="00FA43F2"/>
    <w:rsid w:val="00FA44F7"/>
    <w:rsid w:val="00FA45C5"/>
    <w:rsid w:val="00FA4951"/>
    <w:rsid w:val="00FA4954"/>
    <w:rsid w:val="00FA4AF2"/>
    <w:rsid w:val="00FA4D37"/>
    <w:rsid w:val="00FA4ECA"/>
    <w:rsid w:val="00FA4F4F"/>
    <w:rsid w:val="00FA4F69"/>
    <w:rsid w:val="00FA5032"/>
    <w:rsid w:val="00FA5145"/>
    <w:rsid w:val="00FA5153"/>
    <w:rsid w:val="00FA51A8"/>
    <w:rsid w:val="00FA53D6"/>
    <w:rsid w:val="00FA5783"/>
    <w:rsid w:val="00FA5820"/>
    <w:rsid w:val="00FA58F2"/>
    <w:rsid w:val="00FA594A"/>
    <w:rsid w:val="00FA59EB"/>
    <w:rsid w:val="00FA5B23"/>
    <w:rsid w:val="00FA5BB0"/>
    <w:rsid w:val="00FA5CE8"/>
    <w:rsid w:val="00FA5D30"/>
    <w:rsid w:val="00FA5D6E"/>
    <w:rsid w:val="00FA5DBC"/>
    <w:rsid w:val="00FA5E2D"/>
    <w:rsid w:val="00FA5F29"/>
    <w:rsid w:val="00FA603D"/>
    <w:rsid w:val="00FA620D"/>
    <w:rsid w:val="00FA639F"/>
    <w:rsid w:val="00FA66DC"/>
    <w:rsid w:val="00FA6702"/>
    <w:rsid w:val="00FA6991"/>
    <w:rsid w:val="00FA6ACB"/>
    <w:rsid w:val="00FA6B32"/>
    <w:rsid w:val="00FA6B84"/>
    <w:rsid w:val="00FA6C59"/>
    <w:rsid w:val="00FA6C64"/>
    <w:rsid w:val="00FA6F34"/>
    <w:rsid w:val="00FA6F43"/>
    <w:rsid w:val="00FA7047"/>
    <w:rsid w:val="00FA7225"/>
    <w:rsid w:val="00FA74AD"/>
    <w:rsid w:val="00FA74C9"/>
    <w:rsid w:val="00FA77E2"/>
    <w:rsid w:val="00FA7857"/>
    <w:rsid w:val="00FA7ADD"/>
    <w:rsid w:val="00FA7CDA"/>
    <w:rsid w:val="00FA7D88"/>
    <w:rsid w:val="00FA7DB8"/>
    <w:rsid w:val="00FA7F26"/>
    <w:rsid w:val="00FB01F9"/>
    <w:rsid w:val="00FB02B4"/>
    <w:rsid w:val="00FB0416"/>
    <w:rsid w:val="00FB04FC"/>
    <w:rsid w:val="00FB0515"/>
    <w:rsid w:val="00FB0675"/>
    <w:rsid w:val="00FB0A01"/>
    <w:rsid w:val="00FB0C71"/>
    <w:rsid w:val="00FB0CA8"/>
    <w:rsid w:val="00FB0E11"/>
    <w:rsid w:val="00FB0E9F"/>
    <w:rsid w:val="00FB0F2C"/>
    <w:rsid w:val="00FB0F6A"/>
    <w:rsid w:val="00FB0FED"/>
    <w:rsid w:val="00FB10B7"/>
    <w:rsid w:val="00FB10C9"/>
    <w:rsid w:val="00FB1170"/>
    <w:rsid w:val="00FB120A"/>
    <w:rsid w:val="00FB1292"/>
    <w:rsid w:val="00FB12B2"/>
    <w:rsid w:val="00FB14EE"/>
    <w:rsid w:val="00FB16FC"/>
    <w:rsid w:val="00FB1784"/>
    <w:rsid w:val="00FB18CF"/>
    <w:rsid w:val="00FB1D03"/>
    <w:rsid w:val="00FB1DCF"/>
    <w:rsid w:val="00FB1E77"/>
    <w:rsid w:val="00FB1EB0"/>
    <w:rsid w:val="00FB1F13"/>
    <w:rsid w:val="00FB1F71"/>
    <w:rsid w:val="00FB1F9E"/>
    <w:rsid w:val="00FB2082"/>
    <w:rsid w:val="00FB2097"/>
    <w:rsid w:val="00FB209E"/>
    <w:rsid w:val="00FB2171"/>
    <w:rsid w:val="00FB22AB"/>
    <w:rsid w:val="00FB22D6"/>
    <w:rsid w:val="00FB26BC"/>
    <w:rsid w:val="00FB27F0"/>
    <w:rsid w:val="00FB2901"/>
    <w:rsid w:val="00FB2B2F"/>
    <w:rsid w:val="00FB2C0F"/>
    <w:rsid w:val="00FB2CB9"/>
    <w:rsid w:val="00FB2CC2"/>
    <w:rsid w:val="00FB2D50"/>
    <w:rsid w:val="00FB2E12"/>
    <w:rsid w:val="00FB2FB0"/>
    <w:rsid w:val="00FB301D"/>
    <w:rsid w:val="00FB3162"/>
    <w:rsid w:val="00FB3177"/>
    <w:rsid w:val="00FB31B6"/>
    <w:rsid w:val="00FB3261"/>
    <w:rsid w:val="00FB3359"/>
    <w:rsid w:val="00FB3391"/>
    <w:rsid w:val="00FB347E"/>
    <w:rsid w:val="00FB393D"/>
    <w:rsid w:val="00FB3A4E"/>
    <w:rsid w:val="00FB3B06"/>
    <w:rsid w:val="00FB3DED"/>
    <w:rsid w:val="00FB3EC9"/>
    <w:rsid w:val="00FB3F42"/>
    <w:rsid w:val="00FB420B"/>
    <w:rsid w:val="00FB422D"/>
    <w:rsid w:val="00FB4257"/>
    <w:rsid w:val="00FB4370"/>
    <w:rsid w:val="00FB44F7"/>
    <w:rsid w:val="00FB4521"/>
    <w:rsid w:val="00FB46F6"/>
    <w:rsid w:val="00FB4730"/>
    <w:rsid w:val="00FB4746"/>
    <w:rsid w:val="00FB4A07"/>
    <w:rsid w:val="00FB4A1C"/>
    <w:rsid w:val="00FB4A30"/>
    <w:rsid w:val="00FB4AFC"/>
    <w:rsid w:val="00FB4B46"/>
    <w:rsid w:val="00FB4B5D"/>
    <w:rsid w:val="00FB4BA7"/>
    <w:rsid w:val="00FB4C4B"/>
    <w:rsid w:val="00FB4E12"/>
    <w:rsid w:val="00FB5022"/>
    <w:rsid w:val="00FB505A"/>
    <w:rsid w:val="00FB5092"/>
    <w:rsid w:val="00FB5635"/>
    <w:rsid w:val="00FB57C1"/>
    <w:rsid w:val="00FB5869"/>
    <w:rsid w:val="00FB58F4"/>
    <w:rsid w:val="00FB59FD"/>
    <w:rsid w:val="00FB5A0A"/>
    <w:rsid w:val="00FB5A3A"/>
    <w:rsid w:val="00FB5B2F"/>
    <w:rsid w:val="00FB5C55"/>
    <w:rsid w:val="00FB5E23"/>
    <w:rsid w:val="00FB5E34"/>
    <w:rsid w:val="00FB5EA1"/>
    <w:rsid w:val="00FB5FA3"/>
    <w:rsid w:val="00FB601F"/>
    <w:rsid w:val="00FB6042"/>
    <w:rsid w:val="00FB605E"/>
    <w:rsid w:val="00FB60C3"/>
    <w:rsid w:val="00FB6124"/>
    <w:rsid w:val="00FB6194"/>
    <w:rsid w:val="00FB62CF"/>
    <w:rsid w:val="00FB6692"/>
    <w:rsid w:val="00FB6991"/>
    <w:rsid w:val="00FB6B33"/>
    <w:rsid w:val="00FB6C88"/>
    <w:rsid w:val="00FB6F12"/>
    <w:rsid w:val="00FB7130"/>
    <w:rsid w:val="00FB71A6"/>
    <w:rsid w:val="00FB72CA"/>
    <w:rsid w:val="00FB7474"/>
    <w:rsid w:val="00FB765A"/>
    <w:rsid w:val="00FB77DE"/>
    <w:rsid w:val="00FB7800"/>
    <w:rsid w:val="00FB792A"/>
    <w:rsid w:val="00FB7BFE"/>
    <w:rsid w:val="00FB7C8A"/>
    <w:rsid w:val="00FB7CF0"/>
    <w:rsid w:val="00FB7D65"/>
    <w:rsid w:val="00FBBF54"/>
    <w:rsid w:val="00FC0174"/>
    <w:rsid w:val="00FC0353"/>
    <w:rsid w:val="00FC04C9"/>
    <w:rsid w:val="00FC0797"/>
    <w:rsid w:val="00FC096B"/>
    <w:rsid w:val="00FC0B29"/>
    <w:rsid w:val="00FC0B78"/>
    <w:rsid w:val="00FC0BCD"/>
    <w:rsid w:val="00FC0BD8"/>
    <w:rsid w:val="00FC0C47"/>
    <w:rsid w:val="00FC0D3A"/>
    <w:rsid w:val="00FC0D93"/>
    <w:rsid w:val="00FC0FE5"/>
    <w:rsid w:val="00FC1045"/>
    <w:rsid w:val="00FC105B"/>
    <w:rsid w:val="00FC1227"/>
    <w:rsid w:val="00FC1231"/>
    <w:rsid w:val="00FC14BE"/>
    <w:rsid w:val="00FC14C3"/>
    <w:rsid w:val="00FC189E"/>
    <w:rsid w:val="00FC1A32"/>
    <w:rsid w:val="00FC1A65"/>
    <w:rsid w:val="00FC1A87"/>
    <w:rsid w:val="00FC1B02"/>
    <w:rsid w:val="00FC1B04"/>
    <w:rsid w:val="00FC1D24"/>
    <w:rsid w:val="00FC1F50"/>
    <w:rsid w:val="00FC2045"/>
    <w:rsid w:val="00FC2351"/>
    <w:rsid w:val="00FC24AC"/>
    <w:rsid w:val="00FC24FF"/>
    <w:rsid w:val="00FC2519"/>
    <w:rsid w:val="00FC268D"/>
    <w:rsid w:val="00FC26D0"/>
    <w:rsid w:val="00FC27A3"/>
    <w:rsid w:val="00FC28BB"/>
    <w:rsid w:val="00FC28EE"/>
    <w:rsid w:val="00FC2905"/>
    <w:rsid w:val="00FC2984"/>
    <w:rsid w:val="00FC2BCA"/>
    <w:rsid w:val="00FC2C77"/>
    <w:rsid w:val="00FC2DA8"/>
    <w:rsid w:val="00FC2E52"/>
    <w:rsid w:val="00FC2F7E"/>
    <w:rsid w:val="00FC3054"/>
    <w:rsid w:val="00FC3059"/>
    <w:rsid w:val="00FC3233"/>
    <w:rsid w:val="00FC338B"/>
    <w:rsid w:val="00FC3562"/>
    <w:rsid w:val="00FC3577"/>
    <w:rsid w:val="00FC35EA"/>
    <w:rsid w:val="00FC36EF"/>
    <w:rsid w:val="00FC3DC0"/>
    <w:rsid w:val="00FC3F47"/>
    <w:rsid w:val="00FC423A"/>
    <w:rsid w:val="00FC4272"/>
    <w:rsid w:val="00FC42E4"/>
    <w:rsid w:val="00FC4608"/>
    <w:rsid w:val="00FC4645"/>
    <w:rsid w:val="00FC4712"/>
    <w:rsid w:val="00FC4818"/>
    <w:rsid w:val="00FC48E1"/>
    <w:rsid w:val="00FC49A6"/>
    <w:rsid w:val="00FC4AA4"/>
    <w:rsid w:val="00FC4F1E"/>
    <w:rsid w:val="00FC4F2E"/>
    <w:rsid w:val="00FC4F33"/>
    <w:rsid w:val="00FC4FD9"/>
    <w:rsid w:val="00FC508C"/>
    <w:rsid w:val="00FC50F7"/>
    <w:rsid w:val="00FC52D0"/>
    <w:rsid w:val="00FC55AF"/>
    <w:rsid w:val="00FC56E0"/>
    <w:rsid w:val="00FC56F9"/>
    <w:rsid w:val="00FC591F"/>
    <w:rsid w:val="00FC594F"/>
    <w:rsid w:val="00FC5990"/>
    <w:rsid w:val="00FC5AEE"/>
    <w:rsid w:val="00FC5B21"/>
    <w:rsid w:val="00FC5E9A"/>
    <w:rsid w:val="00FC612F"/>
    <w:rsid w:val="00FC6273"/>
    <w:rsid w:val="00FC63E8"/>
    <w:rsid w:val="00FC63FD"/>
    <w:rsid w:val="00FC6431"/>
    <w:rsid w:val="00FC65CD"/>
    <w:rsid w:val="00FC6955"/>
    <w:rsid w:val="00FC6A07"/>
    <w:rsid w:val="00FC6AC0"/>
    <w:rsid w:val="00FC6ADD"/>
    <w:rsid w:val="00FC6B2D"/>
    <w:rsid w:val="00FC6B50"/>
    <w:rsid w:val="00FC6EE4"/>
    <w:rsid w:val="00FC71C9"/>
    <w:rsid w:val="00FC72FD"/>
    <w:rsid w:val="00FC7413"/>
    <w:rsid w:val="00FC7441"/>
    <w:rsid w:val="00FC7465"/>
    <w:rsid w:val="00FC74A5"/>
    <w:rsid w:val="00FC763D"/>
    <w:rsid w:val="00FC767A"/>
    <w:rsid w:val="00FC76E6"/>
    <w:rsid w:val="00FC7703"/>
    <w:rsid w:val="00FC77D4"/>
    <w:rsid w:val="00FC78DB"/>
    <w:rsid w:val="00FC790C"/>
    <w:rsid w:val="00FC7914"/>
    <w:rsid w:val="00FC7994"/>
    <w:rsid w:val="00FC7BA7"/>
    <w:rsid w:val="00FC7E69"/>
    <w:rsid w:val="00FC7EB0"/>
    <w:rsid w:val="00FC7F35"/>
    <w:rsid w:val="00FD003E"/>
    <w:rsid w:val="00FD015E"/>
    <w:rsid w:val="00FD01F2"/>
    <w:rsid w:val="00FD044E"/>
    <w:rsid w:val="00FD04C2"/>
    <w:rsid w:val="00FD06C4"/>
    <w:rsid w:val="00FD082E"/>
    <w:rsid w:val="00FD08A8"/>
    <w:rsid w:val="00FD08CB"/>
    <w:rsid w:val="00FD09E2"/>
    <w:rsid w:val="00FD0AD7"/>
    <w:rsid w:val="00FD0B80"/>
    <w:rsid w:val="00FD0C8C"/>
    <w:rsid w:val="00FD0F37"/>
    <w:rsid w:val="00FD1180"/>
    <w:rsid w:val="00FD11DC"/>
    <w:rsid w:val="00FD13D7"/>
    <w:rsid w:val="00FD1424"/>
    <w:rsid w:val="00FD1429"/>
    <w:rsid w:val="00FD1462"/>
    <w:rsid w:val="00FD1491"/>
    <w:rsid w:val="00FD15EF"/>
    <w:rsid w:val="00FD1680"/>
    <w:rsid w:val="00FD16CB"/>
    <w:rsid w:val="00FD16F6"/>
    <w:rsid w:val="00FD1A1D"/>
    <w:rsid w:val="00FD1B24"/>
    <w:rsid w:val="00FD1C4A"/>
    <w:rsid w:val="00FD1DB6"/>
    <w:rsid w:val="00FD1DDA"/>
    <w:rsid w:val="00FD1F15"/>
    <w:rsid w:val="00FD1FA3"/>
    <w:rsid w:val="00FD2078"/>
    <w:rsid w:val="00FD2079"/>
    <w:rsid w:val="00FD2337"/>
    <w:rsid w:val="00FD2397"/>
    <w:rsid w:val="00FD25D5"/>
    <w:rsid w:val="00FD27C5"/>
    <w:rsid w:val="00FD28CA"/>
    <w:rsid w:val="00FD2936"/>
    <w:rsid w:val="00FD2A03"/>
    <w:rsid w:val="00FD2B70"/>
    <w:rsid w:val="00FD2C71"/>
    <w:rsid w:val="00FD2CDD"/>
    <w:rsid w:val="00FD2D1E"/>
    <w:rsid w:val="00FD2DE0"/>
    <w:rsid w:val="00FD2EE3"/>
    <w:rsid w:val="00FD3242"/>
    <w:rsid w:val="00FD33EE"/>
    <w:rsid w:val="00FD38C0"/>
    <w:rsid w:val="00FD39A3"/>
    <w:rsid w:val="00FD3AB5"/>
    <w:rsid w:val="00FD3C86"/>
    <w:rsid w:val="00FD3D70"/>
    <w:rsid w:val="00FD3FB1"/>
    <w:rsid w:val="00FD3FF3"/>
    <w:rsid w:val="00FD4065"/>
    <w:rsid w:val="00FD42B7"/>
    <w:rsid w:val="00FD4404"/>
    <w:rsid w:val="00FD4490"/>
    <w:rsid w:val="00FD44EC"/>
    <w:rsid w:val="00FD472E"/>
    <w:rsid w:val="00FD4AD6"/>
    <w:rsid w:val="00FD4DCB"/>
    <w:rsid w:val="00FD4E61"/>
    <w:rsid w:val="00FD4F69"/>
    <w:rsid w:val="00FD4F7F"/>
    <w:rsid w:val="00FD50F4"/>
    <w:rsid w:val="00FD5114"/>
    <w:rsid w:val="00FD51A5"/>
    <w:rsid w:val="00FD53E6"/>
    <w:rsid w:val="00FD54C2"/>
    <w:rsid w:val="00FD5A73"/>
    <w:rsid w:val="00FD5C9C"/>
    <w:rsid w:val="00FD605A"/>
    <w:rsid w:val="00FD613F"/>
    <w:rsid w:val="00FD6390"/>
    <w:rsid w:val="00FD6452"/>
    <w:rsid w:val="00FD64E6"/>
    <w:rsid w:val="00FD66BF"/>
    <w:rsid w:val="00FD6760"/>
    <w:rsid w:val="00FD6788"/>
    <w:rsid w:val="00FD678B"/>
    <w:rsid w:val="00FD684F"/>
    <w:rsid w:val="00FD6BB7"/>
    <w:rsid w:val="00FD6C2E"/>
    <w:rsid w:val="00FD6C98"/>
    <w:rsid w:val="00FD6D46"/>
    <w:rsid w:val="00FD6F14"/>
    <w:rsid w:val="00FD6FD6"/>
    <w:rsid w:val="00FD6FEE"/>
    <w:rsid w:val="00FD7705"/>
    <w:rsid w:val="00FD7A97"/>
    <w:rsid w:val="00FD7E99"/>
    <w:rsid w:val="00FD7F64"/>
    <w:rsid w:val="00FD7FFD"/>
    <w:rsid w:val="00FE00DD"/>
    <w:rsid w:val="00FE0164"/>
    <w:rsid w:val="00FE01BC"/>
    <w:rsid w:val="00FE022B"/>
    <w:rsid w:val="00FE0483"/>
    <w:rsid w:val="00FE06E6"/>
    <w:rsid w:val="00FE07E5"/>
    <w:rsid w:val="00FE0ACC"/>
    <w:rsid w:val="00FE0F37"/>
    <w:rsid w:val="00FE0F46"/>
    <w:rsid w:val="00FE0FEE"/>
    <w:rsid w:val="00FE11DF"/>
    <w:rsid w:val="00FE1457"/>
    <w:rsid w:val="00FE1470"/>
    <w:rsid w:val="00FE14DA"/>
    <w:rsid w:val="00FE179E"/>
    <w:rsid w:val="00FE17F0"/>
    <w:rsid w:val="00FE182B"/>
    <w:rsid w:val="00FE18EC"/>
    <w:rsid w:val="00FE1ABF"/>
    <w:rsid w:val="00FE1AF2"/>
    <w:rsid w:val="00FE1B62"/>
    <w:rsid w:val="00FE1C3A"/>
    <w:rsid w:val="00FE1C9C"/>
    <w:rsid w:val="00FE1CC0"/>
    <w:rsid w:val="00FE1D22"/>
    <w:rsid w:val="00FE208F"/>
    <w:rsid w:val="00FE21C7"/>
    <w:rsid w:val="00FE23E6"/>
    <w:rsid w:val="00FE23EB"/>
    <w:rsid w:val="00FE24CE"/>
    <w:rsid w:val="00FE26DE"/>
    <w:rsid w:val="00FE27C7"/>
    <w:rsid w:val="00FE283D"/>
    <w:rsid w:val="00FE292D"/>
    <w:rsid w:val="00FE2A25"/>
    <w:rsid w:val="00FE2A5F"/>
    <w:rsid w:val="00FE2A77"/>
    <w:rsid w:val="00FE2C09"/>
    <w:rsid w:val="00FE2CCF"/>
    <w:rsid w:val="00FE3054"/>
    <w:rsid w:val="00FE317C"/>
    <w:rsid w:val="00FE31AA"/>
    <w:rsid w:val="00FE32BC"/>
    <w:rsid w:val="00FE32C7"/>
    <w:rsid w:val="00FE3396"/>
    <w:rsid w:val="00FE3440"/>
    <w:rsid w:val="00FE34FA"/>
    <w:rsid w:val="00FE36A9"/>
    <w:rsid w:val="00FE37BC"/>
    <w:rsid w:val="00FE3A1F"/>
    <w:rsid w:val="00FE3BF8"/>
    <w:rsid w:val="00FE3DF8"/>
    <w:rsid w:val="00FE3E82"/>
    <w:rsid w:val="00FE3F71"/>
    <w:rsid w:val="00FE3FEA"/>
    <w:rsid w:val="00FE406D"/>
    <w:rsid w:val="00FE40CE"/>
    <w:rsid w:val="00FE4136"/>
    <w:rsid w:val="00FE429F"/>
    <w:rsid w:val="00FE448E"/>
    <w:rsid w:val="00FE44A6"/>
    <w:rsid w:val="00FE44FC"/>
    <w:rsid w:val="00FE4538"/>
    <w:rsid w:val="00FE474B"/>
    <w:rsid w:val="00FE476C"/>
    <w:rsid w:val="00FE49E8"/>
    <w:rsid w:val="00FE4A03"/>
    <w:rsid w:val="00FE4A72"/>
    <w:rsid w:val="00FE4B94"/>
    <w:rsid w:val="00FE4C0C"/>
    <w:rsid w:val="00FE4C50"/>
    <w:rsid w:val="00FE4C97"/>
    <w:rsid w:val="00FE4E3B"/>
    <w:rsid w:val="00FE4E41"/>
    <w:rsid w:val="00FE4E8E"/>
    <w:rsid w:val="00FE4EE7"/>
    <w:rsid w:val="00FE4F6D"/>
    <w:rsid w:val="00FE5032"/>
    <w:rsid w:val="00FE5142"/>
    <w:rsid w:val="00FE55DC"/>
    <w:rsid w:val="00FE5648"/>
    <w:rsid w:val="00FE56E7"/>
    <w:rsid w:val="00FE570A"/>
    <w:rsid w:val="00FE582D"/>
    <w:rsid w:val="00FE58C3"/>
    <w:rsid w:val="00FE5AB3"/>
    <w:rsid w:val="00FE5C76"/>
    <w:rsid w:val="00FE5D1A"/>
    <w:rsid w:val="00FE5F5B"/>
    <w:rsid w:val="00FE6078"/>
    <w:rsid w:val="00FE6191"/>
    <w:rsid w:val="00FE6193"/>
    <w:rsid w:val="00FE61FD"/>
    <w:rsid w:val="00FE623A"/>
    <w:rsid w:val="00FE6276"/>
    <w:rsid w:val="00FE6290"/>
    <w:rsid w:val="00FE62D4"/>
    <w:rsid w:val="00FE6449"/>
    <w:rsid w:val="00FE64DF"/>
    <w:rsid w:val="00FE650E"/>
    <w:rsid w:val="00FE6556"/>
    <w:rsid w:val="00FE6563"/>
    <w:rsid w:val="00FE67D4"/>
    <w:rsid w:val="00FE68CE"/>
    <w:rsid w:val="00FE68DB"/>
    <w:rsid w:val="00FE6940"/>
    <w:rsid w:val="00FE6BE7"/>
    <w:rsid w:val="00FE6C23"/>
    <w:rsid w:val="00FE6D72"/>
    <w:rsid w:val="00FE6EAB"/>
    <w:rsid w:val="00FE6F5A"/>
    <w:rsid w:val="00FE6FB2"/>
    <w:rsid w:val="00FE7014"/>
    <w:rsid w:val="00FE7094"/>
    <w:rsid w:val="00FE7099"/>
    <w:rsid w:val="00FE7154"/>
    <w:rsid w:val="00FE73A3"/>
    <w:rsid w:val="00FE7660"/>
    <w:rsid w:val="00FE783D"/>
    <w:rsid w:val="00FE789B"/>
    <w:rsid w:val="00FE7A7D"/>
    <w:rsid w:val="00FE7CEC"/>
    <w:rsid w:val="00FE7F63"/>
    <w:rsid w:val="00FF041A"/>
    <w:rsid w:val="00FF0429"/>
    <w:rsid w:val="00FF0579"/>
    <w:rsid w:val="00FF08AE"/>
    <w:rsid w:val="00FF0A12"/>
    <w:rsid w:val="00FF0A27"/>
    <w:rsid w:val="00FF0A34"/>
    <w:rsid w:val="00FF0B8B"/>
    <w:rsid w:val="00FF0BC6"/>
    <w:rsid w:val="00FF0C61"/>
    <w:rsid w:val="00FF0CAA"/>
    <w:rsid w:val="00FF0E9F"/>
    <w:rsid w:val="00FF0EAC"/>
    <w:rsid w:val="00FF1046"/>
    <w:rsid w:val="00FF105C"/>
    <w:rsid w:val="00FF1448"/>
    <w:rsid w:val="00FF14A5"/>
    <w:rsid w:val="00FF1549"/>
    <w:rsid w:val="00FF15E6"/>
    <w:rsid w:val="00FF1782"/>
    <w:rsid w:val="00FF197A"/>
    <w:rsid w:val="00FF19C0"/>
    <w:rsid w:val="00FF1AF3"/>
    <w:rsid w:val="00FF1B08"/>
    <w:rsid w:val="00FF1C51"/>
    <w:rsid w:val="00FF1D6D"/>
    <w:rsid w:val="00FF236A"/>
    <w:rsid w:val="00FF239F"/>
    <w:rsid w:val="00FF26B1"/>
    <w:rsid w:val="00FF294E"/>
    <w:rsid w:val="00FF2AE3"/>
    <w:rsid w:val="00FF2B9B"/>
    <w:rsid w:val="00FF2BB6"/>
    <w:rsid w:val="00FF2C82"/>
    <w:rsid w:val="00FF2D20"/>
    <w:rsid w:val="00FF2D95"/>
    <w:rsid w:val="00FF2DD5"/>
    <w:rsid w:val="00FF2E01"/>
    <w:rsid w:val="00FF2E75"/>
    <w:rsid w:val="00FF2EE9"/>
    <w:rsid w:val="00FF30CD"/>
    <w:rsid w:val="00FF3221"/>
    <w:rsid w:val="00FF337B"/>
    <w:rsid w:val="00FF3495"/>
    <w:rsid w:val="00FF3537"/>
    <w:rsid w:val="00FF38DC"/>
    <w:rsid w:val="00FF3960"/>
    <w:rsid w:val="00FF3C2B"/>
    <w:rsid w:val="00FF3E59"/>
    <w:rsid w:val="00FF3E65"/>
    <w:rsid w:val="00FF3EDB"/>
    <w:rsid w:val="00FF3FF3"/>
    <w:rsid w:val="00FF400E"/>
    <w:rsid w:val="00FF4069"/>
    <w:rsid w:val="00FF4325"/>
    <w:rsid w:val="00FF4475"/>
    <w:rsid w:val="00FF45D8"/>
    <w:rsid w:val="00FF4629"/>
    <w:rsid w:val="00FF4633"/>
    <w:rsid w:val="00FF4670"/>
    <w:rsid w:val="00FF4973"/>
    <w:rsid w:val="00FF49BC"/>
    <w:rsid w:val="00FF4A2D"/>
    <w:rsid w:val="00FF4A6F"/>
    <w:rsid w:val="00FF4D75"/>
    <w:rsid w:val="00FF4D8B"/>
    <w:rsid w:val="00FF4DD7"/>
    <w:rsid w:val="00FF5218"/>
    <w:rsid w:val="00FF5367"/>
    <w:rsid w:val="00FF54F2"/>
    <w:rsid w:val="00FF55C4"/>
    <w:rsid w:val="00FF5632"/>
    <w:rsid w:val="00FF582F"/>
    <w:rsid w:val="00FF58CE"/>
    <w:rsid w:val="00FF59E4"/>
    <w:rsid w:val="00FF5B1B"/>
    <w:rsid w:val="00FF5BA5"/>
    <w:rsid w:val="00FF5E43"/>
    <w:rsid w:val="00FF5EC7"/>
    <w:rsid w:val="00FF609F"/>
    <w:rsid w:val="00FF60D4"/>
    <w:rsid w:val="00FF6168"/>
    <w:rsid w:val="00FF65CD"/>
    <w:rsid w:val="00FF6739"/>
    <w:rsid w:val="00FF67C4"/>
    <w:rsid w:val="00FF6858"/>
    <w:rsid w:val="00FF6999"/>
    <w:rsid w:val="00FF6A93"/>
    <w:rsid w:val="00FF6AE4"/>
    <w:rsid w:val="00FF6B9F"/>
    <w:rsid w:val="00FF6BAB"/>
    <w:rsid w:val="00FF6C2E"/>
    <w:rsid w:val="00FF6D4B"/>
    <w:rsid w:val="00FF6D51"/>
    <w:rsid w:val="00FF6EE9"/>
    <w:rsid w:val="00FF6F5C"/>
    <w:rsid w:val="00FF6FB6"/>
    <w:rsid w:val="00FF707F"/>
    <w:rsid w:val="00FF708F"/>
    <w:rsid w:val="00FF70A4"/>
    <w:rsid w:val="00FF7203"/>
    <w:rsid w:val="00FF736B"/>
    <w:rsid w:val="00FF767C"/>
    <w:rsid w:val="00FF7864"/>
    <w:rsid w:val="00FF7899"/>
    <w:rsid w:val="00FF7973"/>
    <w:rsid w:val="00FF7AAC"/>
    <w:rsid w:val="00FF7E12"/>
    <w:rsid w:val="00FF7E55"/>
    <w:rsid w:val="00FF7E9B"/>
    <w:rsid w:val="00FF7EDD"/>
    <w:rsid w:val="00FF7F6D"/>
    <w:rsid w:val="00FF7F84"/>
    <w:rsid w:val="00FF7FCD"/>
    <w:rsid w:val="01006E9C"/>
    <w:rsid w:val="01014E3A"/>
    <w:rsid w:val="01021F3E"/>
    <w:rsid w:val="0107F014"/>
    <w:rsid w:val="010A0487"/>
    <w:rsid w:val="0112F473"/>
    <w:rsid w:val="011CF801"/>
    <w:rsid w:val="011FD837"/>
    <w:rsid w:val="01213C34"/>
    <w:rsid w:val="0123BBE8"/>
    <w:rsid w:val="0135EFBB"/>
    <w:rsid w:val="013FF0E1"/>
    <w:rsid w:val="01471F96"/>
    <w:rsid w:val="0149FECB"/>
    <w:rsid w:val="014A5E57"/>
    <w:rsid w:val="014C26C7"/>
    <w:rsid w:val="014D1631"/>
    <w:rsid w:val="015772E2"/>
    <w:rsid w:val="015B8C8F"/>
    <w:rsid w:val="015D0D76"/>
    <w:rsid w:val="01624499"/>
    <w:rsid w:val="0167B779"/>
    <w:rsid w:val="016B2B52"/>
    <w:rsid w:val="016DB214"/>
    <w:rsid w:val="0173C4B0"/>
    <w:rsid w:val="01789DB8"/>
    <w:rsid w:val="017DF3F6"/>
    <w:rsid w:val="017F0B3B"/>
    <w:rsid w:val="0180B19B"/>
    <w:rsid w:val="01824E61"/>
    <w:rsid w:val="0185AA4F"/>
    <w:rsid w:val="01867E8B"/>
    <w:rsid w:val="01937BC5"/>
    <w:rsid w:val="0197A2CE"/>
    <w:rsid w:val="0198585D"/>
    <w:rsid w:val="01A1474F"/>
    <w:rsid w:val="01A34465"/>
    <w:rsid w:val="01A919BD"/>
    <w:rsid w:val="01AA6318"/>
    <w:rsid w:val="01AA9F67"/>
    <w:rsid w:val="01AEB7E2"/>
    <w:rsid w:val="01B4878D"/>
    <w:rsid w:val="01B9DFD8"/>
    <w:rsid w:val="01C47FE1"/>
    <w:rsid w:val="01C68ABC"/>
    <w:rsid w:val="01CD73AB"/>
    <w:rsid w:val="01D2575A"/>
    <w:rsid w:val="01D6D44E"/>
    <w:rsid w:val="01E37507"/>
    <w:rsid w:val="01E3E8BE"/>
    <w:rsid w:val="01ECDFA7"/>
    <w:rsid w:val="01F12753"/>
    <w:rsid w:val="01F248D5"/>
    <w:rsid w:val="01F497A5"/>
    <w:rsid w:val="01F5FD27"/>
    <w:rsid w:val="01F6F478"/>
    <w:rsid w:val="01FD215E"/>
    <w:rsid w:val="02035025"/>
    <w:rsid w:val="02046839"/>
    <w:rsid w:val="0207958A"/>
    <w:rsid w:val="0207EF51"/>
    <w:rsid w:val="0209C21B"/>
    <w:rsid w:val="020B514A"/>
    <w:rsid w:val="020E5344"/>
    <w:rsid w:val="0210CE87"/>
    <w:rsid w:val="0216559E"/>
    <w:rsid w:val="021A516D"/>
    <w:rsid w:val="021C63DF"/>
    <w:rsid w:val="021E6E52"/>
    <w:rsid w:val="021E9B4F"/>
    <w:rsid w:val="0221B5A5"/>
    <w:rsid w:val="0223C346"/>
    <w:rsid w:val="022AC63E"/>
    <w:rsid w:val="022DB931"/>
    <w:rsid w:val="022ED57F"/>
    <w:rsid w:val="02307DE7"/>
    <w:rsid w:val="023119BE"/>
    <w:rsid w:val="023492A0"/>
    <w:rsid w:val="02356B84"/>
    <w:rsid w:val="023715A8"/>
    <w:rsid w:val="023DEE3A"/>
    <w:rsid w:val="024040F9"/>
    <w:rsid w:val="0241DDE2"/>
    <w:rsid w:val="0245BBE5"/>
    <w:rsid w:val="0247F1DD"/>
    <w:rsid w:val="0247FAF0"/>
    <w:rsid w:val="0249D95F"/>
    <w:rsid w:val="0251CFEA"/>
    <w:rsid w:val="0252D893"/>
    <w:rsid w:val="0255F591"/>
    <w:rsid w:val="02581409"/>
    <w:rsid w:val="025ABDCF"/>
    <w:rsid w:val="026366E9"/>
    <w:rsid w:val="0263753E"/>
    <w:rsid w:val="02639830"/>
    <w:rsid w:val="02646EE5"/>
    <w:rsid w:val="02648334"/>
    <w:rsid w:val="0267A726"/>
    <w:rsid w:val="026E975E"/>
    <w:rsid w:val="027031E1"/>
    <w:rsid w:val="02759C63"/>
    <w:rsid w:val="02791DFA"/>
    <w:rsid w:val="0281B43A"/>
    <w:rsid w:val="02864288"/>
    <w:rsid w:val="02891690"/>
    <w:rsid w:val="02895132"/>
    <w:rsid w:val="028B809A"/>
    <w:rsid w:val="028D588A"/>
    <w:rsid w:val="028E25CB"/>
    <w:rsid w:val="028F2DC3"/>
    <w:rsid w:val="0290B3C9"/>
    <w:rsid w:val="029AD678"/>
    <w:rsid w:val="029AF46B"/>
    <w:rsid w:val="029F9717"/>
    <w:rsid w:val="02A5B179"/>
    <w:rsid w:val="02AB2230"/>
    <w:rsid w:val="02ABD7AA"/>
    <w:rsid w:val="02ACF731"/>
    <w:rsid w:val="02B109EF"/>
    <w:rsid w:val="02B483EC"/>
    <w:rsid w:val="02B52544"/>
    <w:rsid w:val="02CEA077"/>
    <w:rsid w:val="02D4B11F"/>
    <w:rsid w:val="02DC9066"/>
    <w:rsid w:val="02E6BC64"/>
    <w:rsid w:val="02EDB03A"/>
    <w:rsid w:val="02EE68BD"/>
    <w:rsid w:val="02F0BD9B"/>
    <w:rsid w:val="02F1C916"/>
    <w:rsid w:val="02F9B163"/>
    <w:rsid w:val="02FB3DD7"/>
    <w:rsid w:val="03015705"/>
    <w:rsid w:val="0302D891"/>
    <w:rsid w:val="0305858A"/>
    <w:rsid w:val="03068741"/>
    <w:rsid w:val="030FD95D"/>
    <w:rsid w:val="03112AC8"/>
    <w:rsid w:val="031B9906"/>
    <w:rsid w:val="0329E874"/>
    <w:rsid w:val="032E6935"/>
    <w:rsid w:val="03317FE9"/>
    <w:rsid w:val="0334E23E"/>
    <w:rsid w:val="0339D0B1"/>
    <w:rsid w:val="033FFB5C"/>
    <w:rsid w:val="0340E014"/>
    <w:rsid w:val="0340ED8E"/>
    <w:rsid w:val="0346B83E"/>
    <w:rsid w:val="034886CD"/>
    <w:rsid w:val="034DB9C2"/>
    <w:rsid w:val="0351E06F"/>
    <w:rsid w:val="0359ECD3"/>
    <w:rsid w:val="03627515"/>
    <w:rsid w:val="03627883"/>
    <w:rsid w:val="03633B0B"/>
    <w:rsid w:val="03681656"/>
    <w:rsid w:val="0378F918"/>
    <w:rsid w:val="03798EC6"/>
    <w:rsid w:val="03876CF4"/>
    <w:rsid w:val="03895348"/>
    <w:rsid w:val="0389F478"/>
    <w:rsid w:val="038C7EDF"/>
    <w:rsid w:val="038EA630"/>
    <w:rsid w:val="03971E46"/>
    <w:rsid w:val="0397C03F"/>
    <w:rsid w:val="03A1BE7C"/>
    <w:rsid w:val="03A68F9F"/>
    <w:rsid w:val="03AADCE5"/>
    <w:rsid w:val="03ABCB6D"/>
    <w:rsid w:val="03B6D3D8"/>
    <w:rsid w:val="03BA3C7C"/>
    <w:rsid w:val="03BA749E"/>
    <w:rsid w:val="03BF5BDC"/>
    <w:rsid w:val="03CC1C36"/>
    <w:rsid w:val="03D69BEC"/>
    <w:rsid w:val="03DF9422"/>
    <w:rsid w:val="03E204D2"/>
    <w:rsid w:val="03E861BC"/>
    <w:rsid w:val="03EAB713"/>
    <w:rsid w:val="03EBEA7F"/>
    <w:rsid w:val="03F37779"/>
    <w:rsid w:val="03F3C250"/>
    <w:rsid w:val="03F4E70D"/>
    <w:rsid w:val="03FB8F2C"/>
    <w:rsid w:val="03FFDE0F"/>
    <w:rsid w:val="04119DE8"/>
    <w:rsid w:val="0411B2D7"/>
    <w:rsid w:val="0417188D"/>
    <w:rsid w:val="04194CE5"/>
    <w:rsid w:val="0421AC75"/>
    <w:rsid w:val="04236C11"/>
    <w:rsid w:val="0429437F"/>
    <w:rsid w:val="042E1FA0"/>
    <w:rsid w:val="043539B9"/>
    <w:rsid w:val="0437A5C1"/>
    <w:rsid w:val="0437D80C"/>
    <w:rsid w:val="043F202D"/>
    <w:rsid w:val="04417B88"/>
    <w:rsid w:val="0446085E"/>
    <w:rsid w:val="044B7267"/>
    <w:rsid w:val="044FFE78"/>
    <w:rsid w:val="04504609"/>
    <w:rsid w:val="04604E87"/>
    <w:rsid w:val="04660B90"/>
    <w:rsid w:val="0467AECB"/>
    <w:rsid w:val="046F3B4B"/>
    <w:rsid w:val="0472C51D"/>
    <w:rsid w:val="0477B5DC"/>
    <w:rsid w:val="04788C30"/>
    <w:rsid w:val="047BA995"/>
    <w:rsid w:val="047C485F"/>
    <w:rsid w:val="04851887"/>
    <w:rsid w:val="04870723"/>
    <w:rsid w:val="048D1968"/>
    <w:rsid w:val="04901304"/>
    <w:rsid w:val="0490B1A0"/>
    <w:rsid w:val="04913662"/>
    <w:rsid w:val="049BA5CA"/>
    <w:rsid w:val="049CB316"/>
    <w:rsid w:val="04A35280"/>
    <w:rsid w:val="04A57F0A"/>
    <w:rsid w:val="04AB1367"/>
    <w:rsid w:val="04AD8005"/>
    <w:rsid w:val="04AEF98A"/>
    <w:rsid w:val="04B1B1FC"/>
    <w:rsid w:val="04B2BE52"/>
    <w:rsid w:val="04B2FC73"/>
    <w:rsid w:val="04BC4E1E"/>
    <w:rsid w:val="04BF6994"/>
    <w:rsid w:val="04C29121"/>
    <w:rsid w:val="04C7C7B3"/>
    <w:rsid w:val="04CB6C24"/>
    <w:rsid w:val="04D10DFF"/>
    <w:rsid w:val="04D1A873"/>
    <w:rsid w:val="04D21F15"/>
    <w:rsid w:val="04D2674C"/>
    <w:rsid w:val="04D5776A"/>
    <w:rsid w:val="04D649D8"/>
    <w:rsid w:val="04DBB6C5"/>
    <w:rsid w:val="04DE5105"/>
    <w:rsid w:val="04DFF791"/>
    <w:rsid w:val="04EB68BA"/>
    <w:rsid w:val="04F0F500"/>
    <w:rsid w:val="04F1A371"/>
    <w:rsid w:val="04F350AC"/>
    <w:rsid w:val="04F8E2B4"/>
    <w:rsid w:val="04FB5DE0"/>
    <w:rsid w:val="05053AE1"/>
    <w:rsid w:val="0507F5D0"/>
    <w:rsid w:val="05097B97"/>
    <w:rsid w:val="050A4F72"/>
    <w:rsid w:val="050A926A"/>
    <w:rsid w:val="051DD22F"/>
    <w:rsid w:val="051E19C7"/>
    <w:rsid w:val="051E6795"/>
    <w:rsid w:val="05274265"/>
    <w:rsid w:val="052B0AB7"/>
    <w:rsid w:val="05304F07"/>
    <w:rsid w:val="053423FB"/>
    <w:rsid w:val="05467B81"/>
    <w:rsid w:val="0546E793"/>
    <w:rsid w:val="054B57E5"/>
    <w:rsid w:val="054C3C2D"/>
    <w:rsid w:val="054E1DF7"/>
    <w:rsid w:val="05560CCA"/>
    <w:rsid w:val="055DA481"/>
    <w:rsid w:val="05632B39"/>
    <w:rsid w:val="056AE177"/>
    <w:rsid w:val="0570B4A7"/>
    <w:rsid w:val="057A4696"/>
    <w:rsid w:val="05827DE5"/>
    <w:rsid w:val="0582AEE3"/>
    <w:rsid w:val="05861D03"/>
    <w:rsid w:val="058A3932"/>
    <w:rsid w:val="058AB35D"/>
    <w:rsid w:val="058F2267"/>
    <w:rsid w:val="058FD271"/>
    <w:rsid w:val="05900BCB"/>
    <w:rsid w:val="05933F8D"/>
    <w:rsid w:val="05944FDB"/>
    <w:rsid w:val="059A3366"/>
    <w:rsid w:val="05A1F338"/>
    <w:rsid w:val="05A21715"/>
    <w:rsid w:val="05A6B686"/>
    <w:rsid w:val="05AACBAC"/>
    <w:rsid w:val="05BAC624"/>
    <w:rsid w:val="05C5C18F"/>
    <w:rsid w:val="05C77353"/>
    <w:rsid w:val="05C7FC35"/>
    <w:rsid w:val="05C98F64"/>
    <w:rsid w:val="05CE1DF2"/>
    <w:rsid w:val="05D5728E"/>
    <w:rsid w:val="05D5DD49"/>
    <w:rsid w:val="05D6A622"/>
    <w:rsid w:val="05DA5DF8"/>
    <w:rsid w:val="05DE39FA"/>
    <w:rsid w:val="05E8780F"/>
    <w:rsid w:val="05F0F8F9"/>
    <w:rsid w:val="05F2BA82"/>
    <w:rsid w:val="05F593B6"/>
    <w:rsid w:val="05FAAC39"/>
    <w:rsid w:val="05FDD6B4"/>
    <w:rsid w:val="060281D8"/>
    <w:rsid w:val="060563B6"/>
    <w:rsid w:val="060733C9"/>
    <w:rsid w:val="061071E9"/>
    <w:rsid w:val="0611839F"/>
    <w:rsid w:val="06190934"/>
    <w:rsid w:val="0621E367"/>
    <w:rsid w:val="0624264F"/>
    <w:rsid w:val="0625932A"/>
    <w:rsid w:val="06279015"/>
    <w:rsid w:val="0628C853"/>
    <w:rsid w:val="0630A905"/>
    <w:rsid w:val="063FE903"/>
    <w:rsid w:val="064285DF"/>
    <w:rsid w:val="0645A1C3"/>
    <w:rsid w:val="06462A52"/>
    <w:rsid w:val="064EF617"/>
    <w:rsid w:val="06512848"/>
    <w:rsid w:val="0651A5B3"/>
    <w:rsid w:val="06536463"/>
    <w:rsid w:val="0653D238"/>
    <w:rsid w:val="0659E3BC"/>
    <w:rsid w:val="065D07F7"/>
    <w:rsid w:val="0662E5A9"/>
    <w:rsid w:val="0668DA07"/>
    <w:rsid w:val="066FEAD2"/>
    <w:rsid w:val="0676983B"/>
    <w:rsid w:val="0694BC06"/>
    <w:rsid w:val="0698D4C0"/>
    <w:rsid w:val="069A0FE1"/>
    <w:rsid w:val="06A52817"/>
    <w:rsid w:val="06A55799"/>
    <w:rsid w:val="06B2ACFB"/>
    <w:rsid w:val="06BB1CB6"/>
    <w:rsid w:val="06BCC39C"/>
    <w:rsid w:val="06C38A47"/>
    <w:rsid w:val="06D9150B"/>
    <w:rsid w:val="06DE9097"/>
    <w:rsid w:val="06DEDF84"/>
    <w:rsid w:val="06E1625C"/>
    <w:rsid w:val="06E22338"/>
    <w:rsid w:val="06E3AF40"/>
    <w:rsid w:val="06EDE252"/>
    <w:rsid w:val="06F0F3BE"/>
    <w:rsid w:val="06F5A315"/>
    <w:rsid w:val="06F8DA0E"/>
    <w:rsid w:val="0702BAC1"/>
    <w:rsid w:val="0709FB81"/>
    <w:rsid w:val="070DAC02"/>
    <w:rsid w:val="07144E2F"/>
    <w:rsid w:val="07215825"/>
    <w:rsid w:val="07218944"/>
    <w:rsid w:val="072B6D33"/>
    <w:rsid w:val="072D2073"/>
    <w:rsid w:val="072E18B9"/>
    <w:rsid w:val="072E9F02"/>
    <w:rsid w:val="072F51E9"/>
    <w:rsid w:val="0735F816"/>
    <w:rsid w:val="073E6179"/>
    <w:rsid w:val="07446D20"/>
    <w:rsid w:val="0744E0F6"/>
    <w:rsid w:val="074D7B50"/>
    <w:rsid w:val="0750A498"/>
    <w:rsid w:val="0757BB7D"/>
    <w:rsid w:val="075A117F"/>
    <w:rsid w:val="075E6739"/>
    <w:rsid w:val="0762DA88"/>
    <w:rsid w:val="07674B00"/>
    <w:rsid w:val="07696390"/>
    <w:rsid w:val="076BCD1C"/>
    <w:rsid w:val="076C4501"/>
    <w:rsid w:val="077A9974"/>
    <w:rsid w:val="077F272F"/>
    <w:rsid w:val="078B7440"/>
    <w:rsid w:val="0796AC6D"/>
    <w:rsid w:val="079724D2"/>
    <w:rsid w:val="079AA08E"/>
    <w:rsid w:val="079C4A90"/>
    <w:rsid w:val="079C4B1C"/>
    <w:rsid w:val="079C9C3B"/>
    <w:rsid w:val="07A028D8"/>
    <w:rsid w:val="07A236E8"/>
    <w:rsid w:val="07A8F72A"/>
    <w:rsid w:val="07AC08C0"/>
    <w:rsid w:val="07AE197C"/>
    <w:rsid w:val="07B714A5"/>
    <w:rsid w:val="07BB9908"/>
    <w:rsid w:val="07BBF0CB"/>
    <w:rsid w:val="07C469AF"/>
    <w:rsid w:val="07C495EA"/>
    <w:rsid w:val="07C60029"/>
    <w:rsid w:val="07CB24B0"/>
    <w:rsid w:val="07CC74D7"/>
    <w:rsid w:val="07CCF4CD"/>
    <w:rsid w:val="07D0D90D"/>
    <w:rsid w:val="07D5C423"/>
    <w:rsid w:val="07DAA1C4"/>
    <w:rsid w:val="07DE7FFB"/>
    <w:rsid w:val="07E231BB"/>
    <w:rsid w:val="07E88D0E"/>
    <w:rsid w:val="07E890CC"/>
    <w:rsid w:val="07ED03F1"/>
    <w:rsid w:val="07ED155E"/>
    <w:rsid w:val="07EE5073"/>
    <w:rsid w:val="07F15864"/>
    <w:rsid w:val="07F1A217"/>
    <w:rsid w:val="07FC37BA"/>
    <w:rsid w:val="07FD159B"/>
    <w:rsid w:val="0801E139"/>
    <w:rsid w:val="08082689"/>
    <w:rsid w:val="081A3999"/>
    <w:rsid w:val="081C7512"/>
    <w:rsid w:val="081DBB33"/>
    <w:rsid w:val="081EAEED"/>
    <w:rsid w:val="08217ACB"/>
    <w:rsid w:val="0821CCF6"/>
    <w:rsid w:val="0822C451"/>
    <w:rsid w:val="082D09F6"/>
    <w:rsid w:val="082DD0CD"/>
    <w:rsid w:val="0833CC66"/>
    <w:rsid w:val="08353F30"/>
    <w:rsid w:val="083FA5CD"/>
    <w:rsid w:val="08401A96"/>
    <w:rsid w:val="0844CC9A"/>
    <w:rsid w:val="08483F9B"/>
    <w:rsid w:val="0848A867"/>
    <w:rsid w:val="084D39D9"/>
    <w:rsid w:val="0865A166"/>
    <w:rsid w:val="086693B0"/>
    <w:rsid w:val="0866DD07"/>
    <w:rsid w:val="08684B0C"/>
    <w:rsid w:val="086B0A6A"/>
    <w:rsid w:val="0883BB8D"/>
    <w:rsid w:val="088D1DCC"/>
    <w:rsid w:val="088E44D6"/>
    <w:rsid w:val="08985452"/>
    <w:rsid w:val="089BE0D0"/>
    <w:rsid w:val="089D09DA"/>
    <w:rsid w:val="08A11735"/>
    <w:rsid w:val="08A9A086"/>
    <w:rsid w:val="08AB3139"/>
    <w:rsid w:val="08AB7795"/>
    <w:rsid w:val="08ADFA61"/>
    <w:rsid w:val="08B438BD"/>
    <w:rsid w:val="08BAD2BB"/>
    <w:rsid w:val="08C0BE6B"/>
    <w:rsid w:val="08C243A8"/>
    <w:rsid w:val="08C9B93F"/>
    <w:rsid w:val="08CF2CAF"/>
    <w:rsid w:val="08D6F190"/>
    <w:rsid w:val="08DB08BC"/>
    <w:rsid w:val="08DB1153"/>
    <w:rsid w:val="08DB3767"/>
    <w:rsid w:val="08DC322B"/>
    <w:rsid w:val="08DCD27C"/>
    <w:rsid w:val="08DDC95C"/>
    <w:rsid w:val="08DEBF4F"/>
    <w:rsid w:val="08E0FD31"/>
    <w:rsid w:val="08E34ABB"/>
    <w:rsid w:val="08E5833F"/>
    <w:rsid w:val="08EEE1F1"/>
    <w:rsid w:val="08F1EF74"/>
    <w:rsid w:val="08FBB498"/>
    <w:rsid w:val="08FC49C9"/>
    <w:rsid w:val="09023F12"/>
    <w:rsid w:val="09078F6D"/>
    <w:rsid w:val="090E9436"/>
    <w:rsid w:val="0917C9A3"/>
    <w:rsid w:val="091A5ADE"/>
    <w:rsid w:val="091AD634"/>
    <w:rsid w:val="091CC5B2"/>
    <w:rsid w:val="091FD8EA"/>
    <w:rsid w:val="0925FE9B"/>
    <w:rsid w:val="092FD09D"/>
    <w:rsid w:val="093155E6"/>
    <w:rsid w:val="09416D1F"/>
    <w:rsid w:val="09456E18"/>
    <w:rsid w:val="0949A3FE"/>
    <w:rsid w:val="094B83F8"/>
    <w:rsid w:val="094C3108"/>
    <w:rsid w:val="095199C0"/>
    <w:rsid w:val="096A8D37"/>
    <w:rsid w:val="096AE104"/>
    <w:rsid w:val="09730136"/>
    <w:rsid w:val="0975EEA3"/>
    <w:rsid w:val="09767D42"/>
    <w:rsid w:val="097C2F20"/>
    <w:rsid w:val="097D9A81"/>
    <w:rsid w:val="09805ABC"/>
    <w:rsid w:val="0980B6BA"/>
    <w:rsid w:val="0982B74D"/>
    <w:rsid w:val="0986AE74"/>
    <w:rsid w:val="0992669C"/>
    <w:rsid w:val="0995EE8C"/>
    <w:rsid w:val="099A7F82"/>
    <w:rsid w:val="099D2B63"/>
    <w:rsid w:val="09A15566"/>
    <w:rsid w:val="09A708AD"/>
    <w:rsid w:val="09B62A35"/>
    <w:rsid w:val="09BBA3DC"/>
    <w:rsid w:val="09C1329D"/>
    <w:rsid w:val="09C7DF2D"/>
    <w:rsid w:val="09D74056"/>
    <w:rsid w:val="09DD4621"/>
    <w:rsid w:val="09E9A82D"/>
    <w:rsid w:val="09EED1FF"/>
    <w:rsid w:val="09F20E65"/>
    <w:rsid w:val="09F438BF"/>
    <w:rsid w:val="09F72EC0"/>
    <w:rsid w:val="09F9DE59"/>
    <w:rsid w:val="09FABE1B"/>
    <w:rsid w:val="0A10E13F"/>
    <w:rsid w:val="0A127A16"/>
    <w:rsid w:val="0A1DB9D9"/>
    <w:rsid w:val="0A202094"/>
    <w:rsid w:val="0A213F8C"/>
    <w:rsid w:val="0A26364C"/>
    <w:rsid w:val="0A2A2B99"/>
    <w:rsid w:val="0A2BB9AB"/>
    <w:rsid w:val="0A315A40"/>
    <w:rsid w:val="0A385F32"/>
    <w:rsid w:val="0A395CF9"/>
    <w:rsid w:val="0A39D4FC"/>
    <w:rsid w:val="0A425855"/>
    <w:rsid w:val="0A45757C"/>
    <w:rsid w:val="0A46E627"/>
    <w:rsid w:val="0A4A07C9"/>
    <w:rsid w:val="0A4B947F"/>
    <w:rsid w:val="0A4E2A92"/>
    <w:rsid w:val="0A4E5F98"/>
    <w:rsid w:val="0A505DB1"/>
    <w:rsid w:val="0A53AF62"/>
    <w:rsid w:val="0A553CA3"/>
    <w:rsid w:val="0A55D00B"/>
    <w:rsid w:val="0A579D46"/>
    <w:rsid w:val="0A5ED030"/>
    <w:rsid w:val="0A5F0063"/>
    <w:rsid w:val="0A64AF21"/>
    <w:rsid w:val="0A67936E"/>
    <w:rsid w:val="0A6AAB86"/>
    <w:rsid w:val="0A6BBB20"/>
    <w:rsid w:val="0A70BF91"/>
    <w:rsid w:val="0A71E19F"/>
    <w:rsid w:val="0A774435"/>
    <w:rsid w:val="0A77A232"/>
    <w:rsid w:val="0A905564"/>
    <w:rsid w:val="0A92BFB0"/>
    <w:rsid w:val="0A94FEA7"/>
    <w:rsid w:val="0A98CCA5"/>
    <w:rsid w:val="0A9AABAF"/>
    <w:rsid w:val="0A9AF5F7"/>
    <w:rsid w:val="0A9F513F"/>
    <w:rsid w:val="0AA040A7"/>
    <w:rsid w:val="0AA15107"/>
    <w:rsid w:val="0AA5CA6A"/>
    <w:rsid w:val="0AA67748"/>
    <w:rsid w:val="0AADB13C"/>
    <w:rsid w:val="0AB9C6D9"/>
    <w:rsid w:val="0ABF5825"/>
    <w:rsid w:val="0AC25E26"/>
    <w:rsid w:val="0ACB0CA7"/>
    <w:rsid w:val="0ACB3C7F"/>
    <w:rsid w:val="0ACBE4D9"/>
    <w:rsid w:val="0AD42AD5"/>
    <w:rsid w:val="0AD910FC"/>
    <w:rsid w:val="0AD9B79C"/>
    <w:rsid w:val="0ADAA47D"/>
    <w:rsid w:val="0ADAAC12"/>
    <w:rsid w:val="0ADADA8A"/>
    <w:rsid w:val="0AE2FAFA"/>
    <w:rsid w:val="0AE363D8"/>
    <w:rsid w:val="0AE7DA59"/>
    <w:rsid w:val="0AEB5628"/>
    <w:rsid w:val="0AEB588C"/>
    <w:rsid w:val="0AFFFFAE"/>
    <w:rsid w:val="0B00BDC1"/>
    <w:rsid w:val="0B04C7C0"/>
    <w:rsid w:val="0B06923D"/>
    <w:rsid w:val="0B06F6B9"/>
    <w:rsid w:val="0B080F01"/>
    <w:rsid w:val="0B094F69"/>
    <w:rsid w:val="0B09B65C"/>
    <w:rsid w:val="0B0A8F32"/>
    <w:rsid w:val="0B0B9ED2"/>
    <w:rsid w:val="0B0BCDF1"/>
    <w:rsid w:val="0B1AC45A"/>
    <w:rsid w:val="0B1F727D"/>
    <w:rsid w:val="0B2231B1"/>
    <w:rsid w:val="0B27E421"/>
    <w:rsid w:val="0B343A1E"/>
    <w:rsid w:val="0B3D0E79"/>
    <w:rsid w:val="0B427D94"/>
    <w:rsid w:val="0B428DD7"/>
    <w:rsid w:val="0B4AE516"/>
    <w:rsid w:val="0B4D0FDC"/>
    <w:rsid w:val="0B58F7A2"/>
    <w:rsid w:val="0B6DDA86"/>
    <w:rsid w:val="0B745200"/>
    <w:rsid w:val="0B78F72D"/>
    <w:rsid w:val="0B7E2A41"/>
    <w:rsid w:val="0B7E9158"/>
    <w:rsid w:val="0B851286"/>
    <w:rsid w:val="0B8AA772"/>
    <w:rsid w:val="0B8EAE5F"/>
    <w:rsid w:val="0B981577"/>
    <w:rsid w:val="0B986421"/>
    <w:rsid w:val="0B9AAE89"/>
    <w:rsid w:val="0B9F9A68"/>
    <w:rsid w:val="0BA2833B"/>
    <w:rsid w:val="0BB48CD5"/>
    <w:rsid w:val="0BB4B98C"/>
    <w:rsid w:val="0BBA75D3"/>
    <w:rsid w:val="0BBB569D"/>
    <w:rsid w:val="0BBBD70B"/>
    <w:rsid w:val="0BBC0803"/>
    <w:rsid w:val="0BBCFB2B"/>
    <w:rsid w:val="0BBD0DC3"/>
    <w:rsid w:val="0BC53498"/>
    <w:rsid w:val="0BC5ABEB"/>
    <w:rsid w:val="0BCAA64E"/>
    <w:rsid w:val="0BCDFB4A"/>
    <w:rsid w:val="0BD3D385"/>
    <w:rsid w:val="0BD7AF2C"/>
    <w:rsid w:val="0BD9CC52"/>
    <w:rsid w:val="0BE9BB15"/>
    <w:rsid w:val="0BED5FEE"/>
    <w:rsid w:val="0BEDE0C9"/>
    <w:rsid w:val="0BEE319F"/>
    <w:rsid w:val="0BEE6FD2"/>
    <w:rsid w:val="0BEEAE35"/>
    <w:rsid w:val="0BF16A86"/>
    <w:rsid w:val="0C054434"/>
    <w:rsid w:val="0C062BB7"/>
    <w:rsid w:val="0C112BDE"/>
    <w:rsid w:val="0C141414"/>
    <w:rsid w:val="0C1773CE"/>
    <w:rsid w:val="0C186E35"/>
    <w:rsid w:val="0C22BCF5"/>
    <w:rsid w:val="0C23BA58"/>
    <w:rsid w:val="0C2A53E9"/>
    <w:rsid w:val="0C2C2B3A"/>
    <w:rsid w:val="0C2DF169"/>
    <w:rsid w:val="0C32C015"/>
    <w:rsid w:val="0C334533"/>
    <w:rsid w:val="0C3EE06B"/>
    <w:rsid w:val="0C3FDC8C"/>
    <w:rsid w:val="0C406805"/>
    <w:rsid w:val="0C425FA5"/>
    <w:rsid w:val="0C4EB23B"/>
    <w:rsid w:val="0C4FF943"/>
    <w:rsid w:val="0C50078F"/>
    <w:rsid w:val="0C50EACE"/>
    <w:rsid w:val="0C52AF9A"/>
    <w:rsid w:val="0C52E069"/>
    <w:rsid w:val="0C56D1B0"/>
    <w:rsid w:val="0C58C258"/>
    <w:rsid w:val="0C671FE2"/>
    <w:rsid w:val="0C6FB06F"/>
    <w:rsid w:val="0C79D37D"/>
    <w:rsid w:val="0C7B20E4"/>
    <w:rsid w:val="0C7CBF40"/>
    <w:rsid w:val="0C8AC134"/>
    <w:rsid w:val="0C8F3934"/>
    <w:rsid w:val="0C945E65"/>
    <w:rsid w:val="0C966C79"/>
    <w:rsid w:val="0C9BBEB2"/>
    <w:rsid w:val="0C9D1CBC"/>
    <w:rsid w:val="0CABBE82"/>
    <w:rsid w:val="0CAC74E1"/>
    <w:rsid w:val="0CAF4814"/>
    <w:rsid w:val="0CB52583"/>
    <w:rsid w:val="0CB9B70F"/>
    <w:rsid w:val="0CBD093C"/>
    <w:rsid w:val="0CBF97AF"/>
    <w:rsid w:val="0CC38A83"/>
    <w:rsid w:val="0CC665C4"/>
    <w:rsid w:val="0CC80FEC"/>
    <w:rsid w:val="0CC8B942"/>
    <w:rsid w:val="0CCA444C"/>
    <w:rsid w:val="0CCCF101"/>
    <w:rsid w:val="0CCFE005"/>
    <w:rsid w:val="0CD59133"/>
    <w:rsid w:val="0CDB2BC1"/>
    <w:rsid w:val="0CDC1CBE"/>
    <w:rsid w:val="0CE04798"/>
    <w:rsid w:val="0CE16F83"/>
    <w:rsid w:val="0CE18BF1"/>
    <w:rsid w:val="0CE38113"/>
    <w:rsid w:val="0CEB1DA6"/>
    <w:rsid w:val="0CEE21C0"/>
    <w:rsid w:val="0CF80AE7"/>
    <w:rsid w:val="0CFA412A"/>
    <w:rsid w:val="0D010EAE"/>
    <w:rsid w:val="0D02A7BE"/>
    <w:rsid w:val="0D02BB5B"/>
    <w:rsid w:val="0D080066"/>
    <w:rsid w:val="0D0D74AC"/>
    <w:rsid w:val="0D145E6B"/>
    <w:rsid w:val="0D153AB3"/>
    <w:rsid w:val="0D159555"/>
    <w:rsid w:val="0D1787AB"/>
    <w:rsid w:val="0D21B82F"/>
    <w:rsid w:val="0D235F8D"/>
    <w:rsid w:val="0D255060"/>
    <w:rsid w:val="0D25BA53"/>
    <w:rsid w:val="0D25EE59"/>
    <w:rsid w:val="0D2D1E30"/>
    <w:rsid w:val="0D2E1C2E"/>
    <w:rsid w:val="0D2F88E6"/>
    <w:rsid w:val="0D32279A"/>
    <w:rsid w:val="0D3951A7"/>
    <w:rsid w:val="0D3A9542"/>
    <w:rsid w:val="0D3C9629"/>
    <w:rsid w:val="0D404AF8"/>
    <w:rsid w:val="0D44CA41"/>
    <w:rsid w:val="0D4D90EB"/>
    <w:rsid w:val="0D4EA34D"/>
    <w:rsid w:val="0D4F93C0"/>
    <w:rsid w:val="0D5284CB"/>
    <w:rsid w:val="0D54BB23"/>
    <w:rsid w:val="0D5F4735"/>
    <w:rsid w:val="0D6A6A06"/>
    <w:rsid w:val="0D6F7932"/>
    <w:rsid w:val="0D724D2E"/>
    <w:rsid w:val="0D83EC52"/>
    <w:rsid w:val="0D93C57E"/>
    <w:rsid w:val="0D94D40C"/>
    <w:rsid w:val="0D97F1BF"/>
    <w:rsid w:val="0D9A16A8"/>
    <w:rsid w:val="0D9AA95B"/>
    <w:rsid w:val="0D9EA6AA"/>
    <w:rsid w:val="0D9EC173"/>
    <w:rsid w:val="0DA44401"/>
    <w:rsid w:val="0DA4541C"/>
    <w:rsid w:val="0DA4DFA6"/>
    <w:rsid w:val="0DA5F350"/>
    <w:rsid w:val="0DABBAB7"/>
    <w:rsid w:val="0DBE3291"/>
    <w:rsid w:val="0DC494B8"/>
    <w:rsid w:val="0DCFAC14"/>
    <w:rsid w:val="0DD302E8"/>
    <w:rsid w:val="0DD35834"/>
    <w:rsid w:val="0DD37C9E"/>
    <w:rsid w:val="0DD400A2"/>
    <w:rsid w:val="0DD5DDE2"/>
    <w:rsid w:val="0DD8076A"/>
    <w:rsid w:val="0DD9F36D"/>
    <w:rsid w:val="0DDB93DC"/>
    <w:rsid w:val="0DE31F92"/>
    <w:rsid w:val="0DE601B4"/>
    <w:rsid w:val="0DE94908"/>
    <w:rsid w:val="0DED5CC1"/>
    <w:rsid w:val="0DF5D9CF"/>
    <w:rsid w:val="0DF6F24A"/>
    <w:rsid w:val="0DFA08D0"/>
    <w:rsid w:val="0DFE60F4"/>
    <w:rsid w:val="0E021B17"/>
    <w:rsid w:val="0E0FB82C"/>
    <w:rsid w:val="0E12556B"/>
    <w:rsid w:val="0E169ED1"/>
    <w:rsid w:val="0E188AD1"/>
    <w:rsid w:val="0E195A6F"/>
    <w:rsid w:val="0E1B4D1A"/>
    <w:rsid w:val="0E2059DC"/>
    <w:rsid w:val="0E2B97B8"/>
    <w:rsid w:val="0E2DDF37"/>
    <w:rsid w:val="0E34FCFC"/>
    <w:rsid w:val="0E3BD34F"/>
    <w:rsid w:val="0E3ED910"/>
    <w:rsid w:val="0E42CE7D"/>
    <w:rsid w:val="0E498E88"/>
    <w:rsid w:val="0E4CD346"/>
    <w:rsid w:val="0E51154E"/>
    <w:rsid w:val="0E52B9E0"/>
    <w:rsid w:val="0E57C6FE"/>
    <w:rsid w:val="0E5A3C72"/>
    <w:rsid w:val="0E5BCF24"/>
    <w:rsid w:val="0E5D3DE8"/>
    <w:rsid w:val="0E62303F"/>
    <w:rsid w:val="0E633759"/>
    <w:rsid w:val="0E65E06D"/>
    <w:rsid w:val="0E67A7BB"/>
    <w:rsid w:val="0E735D09"/>
    <w:rsid w:val="0E743F25"/>
    <w:rsid w:val="0E789C6C"/>
    <w:rsid w:val="0E825A0C"/>
    <w:rsid w:val="0E82C10A"/>
    <w:rsid w:val="0E8A4E4F"/>
    <w:rsid w:val="0E8AFF14"/>
    <w:rsid w:val="0E8B123D"/>
    <w:rsid w:val="0E98DF55"/>
    <w:rsid w:val="0E9941AB"/>
    <w:rsid w:val="0E9B8D16"/>
    <w:rsid w:val="0EA18F64"/>
    <w:rsid w:val="0EA6F53C"/>
    <w:rsid w:val="0EA85134"/>
    <w:rsid w:val="0EAE0D58"/>
    <w:rsid w:val="0EAFA197"/>
    <w:rsid w:val="0EB7B7CA"/>
    <w:rsid w:val="0EB9B4E1"/>
    <w:rsid w:val="0EC2AD78"/>
    <w:rsid w:val="0EC338C5"/>
    <w:rsid w:val="0ECAA0F7"/>
    <w:rsid w:val="0ED74EBD"/>
    <w:rsid w:val="0ED7A709"/>
    <w:rsid w:val="0ED96F29"/>
    <w:rsid w:val="0EDCBF3E"/>
    <w:rsid w:val="0EDE6BD2"/>
    <w:rsid w:val="0EDF99D7"/>
    <w:rsid w:val="0EE06CE1"/>
    <w:rsid w:val="0EE2931E"/>
    <w:rsid w:val="0EEB1647"/>
    <w:rsid w:val="0EEDAB02"/>
    <w:rsid w:val="0EF3B9D4"/>
    <w:rsid w:val="0EF47575"/>
    <w:rsid w:val="0EF47A5C"/>
    <w:rsid w:val="0EF7DD4C"/>
    <w:rsid w:val="0EFD153A"/>
    <w:rsid w:val="0F02C198"/>
    <w:rsid w:val="0F08B56F"/>
    <w:rsid w:val="0F09D264"/>
    <w:rsid w:val="0F0C55DA"/>
    <w:rsid w:val="0F0D85CD"/>
    <w:rsid w:val="0F14F1A2"/>
    <w:rsid w:val="0F176B82"/>
    <w:rsid w:val="0F266447"/>
    <w:rsid w:val="0F277DCA"/>
    <w:rsid w:val="0F2DCDA5"/>
    <w:rsid w:val="0F2F8B23"/>
    <w:rsid w:val="0F326918"/>
    <w:rsid w:val="0F3697D7"/>
    <w:rsid w:val="0F3875FD"/>
    <w:rsid w:val="0F4F6476"/>
    <w:rsid w:val="0F515B61"/>
    <w:rsid w:val="0F51FDE1"/>
    <w:rsid w:val="0F530179"/>
    <w:rsid w:val="0F5385DE"/>
    <w:rsid w:val="0F58038A"/>
    <w:rsid w:val="0F5A7C9B"/>
    <w:rsid w:val="0F5D8307"/>
    <w:rsid w:val="0F5EFDF5"/>
    <w:rsid w:val="0F632D85"/>
    <w:rsid w:val="0F6D36E2"/>
    <w:rsid w:val="0F6E50B2"/>
    <w:rsid w:val="0F745A04"/>
    <w:rsid w:val="0F74BD3F"/>
    <w:rsid w:val="0F7932A3"/>
    <w:rsid w:val="0F797F2A"/>
    <w:rsid w:val="0F7C47DC"/>
    <w:rsid w:val="0F7FE576"/>
    <w:rsid w:val="0F877E1F"/>
    <w:rsid w:val="0F8EABC4"/>
    <w:rsid w:val="0F90EBE2"/>
    <w:rsid w:val="0F91767C"/>
    <w:rsid w:val="0F987A34"/>
    <w:rsid w:val="0F9C83DF"/>
    <w:rsid w:val="0FA1C326"/>
    <w:rsid w:val="0FA42E97"/>
    <w:rsid w:val="0FA79E5B"/>
    <w:rsid w:val="0FB39B53"/>
    <w:rsid w:val="0FBE46DD"/>
    <w:rsid w:val="0FBE9DCA"/>
    <w:rsid w:val="0FBFFEF9"/>
    <w:rsid w:val="0FC19A46"/>
    <w:rsid w:val="0FC318FD"/>
    <w:rsid w:val="0FCDCB6F"/>
    <w:rsid w:val="0FD49E74"/>
    <w:rsid w:val="0FDE85CB"/>
    <w:rsid w:val="0FE3B112"/>
    <w:rsid w:val="0FE6B915"/>
    <w:rsid w:val="0FEFE36E"/>
    <w:rsid w:val="0FF4E6C1"/>
    <w:rsid w:val="0FF7BEFC"/>
    <w:rsid w:val="0FF9C858"/>
    <w:rsid w:val="0FFB3A17"/>
    <w:rsid w:val="0FFE1D8C"/>
    <w:rsid w:val="10020BB7"/>
    <w:rsid w:val="100485A3"/>
    <w:rsid w:val="10075224"/>
    <w:rsid w:val="1009EB79"/>
    <w:rsid w:val="100C3BDB"/>
    <w:rsid w:val="100F771C"/>
    <w:rsid w:val="101519EA"/>
    <w:rsid w:val="10154CF4"/>
    <w:rsid w:val="10187AA4"/>
    <w:rsid w:val="1026B461"/>
    <w:rsid w:val="102AECA3"/>
    <w:rsid w:val="10338E16"/>
    <w:rsid w:val="10374067"/>
    <w:rsid w:val="10378034"/>
    <w:rsid w:val="103D2B55"/>
    <w:rsid w:val="103F0106"/>
    <w:rsid w:val="10426528"/>
    <w:rsid w:val="1042DC17"/>
    <w:rsid w:val="104343DA"/>
    <w:rsid w:val="10445F6D"/>
    <w:rsid w:val="10467C82"/>
    <w:rsid w:val="1048C3DF"/>
    <w:rsid w:val="104A03E3"/>
    <w:rsid w:val="104BB49D"/>
    <w:rsid w:val="10522DC7"/>
    <w:rsid w:val="1057AC8D"/>
    <w:rsid w:val="105E3A34"/>
    <w:rsid w:val="1060D743"/>
    <w:rsid w:val="10643AF4"/>
    <w:rsid w:val="1065B0DE"/>
    <w:rsid w:val="1065E067"/>
    <w:rsid w:val="1065EDC9"/>
    <w:rsid w:val="10679BAE"/>
    <w:rsid w:val="106F96B2"/>
    <w:rsid w:val="10774931"/>
    <w:rsid w:val="10826403"/>
    <w:rsid w:val="10868D87"/>
    <w:rsid w:val="1087DAA0"/>
    <w:rsid w:val="108E9D46"/>
    <w:rsid w:val="1097D835"/>
    <w:rsid w:val="109C9187"/>
    <w:rsid w:val="10A0E59E"/>
    <w:rsid w:val="10A1BD6B"/>
    <w:rsid w:val="10A3C908"/>
    <w:rsid w:val="10A4DB35"/>
    <w:rsid w:val="10A69A74"/>
    <w:rsid w:val="10AA6FF3"/>
    <w:rsid w:val="10ABF3FC"/>
    <w:rsid w:val="10AE47C2"/>
    <w:rsid w:val="10B3E02A"/>
    <w:rsid w:val="10B71228"/>
    <w:rsid w:val="10BD1777"/>
    <w:rsid w:val="10BDB8F4"/>
    <w:rsid w:val="10C14AD1"/>
    <w:rsid w:val="10C27909"/>
    <w:rsid w:val="10C98AE6"/>
    <w:rsid w:val="10CD1794"/>
    <w:rsid w:val="10D05A77"/>
    <w:rsid w:val="10D1B6AD"/>
    <w:rsid w:val="10D47FA7"/>
    <w:rsid w:val="10D95B72"/>
    <w:rsid w:val="10DCC1E9"/>
    <w:rsid w:val="10E73A50"/>
    <w:rsid w:val="10EE2845"/>
    <w:rsid w:val="10F0FA59"/>
    <w:rsid w:val="10F53FE7"/>
    <w:rsid w:val="10F8CDDA"/>
    <w:rsid w:val="10F8F6F8"/>
    <w:rsid w:val="10FF8A0D"/>
    <w:rsid w:val="10FF9E26"/>
    <w:rsid w:val="1100E726"/>
    <w:rsid w:val="1102B84F"/>
    <w:rsid w:val="1105DEB3"/>
    <w:rsid w:val="110C125A"/>
    <w:rsid w:val="111E420E"/>
    <w:rsid w:val="1127DF48"/>
    <w:rsid w:val="112AF939"/>
    <w:rsid w:val="112EE990"/>
    <w:rsid w:val="1131F9B3"/>
    <w:rsid w:val="11388647"/>
    <w:rsid w:val="113ABDBA"/>
    <w:rsid w:val="113BD245"/>
    <w:rsid w:val="113FAF2C"/>
    <w:rsid w:val="11461C62"/>
    <w:rsid w:val="114E69BF"/>
    <w:rsid w:val="114F5F0A"/>
    <w:rsid w:val="115477A0"/>
    <w:rsid w:val="1158D082"/>
    <w:rsid w:val="115BA90A"/>
    <w:rsid w:val="115BE0FF"/>
    <w:rsid w:val="115C7ECC"/>
    <w:rsid w:val="1161CFE4"/>
    <w:rsid w:val="11642C8A"/>
    <w:rsid w:val="1166A788"/>
    <w:rsid w:val="116914D4"/>
    <w:rsid w:val="116A99A5"/>
    <w:rsid w:val="116C6D52"/>
    <w:rsid w:val="116D50F0"/>
    <w:rsid w:val="116F38C4"/>
    <w:rsid w:val="11836281"/>
    <w:rsid w:val="11846F5E"/>
    <w:rsid w:val="1184C813"/>
    <w:rsid w:val="118589C9"/>
    <w:rsid w:val="1186F3CD"/>
    <w:rsid w:val="118779BD"/>
    <w:rsid w:val="1195407D"/>
    <w:rsid w:val="11973DC3"/>
    <w:rsid w:val="119963CD"/>
    <w:rsid w:val="119C6C99"/>
    <w:rsid w:val="119D7CEC"/>
    <w:rsid w:val="11A0C1EB"/>
    <w:rsid w:val="11AB2981"/>
    <w:rsid w:val="11AD2F85"/>
    <w:rsid w:val="11ADE270"/>
    <w:rsid w:val="11B3E8E3"/>
    <w:rsid w:val="11BFE777"/>
    <w:rsid w:val="11C7CAAA"/>
    <w:rsid w:val="11C93B22"/>
    <w:rsid w:val="11CCA24E"/>
    <w:rsid w:val="11D0011A"/>
    <w:rsid w:val="11D80811"/>
    <w:rsid w:val="11DD0571"/>
    <w:rsid w:val="11E274BD"/>
    <w:rsid w:val="11E5D975"/>
    <w:rsid w:val="11EF112D"/>
    <w:rsid w:val="11F3788F"/>
    <w:rsid w:val="11F4CB82"/>
    <w:rsid w:val="11F61AE1"/>
    <w:rsid w:val="11F6F30D"/>
    <w:rsid w:val="1201FFFB"/>
    <w:rsid w:val="120A6FF7"/>
    <w:rsid w:val="12112D67"/>
    <w:rsid w:val="12122828"/>
    <w:rsid w:val="1214F02E"/>
    <w:rsid w:val="12158C38"/>
    <w:rsid w:val="121A04F8"/>
    <w:rsid w:val="12203088"/>
    <w:rsid w:val="12224BEE"/>
    <w:rsid w:val="1222EDB6"/>
    <w:rsid w:val="12242185"/>
    <w:rsid w:val="12259A25"/>
    <w:rsid w:val="122797D0"/>
    <w:rsid w:val="122A0C84"/>
    <w:rsid w:val="122B2EE1"/>
    <w:rsid w:val="122B7508"/>
    <w:rsid w:val="122F4597"/>
    <w:rsid w:val="12307E24"/>
    <w:rsid w:val="1234FB5B"/>
    <w:rsid w:val="123516B0"/>
    <w:rsid w:val="12375727"/>
    <w:rsid w:val="1244C453"/>
    <w:rsid w:val="1245F638"/>
    <w:rsid w:val="124F81DA"/>
    <w:rsid w:val="1252D60B"/>
    <w:rsid w:val="1255691B"/>
    <w:rsid w:val="126102FA"/>
    <w:rsid w:val="1269CD18"/>
    <w:rsid w:val="126AA922"/>
    <w:rsid w:val="126EB623"/>
    <w:rsid w:val="1270BA25"/>
    <w:rsid w:val="1272F00C"/>
    <w:rsid w:val="1274611A"/>
    <w:rsid w:val="127D3A25"/>
    <w:rsid w:val="1288F7FE"/>
    <w:rsid w:val="1289C697"/>
    <w:rsid w:val="128B36A0"/>
    <w:rsid w:val="12915757"/>
    <w:rsid w:val="129CEB57"/>
    <w:rsid w:val="129EAA8F"/>
    <w:rsid w:val="12A16A5B"/>
    <w:rsid w:val="12AC3A0A"/>
    <w:rsid w:val="12AD8577"/>
    <w:rsid w:val="12AED234"/>
    <w:rsid w:val="12AF1BCD"/>
    <w:rsid w:val="12AF527D"/>
    <w:rsid w:val="12B3FA78"/>
    <w:rsid w:val="12B43B13"/>
    <w:rsid w:val="12C2A35F"/>
    <w:rsid w:val="12C7C541"/>
    <w:rsid w:val="12CA2FF0"/>
    <w:rsid w:val="12CEFBDE"/>
    <w:rsid w:val="12D23D31"/>
    <w:rsid w:val="12EC56BA"/>
    <w:rsid w:val="12F50AA2"/>
    <w:rsid w:val="13026832"/>
    <w:rsid w:val="130900BF"/>
    <w:rsid w:val="130D33C9"/>
    <w:rsid w:val="130F5002"/>
    <w:rsid w:val="13116191"/>
    <w:rsid w:val="131478DA"/>
    <w:rsid w:val="131ACC5F"/>
    <w:rsid w:val="131EEFF8"/>
    <w:rsid w:val="131FC4AF"/>
    <w:rsid w:val="13264604"/>
    <w:rsid w:val="132E49FA"/>
    <w:rsid w:val="132F1DB2"/>
    <w:rsid w:val="13318477"/>
    <w:rsid w:val="13367B75"/>
    <w:rsid w:val="133B5899"/>
    <w:rsid w:val="133E7F38"/>
    <w:rsid w:val="1342C8EB"/>
    <w:rsid w:val="13439F4B"/>
    <w:rsid w:val="134A98BC"/>
    <w:rsid w:val="134DAA19"/>
    <w:rsid w:val="13534BD2"/>
    <w:rsid w:val="135AB208"/>
    <w:rsid w:val="135EA724"/>
    <w:rsid w:val="136231C1"/>
    <w:rsid w:val="136C4C2D"/>
    <w:rsid w:val="136F319A"/>
    <w:rsid w:val="136FC6A9"/>
    <w:rsid w:val="137922DB"/>
    <w:rsid w:val="138547C6"/>
    <w:rsid w:val="1386E0CB"/>
    <w:rsid w:val="13885BF3"/>
    <w:rsid w:val="13887F50"/>
    <w:rsid w:val="138C7BEF"/>
    <w:rsid w:val="138E3471"/>
    <w:rsid w:val="138E64A1"/>
    <w:rsid w:val="1391D52D"/>
    <w:rsid w:val="13935D14"/>
    <w:rsid w:val="13995915"/>
    <w:rsid w:val="13B0DBA0"/>
    <w:rsid w:val="13B45133"/>
    <w:rsid w:val="13B6AADE"/>
    <w:rsid w:val="13B6E171"/>
    <w:rsid w:val="13BB8EE1"/>
    <w:rsid w:val="13BFE058"/>
    <w:rsid w:val="13C28B74"/>
    <w:rsid w:val="13C5A487"/>
    <w:rsid w:val="13DDCDB6"/>
    <w:rsid w:val="13E7D2DF"/>
    <w:rsid w:val="13E829FC"/>
    <w:rsid w:val="13EEB5B8"/>
    <w:rsid w:val="13F00D54"/>
    <w:rsid w:val="13F5C294"/>
    <w:rsid w:val="13F97472"/>
    <w:rsid w:val="13FA1084"/>
    <w:rsid w:val="140457B0"/>
    <w:rsid w:val="1406BAAF"/>
    <w:rsid w:val="1417F923"/>
    <w:rsid w:val="141817DE"/>
    <w:rsid w:val="14195868"/>
    <w:rsid w:val="141B4E01"/>
    <w:rsid w:val="141E7303"/>
    <w:rsid w:val="14217F2B"/>
    <w:rsid w:val="1422D32F"/>
    <w:rsid w:val="14270ABB"/>
    <w:rsid w:val="14299F68"/>
    <w:rsid w:val="14324783"/>
    <w:rsid w:val="1433FACC"/>
    <w:rsid w:val="143E6253"/>
    <w:rsid w:val="1448CF64"/>
    <w:rsid w:val="144A3B56"/>
    <w:rsid w:val="144B27FC"/>
    <w:rsid w:val="144C7C70"/>
    <w:rsid w:val="14540C4D"/>
    <w:rsid w:val="145492A3"/>
    <w:rsid w:val="145AFEE7"/>
    <w:rsid w:val="14645AFE"/>
    <w:rsid w:val="1465145D"/>
    <w:rsid w:val="14680D64"/>
    <w:rsid w:val="1469EEE4"/>
    <w:rsid w:val="146B8BE3"/>
    <w:rsid w:val="1478DEE6"/>
    <w:rsid w:val="147AD3F3"/>
    <w:rsid w:val="147E0A54"/>
    <w:rsid w:val="1488952A"/>
    <w:rsid w:val="1488C2D2"/>
    <w:rsid w:val="148F5361"/>
    <w:rsid w:val="1491CC3E"/>
    <w:rsid w:val="14925537"/>
    <w:rsid w:val="1492F29F"/>
    <w:rsid w:val="149A5925"/>
    <w:rsid w:val="149C0B83"/>
    <w:rsid w:val="14A04C67"/>
    <w:rsid w:val="14ABA8EE"/>
    <w:rsid w:val="14AEE95B"/>
    <w:rsid w:val="14B0F248"/>
    <w:rsid w:val="14B22139"/>
    <w:rsid w:val="14B81229"/>
    <w:rsid w:val="14BCA019"/>
    <w:rsid w:val="14C061CA"/>
    <w:rsid w:val="14CF73BB"/>
    <w:rsid w:val="14D130E0"/>
    <w:rsid w:val="14D3DA4D"/>
    <w:rsid w:val="14D64615"/>
    <w:rsid w:val="14DC996D"/>
    <w:rsid w:val="14DF1569"/>
    <w:rsid w:val="14E3F262"/>
    <w:rsid w:val="14F37233"/>
    <w:rsid w:val="14F70A90"/>
    <w:rsid w:val="14FF5AA5"/>
    <w:rsid w:val="14FFE85F"/>
    <w:rsid w:val="15001650"/>
    <w:rsid w:val="1501A160"/>
    <w:rsid w:val="15103592"/>
    <w:rsid w:val="1511CE7A"/>
    <w:rsid w:val="15130625"/>
    <w:rsid w:val="151ABFB0"/>
    <w:rsid w:val="151C624F"/>
    <w:rsid w:val="1522C313"/>
    <w:rsid w:val="152D3904"/>
    <w:rsid w:val="152F8779"/>
    <w:rsid w:val="153A282B"/>
    <w:rsid w:val="153B5C48"/>
    <w:rsid w:val="153F8D5C"/>
    <w:rsid w:val="1545EA47"/>
    <w:rsid w:val="154B68F5"/>
    <w:rsid w:val="1556E061"/>
    <w:rsid w:val="155887C9"/>
    <w:rsid w:val="155A387B"/>
    <w:rsid w:val="155A913A"/>
    <w:rsid w:val="155E79CB"/>
    <w:rsid w:val="1561B2F4"/>
    <w:rsid w:val="156666C9"/>
    <w:rsid w:val="1568F330"/>
    <w:rsid w:val="156EDCF5"/>
    <w:rsid w:val="156FEC82"/>
    <w:rsid w:val="157A6E63"/>
    <w:rsid w:val="157AD303"/>
    <w:rsid w:val="157E39C7"/>
    <w:rsid w:val="1580EF32"/>
    <w:rsid w:val="15836EE2"/>
    <w:rsid w:val="158B8F10"/>
    <w:rsid w:val="1594BE49"/>
    <w:rsid w:val="159643D2"/>
    <w:rsid w:val="15975611"/>
    <w:rsid w:val="159A3BB2"/>
    <w:rsid w:val="159C9D18"/>
    <w:rsid w:val="159D6881"/>
    <w:rsid w:val="15A2A34F"/>
    <w:rsid w:val="15A74292"/>
    <w:rsid w:val="15A868B8"/>
    <w:rsid w:val="15AD32B8"/>
    <w:rsid w:val="15C10072"/>
    <w:rsid w:val="15CD2634"/>
    <w:rsid w:val="15D53FC3"/>
    <w:rsid w:val="15D81E5F"/>
    <w:rsid w:val="15E54177"/>
    <w:rsid w:val="15F0727A"/>
    <w:rsid w:val="15F86260"/>
    <w:rsid w:val="15FB2EDE"/>
    <w:rsid w:val="15FB44C0"/>
    <w:rsid w:val="15FBD52D"/>
    <w:rsid w:val="15FEE886"/>
    <w:rsid w:val="16019EBA"/>
    <w:rsid w:val="160390F2"/>
    <w:rsid w:val="1606DCBE"/>
    <w:rsid w:val="160AE547"/>
    <w:rsid w:val="160B9C98"/>
    <w:rsid w:val="16106B12"/>
    <w:rsid w:val="16153638"/>
    <w:rsid w:val="161692A8"/>
    <w:rsid w:val="16195AAA"/>
    <w:rsid w:val="161D7C85"/>
    <w:rsid w:val="161F4860"/>
    <w:rsid w:val="16218DE8"/>
    <w:rsid w:val="162537B7"/>
    <w:rsid w:val="162600CA"/>
    <w:rsid w:val="16314D5C"/>
    <w:rsid w:val="16341DF1"/>
    <w:rsid w:val="16345F2D"/>
    <w:rsid w:val="16359D27"/>
    <w:rsid w:val="163E137D"/>
    <w:rsid w:val="1648D935"/>
    <w:rsid w:val="164A14E0"/>
    <w:rsid w:val="1652805A"/>
    <w:rsid w:val="16534E0C"/>
    <w:rsid w:val="1655B6E0"/>
    <w:rsid w:val="165C2953"/>
    <w:rsid w:val="165C3E5D"/>
    <w:rsid w:val="165FB199"/>
    <w:rsid w:val="1663A4E7"/>
    <w:rsid w:val="1664B93E"/>
    <w:rsid w:val="16656F34"/>
    <w:rsid w:val="1666BA44"/>
    <w:rsid w:val="1666FADC"/>
    <w:rsid w:val="1669DD48"/>
    <w:rsid w:val="16772622"/>
    <w:rsid w:val="1678E8DF"/>
    <w:rsid w:val="167A3283"/>
    <w:rsid w:val="168442BA"/>
    <w:rsid w:val="169E61D9"/>
    <w:rsid w:val="169ED4DB"/>
    <w:rsid w:val="169F5A81"/>
    <w:rsid w:val="16A2D133"/>
    <w:rsid w:val="16A46C35"/>
    <w:rsid w:val="16A59D9E"/>
    <w:rsid w:val="16ADBEAD"/>
    <w:rsid w:val="16B081CA"/>
    <w:rsid w:val="16B3BBC5"/>
    <w:rsid w:val="16C227F0"/>
    <w:rsid w:val="16C79816"/>
    <w:rsid w:val="16CC350D"/>
    <w:rsid w:val="16D2BF0F"/>
    <w:rsid w:val="16D6E033"/>
    <w:rsid w:val="16D7F7B7"/>
    <w:rsid w:val="16DC0B12"/>
    <w:rsid w:val="16DD0436"/>
    <w:rsid w:val="16DE8926"/>
    <w:rsid w:val="16DF94EB"/>
    <w:rsid w:val="16E69480"/>
    <w:rsid w:val="16E9FAB9"/>
    <w:rsid w:val="16EE73DF"/>
    <w:rsid w:val="1702FCE4"/>
    <w:rsid w:val="1705D615"/>
    <w:rsid w:val="1712E43B"/>
    <w:rsid w:val="17185485"/>
    <w:rsid w:val="171C64E2"/>
    <w:rsid w:val="171DB31C"/>
    <w:rsid w:val="17217070"/>
    <w:rsid w:val="1722A440"/>
    <w:rsid w:val="1722D572"/>
    <w:rsid w:val="1724CC84"/>
    <w:rsid w:val="172775FF"/>
    <w:rsid w:val="17293E03"/>
    <w:rsid w:val="17297632"/>
    <w:rsid w:val="172B3A40"/>
    <w:rsid w:val="172FA124"/>
    <w:rsid w:val="1732FA8D"/>
    <w:rsid w:val="173689CE"/>
    <w:rsid w:val="174404CC"/>
    <w:rsid w:val="174CED45"/>
    <w:rsid w:val="174DE24C"/>
    <w:rsid w:val="1755292C"/>
    <w:rsid w:val="1755FFEC"/>
    <w:rsid w:val="1756F9E1"/>
    <w:rsid w:val="1757DFC4"/>
    <w:rsid w:val="17613902"/>
    <w:rsid w:val="17628876"/>
    <w:rsid w:val="17641C8C"/>
    <w:rsid w:val="17653098"/>
    <w:rsid w:val="1766F1A0"/>
    <w:rsid w:val="176777F2"/>
    <w:rsid w:val="176A5F9A"/>
    <w:rsid w:val="17765B65"/>
    <w:rsid w:val="1777F4AB"/>
    <w:rsid w:val="177804BC"/>
    <w:rsid w:val="177ACCD5"/>
    <w:rsid w:val="177B5760"/>
    <w:rsid w:val="1781C9A0"/>
    <w:rsid w:val="1782CE08"/>
    <w:rsid w:val="178C9278"/>
    <w:rsid w:val="178DCF0A"/>
    <w:rsid w:val="178DEA2F"/>
    <w:rsid w:val="178EEDEE"/>
    <w:rsid w:val="1792C868"/>
    <w:rsid w:val="179E0144"/>
    <w:rsid w:val="17A42250"/>
    <w:rsid w:val="17A4262F"/>
    <w:rsid w:val="17AA222A"/>
    <w:rsid w:val="17AB12CB"/>
    <w:rsid w:val="17B67BD0"/>
    <w:rsid w:val="17B9CF5F"/>
    <w:rsid w:val="17BCC43D"/>
    <w:rsid w:val="17C240F1"/>
    <w:rsid w:val="17C2A794"/>
    <w:rsid w:val="17C799BE"/>
    <w:rsid w:val="17C877A1"/>
    <w:rsid w:val="17C997FD"/>
    <w:rsid w:val="17D31EC0"/>
    <w:rsid w:val="17D38F17"/>
    <w:rsid w:val="17D3B372"/>
    <w:rsid w:val="17D622A7"/>
    <w:rsid w:val="17D8001C"/>
    <w:rsid w:val="17DCF80B"/>
    <w:rsid w:val="17E0F8EC"/>
    <w:rsid w:val="17F0C281"/>
    <w:rsid w:val="180A3AED"/>
    <w:rsid w:val="180E6155"/>
    <w:rsid w:val="1816DB64"/>
    <w:rsid w:val="181EE54E"/>
    <w:rsid w:val="18289577"/>
    <w:rsid w:val="182B17FC"/>
    <w:rsid w:val="1837508A"/>
    <w:rsid w:val="183E93D7"/>
    <w:rsid w:val="183F30F2"/>
    <w:rsid w:val="183F43F4"/>
    <w:rsid w:val="1841FDE2"/>
    <w:rsid w:val="18485774"/>
    <w:rsid w:val="1848FB02"/>
    <w:rsid w:val="184F85E5"/>
    <w:rsid w:val="1858A723"/>
    <w:rsid w:val="1859B2D5"/>
    <w:rsid w:val="18605E3C"/>
    <w:rsid w:val="1865A2CF"/>
    <w:rsid w:val="1867BDD6"/>
    <w:rsid w:val="186E1A11"/>
    <w:rsid w:val="18704B1E"/>
    <w:rsid w:val="187217CD"/>
    <w:rsid w:val="18761BFA"/>
    <w:rsid w:val="1877966C"/>
    <w:rsid w:val="1877AF54"/>
    <w:rsid w:val="18787DA4"/>
    <w:rsid w:val="187A5C9C"/>
    <w:rsid w:val="1886E596"/>
    <w:rsid w:val="188A3A8C"/>
    <w:rsid w:val="188B56AA"/>
    <w:rsid w:val="188BDD52"/>
    <w:rsid w:val="1891333D"/>
    <w:rsid w:val="1893D3A8"/>
    <w:rsid w:val="18951B50"/>
    <w:rsid w:val="18961642"/>
    <w:rsid w:val="189CF8F9"/>
    <w:rsid w:val="18A86223"/>
    <w:rsid w:val="18A91A16"/>
    <w:rsid w:val="18AF7F70"/>
    <w:rsid w:val="18B67B04"/>
    <w:rsid w:val="18BF6E20"/>
    <w:rsid w:val="18C533FE"/>
    <w:rsid w:val="18D0CE83"/>
    <w:rsid w:val="18D237DC"/>
    <w:rsid w:val="18D3A1C6"/>
    <w:rsid w:val="18D40CEE"/>
    <w:rsid w:val="18D73172"/>
    <w:rsid w:val="18D87336"/>
    <w:rsid w:val="18E21682"/>
    <w:rsid w:val="18ED339A"/>
    <w:rsid w:val="18EDF827"/>
    <w:rsid w:val="18EDFAF4"/>
    <w:rsid w:val="18EE7252"/>
    <w:rsid w:val="18F43FD4"/>
    <w:rsid w:val="18F7FF07"/>
    <w:rsid w:val="18FB2E28"/>
    <w:rsid w:val="18FFE11B"/>
    <w:rsid w:val="1909766A"/>
    <w:rsid w:val="190F4B18"/>
    <w:rsid w:val="19165793"/>
    <w:rsid w:val="191CE1FE"/>
    <w:rsid w:val="1922B06A"/>
    <w:rsid w:val="19231A77"/>
    <w:rsid w:val="192A3B9A"/>
    <w:rsid w:val="192FB6E0"/>
    <w:rsid w:val="193472A0"/>
    <w:rsid w:val="1937D181"/>
    <w:rsid w:val="1939AA16"/>
    <w:rsid w:val="193FA73D"/>
    <w:rsid w:val="1944D56B"/>
    <w:rsid w:val="194F63D4"/>
    <w:rsid w:val="19501DB0"/>
    <w:rsid w:val="195359B6"/>
    <w:rsid w:val="1956E818"/>
    <w:rsid w:val="195BF33D"/>
    <w:rsid w:val="1960F6A9"/>
    <w:rsid w:val="19618FA0"/>
    <w:rsid w:val="1961FE48"/>
    <w:rsid w:val="196502EB"/>
    <w:rsid w:val="196BFADE"/>
    <w:rsid w:val="1971BED8"/>
    <w:rsid w:val="1979C192"/>
    <w:rsid w:val="197B3522"/>
    <w:rsid w:val="19868604"/>
    <w:rsid w:val="198C9D47"/>
    <w:rsid w:val="198CD058"/>
    <w:rsid w:val="198F3518"/>
    <w:rsid w:val="199B2F36"/>
    <w:rsid w:val="19AB0506"/>
    <w:rsid w:val="19B61233"/>
    <w:rsid w:val="19B6BCB9"/>
    <w:rsid w:val="19BBBCC7"/>
    <w:rsid w:val="19BC0805"/>
    <w:rsid w:val="19BCFAD1"/>
    <w:rsid w:val="19BD4600"/>
    <w:rsid w:val="19BEE223"/>
    <w:rsid w:val="19C1AC46"/>
    <w:rsid w:val="19C359B8"/>
    <w:rsid w:val="19D4D5F3"/>
    <w:rsid w:val="19D6FEDE"/>
    <w:rsid w:val="19D75193"/>
    <w:rsid w:val="19D7BE12"/>
    <w:rsid w:val="19D9A21F"/>
    <w:rsid w:val="19DED2D0"/>
    <w:rsid w:val="19DFF042"/>
    <w:rsid w:val="19E4DFF2"/>
    <w:rsid w:val="19EC8727"/>
    <w:rsid w:val="19F16220"/>
    <w:rsid w:val="19F53BBA"/>
    <w:rsid w:val="19FC7672"/>
    <w:rsid w:val="19FEA5F9"/>
    <w:rsid w:val="19FF3949"/>
    <w:rsid w:val="1A007853"/>
    <w:rsid w:val="1A08E4FF"/>
    <w:rsid w:val="1A0BF868"/>
    <w:rsid w:val="1A121457"/>
    <w:rsid w:val="1A18FC75"/>
    <w:rsid w:val="1A1C6510"/>
    <w:rsid w:val="1A203432"/>
    <w:rsid w:val="1A21F693"/>
    <w:rsid w:val="1A22C1AE"/>
    <w:rsid w:val="1A241D4E"/>
    <w:rsid w:val="1A250894"/>
    <w:rsid w:val="1A2BBB37"/>
    <w:rsid w:val="1A2BF3F4"/>
    <w:rsid w:val="1A2CC083"/>
    <w:rsid w:val="1A3562AC"/>
    <w:rsid w:val="1A3A159A"/>
    <w:rsid w:val="1A3EC1F2"/>
    <w:rsid w:val="1A52E10E"/>
    <w:rsid w:val="1A53E3CC"/>
    <w:rsid w:val="1A5625A1"/>
    <w:rsid w:val="1A5FF604"/>
    <w:rsid w:val="1A6294D9"/>
    <w:rsid w:val="1A62E46F"/>
    <w:rsid w:val="1A6A769E"/>
    <w:rsid w:val="1A6F1CE3"/>
    <w:rsid w:val="1A718FDC"/>
    <w:rsid w:val="1A729629"/>
    <w:rsid w:val="1A77194F"/>
    <w:rsid w:val="1A796049"/>
    <w:rsid w:val="1A7BF12F"/>
    <w:rsid w:val="1A8127ED"/>
    <w:rsid w:val="1A819B5B"/>
    <w:rsid w:val="1A827652"/>
    <w:rsid w:val="1A82C8D5"/>
    <w:rsid w:val="1A87399A"/>
    <w:rsid w:val="1A8C631B"/>
    <w:rsid w:val="1A8E8F69"/>
    <w:rsid w:val="1A92FE1C"/>
    <w:rsid w:val="1A931D61"/>
    <w:rsid w:val="1A9B94DD"/>
    <w:rsid w:val="1A9C3D18"/>
    <w:rsid w:val="1A9D3BFA"/>
    <w:rsid w:val="1AA329B3"/>
    <w:rsid w:val="1AA4DC06"/>
    <w:rsid w:val="1AA9C066"/>
    <w:rsid w:val="1AAAD466"/>
    <w:rsid w:val="1AADD649"/>
    <w:rsid w:val="1AAFDE00"/>
    <w:rsid w:val="1AB06F1D"/>
    <w:rsid w:val="1AB0BAB8"/>
    <w:rsid w:val="1ABC130D"/>
    <w:rsid w:val="1AC6AE32"/>
    <w:rsid w:val="1ACADE48"/>
    <w:rsid w:val="1ACC3F9D"/>
    <w:rsid w:val="1AD14FAB"/>
    <w:rsid w:val="1AD22462"/>
    <w:rsid w:val="1AD2780D"/>
    <w:rsid w:val="1AD4B275"/>
    <w:rsid w:val="1AD865BD"/>
    <w:rsid w:val="1ADA2D13"/>
    <w:rsid w:val="1ADDB271"/>
    <w:rsid w:val="1AE72B5A"/>
    <w:rsid w:val="1AE76F98"/>
    <w:rsid w:val="1AF29AEC"/>
    <w:rsid w:val="1AF311FA"/>
    <w:rsid w:val="1AF472FD"/>
    <w:rsid w:val="1AFBA16A"/>
    <w:rsid w:val="1B0388E8"/>
    <w:rsid w:val="1B087E82"/>
    <w:rsid w:val="1B0CF26E"/>
    <w:rsid w:val="1B1501BB"/>
    <w:rsid w:val="1B199056"/>
    <w:rsid w:val="1B1A522F"/>
    <w:rsid w:val="1B1B9CDE"/>
    <w:rsid w:val="1B1CD199"/>
    <w:rsid w:val="1B254EA0"/>
    <w:rsid w:val="1B257ADF"/>
    <w:rsid w:val="1B2ACF09"/>
    <w:rsid w:val="1B33FBD0"/>
    <w:rsid w:val="1B354D17"/>
    <w:rsid w:val="1B39B485"/>
    <w:rsid w:val="1B41A7B9"/>
    <w:rsid w:val="1B44C888"/>
    <w:rsid w:val="1B4855BA"/>
    <w:rsid w:val="1B4A0A9D"/>
    <w:rsid w:val="1B4E0FA5"/>
    <w:rsid w:val="1B526DEC"/>
    <w:rsid w:val="1B5395FD"/>
    <w:rsid w:val="1B5CD992"/>
    <w:rsid w:val="1B5D7B4F"/>
    <w:rsid w:val="1B607557"/>
    <w:rsid w:val="1B695A90"/>
    <w:rsid w:val="1B745BCC"/>
    <w:rsid w:val="1B7A738B"/>
    <w:rsid w:val="1B7DE334"/>
    <w:rsid w:val="1B8211FC"/>
    <w:rsid w:val="1B830E21"/>
    <w:rsid w:val="1B8A5BA6"/>
    <w:rsid w:val="1B8DDFB6"/>
    <w:rsid w:val="1B941BF8"/>
    <w:rsid w:val="1B9894A9"/>
    <w:rsid w:val="1BA56A10"/>
    <w:rsid w:val="1BA57AFC"/>
    <w:rsid w:val="1BA6879A"/>
    <w:rsid w:val="1BA7F07C"/>
    <w:rsid w:val="1BA82678"/>
    <w:rsid w:val="1BA993B6"/>
    <w:rsid w:val="1BAE976F"/>
    <w:rsid w:val="1BAF1D44"/>
    <w:rsid w:val="1BB1F694"/>
    <w:rsid w:val="1BB99F3F"/>
    <w:rsid w:val="1BBB00BD"/>
    <w:rsid w:val="1BBB05B1"/>
    <w:rsid w:val="1BBBA9FD"/>
    <w:rsid w:val="1BC31039"/>
    <w:rsid w:val="1BC73493"/>
    <w:rsid w:val="1BC891AD"/>
    <w:rsid w:val="1BC954A9"/>
    <w:rsid w:val="1BC99065"/>
    <w:rsid w:val="1BC99503"/>
    <w:rsid w:val="1BE55476"/>
    <w:rsid w:val="1BE5EBB6"/>
    <w:rsid w:val="1BE7C21A"/>
    <w:rsid w:val="1BE866AE"/>
    <w:rsid w:val="1BE9CC73"/>
    <w:rsid w:val="1BF1B36F"/>
    <w:rsid w:val="1BF47860"/>
    <w:rsid w:val="1BF9CAFD"/>
    <w:rsid w:val="1C027EC6"/>
    <w:rsid w:val="1C037A73"/>
    <w:rsid w:val="1C086835"/>
    <w:rsid w:val="1C0BA263"/>
    <w:rsid w:val="1C1F191B"/>
    <w:rsid w:val="1C2064AD"/>
    <w:rsid w:val="1C257F1F"/>
    <w:rsid w:val="1C292469"/>
    <w:rsid w:val="1C29F896"/>
    <w:rsid w:val="1C2A0E6D"/>
    <w:rsid w:val="1C2B0AE7"/>
    <w:rsid w:val="1C30B2C4"/>
    <w:rsid w:val="1C4F831B"/>
    <w:rsid w:val="1C5203A2"/>
    <w:rsid w:val="1C59106E"/>
    <w:rsid w:val="1C59D89D"/>
    <w:rsid w:val="1C5C4C6D"/>
    <w:rsid w:val="1C5E09DE"/>
    <w:rsid w:val="1C5FC73F"/>
    <w:rsid w:val="1C617C54"/>
    <w:rsid w:val="1C6675FA"/>
    <w:rsid w:val="1C67593D"/>
    <w:rsid w:val="1C6D443B"/>
    <w:rsid w:val="1C6D4D9A"/>
    <w:rsid w:val="1C6EAA11"/>
    <w:rsid w:val="1C71A1F4"/>
    <w:rsid w:val="1C754954"/>
    <w:rsid w:val="1C7BB003"/>
    <w:rsid w:val="1C7C670E"/>
    <w:rsid w:val="1C7DEB35"/>
    <w:rsid w:val="1C7E1349"/>
    <w:rsid w:val="1C82BF5F"/>
    <w:rsid w:val="1C8CF2FE"/>
    <w:rsid w:val="1C9531C4"/>
    <w:rsid w:val="1C987A9B"/>
    <w:rsid w:val="1C9AEF8D"/>
    <w:rsid w:val="1C9CAF9C"/>
    <w:rsid w:val="1CA76080"/>
    <w:rsid w:val="1CA8B9E0"/>
    <w:rsid w:val="1CAD67B7"/>
    <w:rsid w:val="1CB24BD0"/>
    <w:rsid w:val="1CB60B2A"/>
    <w:rsid w:val="1CB7248B"/>
    <w:rsid w:val="1CBFEF41"/>
    <w:rsid w:val="1CC0F3E4"/>
    <w:rsid w:val="1CC1FB18"/>
    <w:rsid w:val="1CC4F7D4"/>
    <w:rsid w:val="1CC9CE0E"/>
    <w:rsid w:val="1CCD6334"/>
    <w:rsid w:val="1CCEC256"/>
    <w:rsid w:val="1CD4E336"/>
    <w:rsid w:val="1CDE084A"/>
    <w:rsid w:val="1CDF4289"/>
    <w:rsid w:val="1CEDD294"/>
    <w:rsid w:val="1CF48923"/>
    <w:rsid w:val="1CF54028"/>
    <w:rsid w:val="1CFB8AF1"/>
    <w:rsid w:val="1CFD9DF3"/>
    <w:rsid w:val="1D054467"/>
    <w:rsid w:val="1D06508A"/>
    <w:rsid w:val="1D0B217C"/>
    <w:rsid w:val="1D122EA5"/>
    <w:rsid w:val="1D1F10CA"/>
    <w:rsid w:val="1D1F6A1B"/>
    <w:rsid w:val="1D1FB57E"/>
    <w:rsid w:val="1D2B00DC"/>
    <w:rsid w:val="1D2D3394"/>
    <w:rsid w:val="1D2EFD6F"/>
    <w:rsid w:val="1D31876F"/>
    <w:rsid w:val="1D3FB8B0"/>
    <w:rsid w:val="1D409A2A"/>
    <w:rsid w:val="1D42CDF2"/>
    <w:rsid w:val="1D45C2CA"/>
    <w:rsid w:val="1D4A3F71"/>
    <w:rsid w:val="1D4CA8C2"/>
    <w:rsid w:val="1D522BBB"/>
    <w:rsid w:val="1D52ED99"/>
    <w:rsid w:val="1D5335C5"/>
    <w:rsid w:val="1D566FA4"/>
    <w:rsid w:val="1D5A145A"/>
    <w:rsid w:val="1D5CEE21"/>
    <w:rsid w:val="1D6DA374"/>
    <w:rsid w:val="1D6E403E"/>
    <w:rsid w:val="1D707AAA"/>
    <w:rsid w:val="1D70BD93"/>
    <w:rsid w:val="1D758737"/>
    <w:rsid w:val="1D75E7CA"/>
    <w:rsid w:val="1D763171"/>
    <w:rsid w:val="1D76FE08"/>
    <w:rsid w:val="1D777FAD"/>
    <w:rsid w:val="1D821BDA"/>
    <w:rsid w:val="1D89008E"/>
    <w:rsid w:val="1D936E90"/>
    <w:rsid w:val="1D98395F"/>
    <w:rsid w:val="1D9969C9"/>
    <w:rsid w:val="1DA2DE66"/>
    <w:rsid w:val="1DA37301"/>
    <w:rsid w:val="1DA6D224"/>
    <w:rsid w:val="1DA847B0"/>
    <w:rsid w:val="1DB1F936"/>
    <w:rsid w:val="1DB3815F"/>
    <w:rsid w:val="1DB7B245"/>
    <w:rsid w:val="1DBE04E5"/>
    <w:rsid w:val="1DC3DEAA"/>
    <w:rsid w:val="1DC4D72E"/>
    <w:rsid w:val="1DC81B59"/>
    <w:rsid w:val="1DC946B2"/>
    <w:rsid w:val="1DCF4258"/>
    <w:rsid w:val="1DD76327"/>
    <w:rsid w:val="1DE27EB4"/>
    <w:rsid w:val="1DE2C927"/>
    <w:rsid w:val="1DE3BD08"/>
    <w:rsid w:val="1DE4D39A"/>
    <w:rsid w:val="1DE7D9B2"/>
    <w:rsid w:val="1DEA3A7B"/>
    <w:rsid w:val="1DF24424"/>
    <w:rsid w:val="1E077958"/>
    <w:rsid w:val="1E08D8B7"/>
    <w:rsid w:val="1E09C2A2"/>
    <w:rsid w:val="1E0FADE6"/>
    <w:rsid w:val="1E11C46E"/>
    <w:rsid w:val="1E153CA7"/>
    <w:rsid w:val="1E17F7FE"/>
    <w:rsid w:val="1E188A47"/>
    <w:rsid w:val="1E1A3BBB"/>
    <w:rsid w:val="1E225E76"/>
    <w:rsid w:val="1E246740"/>
    <w:rsid w:val="1E257328"/>
    <w:rsid w:val="1E257584"/>
    <w:rsid w:val="1E2694AF"/>
    <w:rsid w:val="1E2D6C1E"/>
    <w:rsid w:val="1E2F6B92"/>
    <w:rsid w:val="1E2FA1FB"/>
    <w:rsid w:val="1E37ED34"/>
    <w:rsid w:val="1E38D6A1"/>
    <w:rsid w:val="1E3B3859"/>
    <w:rsid w:val="1E3BDC6B"/>
    <w:rsid w:val="1E3C56C1"/>
    <w:rsid w:val="1E3F3658"/>
    <w:rsid w:val="1E41209A"/>
    <w:rsid w:val="1E41D2E1"/>
    <w:rsid w:val="1E4436FE"/>
    <w:rsid w:val="1E44EBD8"/>
    <w:rsid w:val="1E4C066C"/>
    <w:rsid w:val="1E4D4FDC"/>
    <w:rsid w:val="1E4DE0B5"/>
    <w:rsid w:val="1E4EC39E"/>
    <w:rsid w:val="1E54B52E"/>
    <w:rsid w:val="1E56F892"/>
    <w:rsid w:val="1E626DB9"/>
    <w:rsid w:val="1E636FF6"/>
    <w:rsid w:val="1E6DE6E4"/>
    <w:rsid w:val="1E6E1B14"/>
    <w:rsid w:val="1E73E070"/>
    <w:rsid w:val="1E79FFE7"/>
    <w:rsid w:val="1E8B0CFF"/>
    <w:rsid w:val="1E8C5A2B"/>
    <w:rsid w:val="1E9063B8"/>
    <w:rsid w:val="1E95D826"/>
    <w:rsid w:val="1E9BCB57"/>
    <w:rsid w:val="1EA5F8A4"/>
    <w:rsid w:val="1EA6C632"/>
    <w:rsid w:val="1EAC4E86"/>
    <w:rsid w:val="1EAEE9CA"/>
    <w:rsid w:val="1EB26D1C"/>
    <w:rsid w:val="1EB7A848"/>
    <w:rsid w:val="1EBA0B62"/>
    <w:rsid w:val="1EC047AB"/>
    <w:rsid w:val="1EC216F8"/>
    <w:rsid w:val="1ECBCBA6"/>
    <w:rsid w:val="1ECFACF4"/>
    <w:rsid w:val="1ED1E272"/>
    <w:rsid w:val="1EDB09FC"/>
    <w:rsid w:val="1EDB4C05"/>
    <w:rsid w:val="1EDCE6D8"/>
    <w:rsid w:val="1EDEF5B3"/>
    <w:rsid w:val="1EE18B58"/>
    <w:rsid w:val="1EF21C61"/>
    <w:rsid w:val="1EF2E9FB"/>
    <w:rsid w:val="1EF6B034"/>
    <w:rsid w:val="1EFB6AF7"/>
    <w:rsid w:val="1EFE5A9D"/>
    <w:rsid w:val="1F033039"/>
    <w:rsid w:val="1F04B2DF"/>
    <w:rsid w:val="1F055026"/>
    <w:rsid w:val="1F0894FE"/>
    <w:rsid w:val="1F0D1EDF"/>
    <w:rsid w:val="1F0DC12D"/>
    <w:rsid w:val="1F0F7F29"/>
    <w:rsid w:val="1F1E8FFE"/>
    <w:rsid w:val="1F2A0060"/>
    <w:rsid w:val="1F3499A5"/>
    <w:rsid w:val="1F3B2A75"/>
    <w:rsid w:val="1F3E980A"/>
    <w:rsid w:val="1F3F687E"/>
    <w:rsid w:val="1F406713"/>
    <w:rsid w:val="1F445088"/>
    <w:rsid w:val="1F44D107"/>
    <w:rsid w:val="1F4727FD"/>
    <w:rsid w:val="1F4D17AB"/>
    <w:rsid w:val="1F4E28EB"/>
    <w:rsid w:val="1F4F3117"/>
    <w:rsid w:val="1F4FDC32"/>
    <w:rsid w:val="1F504EEB"/>
    <w:rsid w:val="1F54191E"/>
    <w:rsid w:val="1F57C598"/>
    <w:rsid w:val="1F5ABB3B"/>
    <w:rsid w:val="1F62C98B"/>
    <w:rsid w:val="1F6C5663"/>
    <w:rsid w:val="1F713E8C"/>
    <w:rsid w:val="1F722A72"/>
    <w:rsid w:val="1F74D250"/>
    <w:rsid w:val="1F764827"/>
    <w:rsid w:val="1F799DBA"/>
    <w:rsid w:val="1F7A06AD"/>
    <w:rsid w:val="1F7BAB13"/>
    <w:rsid w:val="1F7C2B8B"/>
    <w:rsid w:val="1F8585F9"/>
    <w:rsid w:val="1F858D08"/>
    <w:rsid w:val="1F85D094"/>
    <w:rsid w:val="1F886394"/>
    <w:rsid w:val="1F8C5711"/>
    <w:rsid w:val="1F91BE12"/>
    <w:rsid w:val="1F96D2BB"/>
    <w:rsid w:val="1F96E314"/>
    <w:rsid w:val="1FA5F075"/>
    <w:rsid w:val="1FA64C19"/>
    <w:rsid w:val="1FABC26D"/>
    <w:rsid w:val="1FACC9CE"/>
    <w:rsid w:val="1FAD1B97"/>
    <w:rsid w:val="1FC0BA71"/>
    <w:rsid w:val="1FC44069"/>
    <w:rsid w:val="1FCA70D3"/>
    <w:rsid w:val="1FD2625F"/>
    <w:rsid w:val="1FD9DABA"/>
    <w:rsid w:val="1FDBEDBC"/>
    <w:rsid w:val="1FDEB2EC"/>
    <w:rsid w:val="1FE8D92F"/>
    <w:rsid w:val="1FEAFEC7"/>
    <w:rsid w:val="1FEB2434"/>
    <w:rsid w:val="1FEEBF84"/>
    <w:rsid w:val="1FF4F022"/>
    <w:rsid w:val="2001B4F3"/>
    <w:rsid w:val="2003D9EB"/>
    <w:rsid w:val="20040093"/>
    <w:rsid w:val="2005C5AC"/>
    <w:rsid w:val="20069DF2"/>
    <w:rsid w:val="200B733D"/>
    <w:rsid w:val="200D8EE2"/>
    <w:rsid w:val="200DE8F7"/>
    <w:rsid w:val="2015620D"/>
    <w:rsid w:val="2018CA64"/>
    <w:rsid w:val="201C5A38"/>
    <w:rsid w:val="2024D4AE"/>
    <w:rsid w:val="202736F7"/>
    <w:rsid w:val="2028928E"/>
    <w:rsid w:val="2037D950"/>
    <w:rsid w:val="203B433F"/>
    <w:rsid w:val="2040544F"/>
    <w:rsid w:val="2041EB2E"/>
    <w:rsid w:val="2046F2CC"/>
    <w:rsid w:val="204D679F"/>
    <w:rsid w:val="20537E16"/>
    <w:rsid w:val="205500AC"/>
    <w:rsid w:val="205D310E"/>
    <w:rsid w:val="205F83F5"/>
    <w:rsid w:val="2060ECEB"/>
    <w:rsid w:val="20657776"/>
    <w:rsid w:val="206BF3CE"/>
    <w:rsid w:val="206EF7C0"/>
    <w:rsid w:val="2073490F"/>
    <w:rsid w:val="207A076D"/>
    <w:rsid w:val="2081C8D9"/>
    <w:rsid w:val="208801B5"/>
    <w:rsid w:val="2088A541"/>
    <w:rsid w:val="208A7263"/>
    <w:rsid w:val="208C403D"/>
    <w:rsid w:val="208D3473"/>
    <w:rsid w:val="20906364"/>
    <w:rsid w:val="20AA747D"/>
    <w:rsid w:val="20AB40EC"/>
    <w:rsid w:val="20B5429A"/>
    <w:rsid w:val="20BCECAE"/>
    <w:rsid w:val="20C5585A"/>
    <w:rsid w:val="20CD13B8"/>
    <w:rsid w:val="20CE5511"/>
    <w:rsid w:val="20D0A9C1"/>
    <w:rsid w:val="20D336AF"/>
    <w:rsid w:val="20DDE498"/>
    <w:rsid w:val="20DE128F"/>
    <w:rsid w:val="20DE4C99"/>
    <w:rsid w:val="20DFE6E3"/>
    <w:rsid w:val="20E2CE2F"/>
    <w:rsid w:val="20E67348"/>
    <w:rsid w:val="20E72BE0"/>
    <w:rsid w:val="20EB161B"/>
    <w:rsid w:val="20EDC461"/>
    <w:rsid w:val="20EDCC46"/>
    <w:rsid w:val="20F6D4AB"/>
    <w:rsid w:val="20FC91F1"/>
    <w:rsid w:val="20FFE072"/>
    <w:rsid w:val="21016A06"/>
    <w:rsid w:val="210329D9"/>
    <w:rsid w:val="21098576"/>
    <w:rsid w:val="2109D655"/>
    <w:rsid w:val="210A7425"/>
    <w:rsid w:val="210BFA98"/>
    <w:rsid w:val="21105C1D"/>
    <w:rsid w:val="21143BAC"/>
    <w:rsid w:val="21160BE8"/>
    <w:rsid w:val="21164347"/>
    <w:rsid w:val="2122A585"/>
    <w:rsid w:val="21268702"/>
    <w:rsid w:val="21277D65"/>
    <w:rsid w:val="212B6756"/>
    <w:rsid w:val="212EAD6F"/>
    <w:rsid w:val="2131C884"/>
    <w:rsid w:val="21343802"/>
    <w:rsid w:val="2134BF2B"/>
    <w:rsid w:val="213525B5"/>
    <w:rsid w:val="21353F6E"/>
    <w:rsid w:val="21369FB0"/>
    <w:rsid w:val="213B8DAF"/>
    <w:rsid w:val="213C8175"/>
    <w:rsid w:val="213D2EEC"/>
    <w:rsid w:val="21452797"/>
    <w:rsid w:val="214589D2"/>
    <w:rsid w:val="2145C4B5"/>
    <w:rsid w:val="214DAB28"/>
    <w:rsid w:val="215290A4"/>
    <w:rsid w:val="21533B08"/>
    <w:rsid w:val="2157593B"/>
    <w:rsid w:val="215A5B59"/>
    <w:rsid w:val="215BF034"/>
    <w:rsid w:val="21676527"/>
    <w:rsid w:val="216B9929"/>
    <w:rsid w:val="216D3DE4"/>
    <w:rsid w:val="216FD1C2"/>
    <w:rsid w:val="217168CA"/>
    <w:rsid w:val="2172264E"/>
    <w:rsid w:val="21786747"/>
    <w:rsid w:val="217F66AD"/>
    <w:rsid w:val="2182075B"/>
    <w:rsid w:val="21862FF8"/>
    <w:rsid w:val="21877049"/>
    <w:rsid w:val="218FED0F"/>
    <w:rsid w:val="2191FDB4"/>
    <w:rsid w:val="2197F01A"/>
    <w:rsid w:val="219E9F38"/>
    <w:rsid w:val="21A18E93"/>
    <w:rsid w:val="21A3D44E"/>
    <w:rsid w:val="21A91757"/>
    <w:rsid w:val="21ABA490"/>
    <w:rsid w:val="21ADB130"/>
    <w:rsid w:val="21B493F8"/>
    <w:rsid w:val="21B8D472"/>
    <w:rsid w:val="21B92ABB"/>
    <w:rsid w:val="21C34F4E"/>
    <w:rsid w:val="21C3944F"/>
    <w:rsid w:val="21D0F468"/>
    <w:rsid w:val="21D631DA"/>
    <w:rsid w:val="21DAF96C"/>
    <w:rsid w:val="21DDDCD4"/>
    <w:rsid w:val="21EB3B3C"/>
    <w:rsid w:val="21EC0502"/>
    <w:rsid w:val="21F77426"/>
    <w:rsid w:val="21F8FF92"/>
    <w:rsid w:val="21FA705D"/>
    <w:rsid w:val="21FCA776"/>
    <w:rsid w:val="21FF1E74"/>
    <w:rsid w:val="22070008"/>
    <w:rsid w:val="22080B86"/>
    <w:rsid w:val="22096544"/>
    <w:rsid w:val="22102DF2"/>
    <w:rsid w:val="22151968"/>
    <w:rsid w:val="221C97B6"/>
    <w:rsid w:val="221D6C89"/>
    <w:rsid w:val="2220F7BF"/>
    <w:rsid w:val="2222B009"/>
    <w:rsid w:val="22294F40"/>
    <w:rsid w:val="222B3735"/>
    <w:rsid w:val="222B7ED1"/>
    <w:rsid w:val="2230C125"/>
    <w:rsid w:val="22310052"/>
    <w:rsid w:val="2234D153"/>
    <w:rsid w:val="223698E4"/>
    <w:rsid w:val="2239DCCC"/>
    <w:rsid w:val="223B70D5"/>
    <w:rsid w:val="223B9088"/>
    <w:rsid w:val="2244A9A0"/>
    <w:rsid w:val="2247591E"/>
    <w:rsid w:val="2247609F"/>
    <w:rsid w:val="224CA75A"/>
    <w:rsid w:val="2252DC38"/>
    <w:rsid w:val="22533154"/>
    <w:rsid w:val="22563501"/>
    <w:rsid w:val="225BCF34"/>
    <w:rsid w:val="225FDB97"/>
    <w:rsid w:val="2263163A"/>
    <w:rsid w:val="226380BF"/>
    <w:rsid w:val="2263DDF7"/>
    <w:rsid w:val="22646F81"/>
    <w:rsid w:val="226BC5D7"/>
    <w:rsid w:val="2274C97F"/>
    <w:rsid w:val="22769F6B"/>
    <w:rsid w:val="227BFACC"/>
    <w:rsid w:val="227EE93F"/>
    <w:rsid w:val="227F6F8A"/>
    <w:rsid w:val="22915024"/>
    <w:rsid w:val="2293CB13"/>
    <w:rsid w:val="229C28F4"/>
    <w:rsid w:val="22A1A40D"/>
    <w:rsid w:val="22A28132"/>
    <w:rsid w:val="22A66961"/>
    <w:rsid w:val="22A9E90F"/>
    <w:rsid w:val="22AA939B"/>
    <w:rsid w:val="22AC2E8E"/>
    <w:rsid w:val="22AC32F1"/>
    <w:rsid w:val="22B1C85E"/>
    <w:rsid w:val="22BBFD6B"/>
    <w:rsid w:val="22BCFC56"/>
    <w:rsid w:val="22C2E060"/>
    <w:rsid w:val="22C66C44"/>
    <w:rsid w:val="22C89097"/>
    <w:rsid w:val="22CE48A3"/>
    <w:rsid w:val="22D18FC5"/>
    <w:rsid w:val="22D70EBA"/>
    <w:rsid w:val="22DB2F8B"/>
    <w:rsid w:val="22DCB880"/>
    <w:rsid w:val="22E0C321"/>
    <w:rsid w:val="22E49EAD"/>
    <w:rsid w:val="22E7D3EF"/>
    <w:rsid w:val="22EC0C51"/>
    <w:rsid w:val="22EDEE92"/>
    <w:rsid w:val="22F2D138"/>
    <w:rsid w:val="22F5DC55"/>
    <w:rsid w:val="230635E6"/>
    <w:rsid w:val="230B530D"/>
    <w:rsid w:val="230FF392"/>
    <w:rsid w:val="2312EA4F"/>
    <w:rsid w:val="231D258E"/>
    <w:rsid w:val="231E4CF9"/>
    <w:rsid w:val="2322DF58"/>
    <w:rsid w:val="2324D9CD"/>
    <w:rsid w:val="23283C18"/>
    <w:rsid w:val="23295D8A"/>
    <w:rsid w:val="232B397C"/>
    <w:rsid w:val="232D1A37"/>
    <w:rsid w:val="23337C0A"/>
    <w:rsid w:val="23390961"/>
    <w:rsid w:val="233A91DB"/>
    <w:rsid w:val="234164AE"/>
    <w:rsid w:val="234233A7"/>
    <w:rsid w:val="234B4907"/>
    <w:rsid w:val="234CD0B5"/>
    <w:rsid w:val="234F92DD"/>
    <w:rsid w:val="235DAB9A"/>
    <w:rsid w:val="23617A70"/>
    <w:rsid w:val="236481F7"/>
    <w:rsid w:val="2368BED2"/>
    <w:rsid w:val="236A43A1"/>
    <w:rsid w:val="236D7D4B"/>
    <w:rsid w:val="2370B6AD"/>
    <w:rsid w:val="2377E7F1"/>
    <w:rsid w:val="23835BB4"/>
    <w:rsid w:val="2388892F"/>
    <w:rsid w:val="238F28C6"/>
    <w:rsid w:val="239195C7"/>
    <w:rsid w:val="2393B072"/>
    <w:rsid w:val="23A04FB2"/>
    <w:rsid w:val="23A238F5"/>
    <w:rsid w:val="23A45454"/>
    <w:rsid w:val="23A71A53"/>
    <w:rsid w:val="23A9B5BE"/>
    <w:rsid w:val="23AAB430"/>
    <w:rsid w:val="23B6207A"/>
    <w:rsid w:val="23B652F8"/>
    <w:rsid w:val="23C06892"/>
    <w:rsid w:val="23C86C31"/>
    <w:rsid w:val="23C8EB7B"/>
    <w:rsid w:val="23C9DA52"/>
    <w:rsid w:val="23CB69B6"/>
    <w:rsid w:val="23D06F66"/>
    <w:rsid w:val="23D0C129"/>
    <w:rsid w:val="23D669E9"/>
    <w:rsid w:val="23D711B9"/>
    <w:rsid w:val="23DDD96D"/>
    <w:rsid w:val="23DDE20D"/>
    <w:rsid w:val="23DDEC68"/>
    <w:rsid w:val="23E1291A"/>
    <w:rsid w:val="23E8A248"/>
    <w:rsid w:val="23E922F8"/>
    <w:rsid w:val="23E9A1A0"/>
    <w:rsid w:val="23EF1C9F"/>
    <w:rsid w:val="23F58944"/>
    <w:rsid w:val="23FE89EA"/>
    <w:rsid w:val="2408468C"/>
    <w:rsid w:val="2408C050"/>
    <w:rsid w:val="240ADB60"/>
    <w:rsid w:val="241BFAB8"/>
    <w:rsid w:val="241D1479"/>
    <w:rsid w:val="241FCD3B"/>
    <w:rsid w:val="24219179"/>
    <w:rsid w:val="24252618"/>
    <w:rsid w:val="24327C6E"/>
    <w:rsid w:val="24386E94"/>
    <w:rsid w:val="243BE077"/>
    <w:rsid w:val="243C632A"/>
    <w:rsid w:val="24403E45"/>
    <w:rsid w:val="244292DF"/>
    <w:rsid w:val="24487EF1"/>
    <w:rsid w:val="244B5A12"/>
    <w:rsid w:val="244D020E"/>
    <w:rsid w:val="245112CD"/>
    <w:rsid w:val="2454BE4C"/>
    <w:rsid w:val="2454FFE6"/>
    <w:rsid w:val="245E9196"/>
    <w:rsid w:val="24649047"/>
    <w:rsid w:val="2465573A"/>
    <w:rsid w:val="24675EC2"/>
    <w:rsid w:val="246825E6"/>
    <w:rsid w:val="2469982B"/>
    <w:rsid w:val="2473B74A"/>
    <w:rsid w:val="2478F4EE"/>
    <w:rsid w:val="2479CF87"/>
    <w:rsid w:val="24863545"/>
    <w:rsid w:val="24899237"/>
    <w:rsid w:val="248B0B68"/>
    <w:rsid w:val="248C46B3"/>
    <w:rsid w:val="2497545B"/>
    <w:rsid w:val="24A0210E"/>
    <w:rsid w:val="24A439A9"/>
    <w:rsid w:val="24A73216"/>
    <w:rsid w:val="24AC0F8E"/>
    <w:rsid w:val="24AE1732"/>
    <w:rsid w:val="24B33D0E"/>
    <w:rsid w:val="24BB6035"/>
    <w:rsid w:val="24BB6943"/>
    <w:rsid w:val="24BCCDDD"/>
    <w:rsid w:val="24BEA538"/>
    <w:rsid w:val="24C49918"/>
    <w:rsid w:val="24C81FA4"/>
    <w:rsid w:val="24D3B9C7"/>
    <w:rsid w:val="24D75519"/>
    <w:rsid w:val="24D77E2E"/>
    <w:rsid w:val="24D9A639"/>
    <w:rsid w:val="24E25892"/>
    <w:rsid w:val="24E97966"/>
    <w:rsid w:val="24F07062"/>
    <w:rsid w:val="24F77299"/>
    <w:rsid w:val="24F7FAF8"/>
    <w:rsid w:val="2503EF36"/>
    <w:rsid w:val="2507C22C"/>
    <w:rsid w:val="250C9210"/>
    <w:rsid w:val="250D8820"/>
    <w:rsid w:val="25168383"/>
    <w:rsid w:val="25187551"/>
    <w:rsid w:val="251A505A"/>
    <w:rsid w:val="251A5964"/>
    <w:rsid w:val="251C07F8"/>
    <w:rsid w:val="2520BDE6"/>
    <w:rsid w:val="25212F17"/>
    <w:rsid w:val="252B8096"/>
    <w:rsid w:val="252DAC21"/>
    <w:rsid w:val="252DCCB4"/>
    <w:rsid w:val="2532A94D"/>
    <w:rsid w:val="253B7457"/>
    <w:rsid w:val="253CE9E7"/>
    <w:rsid w:val="25426C3A"/>
    <w:rsid w:val="2543D67D"/>
    <w:rsid w:val="254465F7"/>
    <w:rsid w:val="254711AA"/>
    <w:rsid w:val="2549AE9C"/>
    <w:rsid w:val="2549EE3B"/>
    <w:rsid w:val="2552E298"/>
    <w:rsid w:val="25535250"/>
    <w:rsid w:val="255EDE00"/>
    <w:rsid w:val="255F0A69"/>
    <w:rsid w:val="25601484"/>
    <w:rsid w:val="2561B1C4"/>
    <w:rsid w:val="256698F5"/>
    <w:rsid w:val="256D5918"/>
    <w:rsid w:val="257DE497"/>
    <w:rsid w:val="2580F520"/>
    <w:rsid w:val="25859781"/>
    <w:rsid w:val="258ACE90"/>
    <w:rsid w:val="258C94BC"/>
    <w:rsid w:val="258E6B20"/>
    <w:rsid w:val="25919B62"/>
    <w:rsid w:val="25921C2B"/>
    <w:rsid w:val="25935988"/>
    <w:rsid w:val="2595C316"/>
    <w:rsid w:val="2596F216"/>
    <w:rsid w:val="25985A8C"/>
    <w:rsid w:val="259FEA0C"/>
    <w:rsid w:val="25A283BD"/>
    <w:rsid w:val="25A63100"/>
    <w:rsid w:val="25A69B8F"/>
    <w:rsid w:val="25A76BAC"/>
    <w:rsid w:val="25A9D330"/>
    <w:rsid w:val="25AE9C82"/>
    <w:rsid w:val="25B28BB9"/>
    <w:rsid w:val="25C0DE8A"/>
    <w:rsid w:val="25C2183D"/>
    <w:rsid w:val="25C31BD1"/>
    <w:rsid w:val="25C96738"/>
    <w:rsid w:val="25CA7529"/>
    <w:rsid w:val="25CC1E84"/>
    <w:rsid w:val="25D0CE22"/>
    <w:rsid w:val="25D3072F"/>
    <w:rsid w:val="25D61E6C"/>
    <w:rsid w:val="25DD6E4E"/>
    <w:rsid w:val="25DEE101"/>
    <w:rsid w:val="25EFF69B"/>
    <w:rsid w:val="25F0F558"/>
    <w:rsid w:val="25F35B3A"/>
    <w:rsid w:val="26015C4B"/>
    <w:rsid w:val="260ADD8B"/>
    <w:rsid w:val="2611CA48"/>
    <w:rsid w:val="26209284"/>
    <w:rsid w:val="26287512"/>
    <w:rsid w:val="26289B5A"/>
    <w:rsid w:val="262D49E1"/>
    <w:rsid w:val="262F7EEF"/>
    <w:rsid w:val="26349909"/>
    <w:rsid w:val="26382CE8"/>
    <w:rsid w:val="2640683D"/>
    <w:rsid w:val="26458F3B"/>
    <w:rsid w:val="2651FD05"/>
    <w:rsid w:val="265A620A"/>
    <w:rsid w:val="265ACD71"/>
    <w:rsid w:val="265CAE8C"/>
    <w:rsid w:val="26684BE2"/>
    <w:rsid w:val="266875F1"/>
    <w:rsid w:val="2668DFF1"/>
    <w:rsid w:val="2668F225"/>
    <w:rsid w:val="266E46B0"/>
    <w:rsid w:val="268D060F"/>
    <w:rsid w:val="268DA124"/>
    <w:rsid w:val="268DA80D"/>
    <w:rsid w:val="26901FFF"/>
    <w:rsid w:val="2694BDC3"/>
    <w:rsid w:val="269750ED"/>
    <w:rsid w:val="2697F194"/>
    <w:rsid w:val="269A1B51"/>
    <w:rsid w:val="269BC4D3"/>
    <w:rsid w:val="269C3337"/>
    <w:rsid w:val="26A34AB3"/>
    <w:rsid w:val="26A4D570"/>
    <w:rsid w:val="26AD510F"/>
    <w:rsid w:val="26B08E75"/>
    <w:rsid w:val="26B19574"/>
    <w:rsid w:val="26B74B14"/>
    <w:rsid w:val="26BD0079"/>
    <w:rsid w:val="26C2A870"/>
    <w:rsid w:val="26C8CE40"/>
    <w:rsid w:val="26CCBAE7"/>
    <w:rsid w:val="26D1863C"/>
    <w:rsid w:val="26DA336A"/>
    <w:rsid w:val="26DFA986"/>
    <w:rsid w:val="26E0D19F"/>
    <w:rsid w:val="26E2F8D8"/>
    <w:rsid w:val="26E3E694"/>
    <w:rsid w:val="26E3F86A"/>
    <w:rsid w:val="26F26239"/>
    <w:rsid w:val="26F5CC37"/>
    <w:rsid w:val="26F7B496"/>
    <w:rsid w:val="26FB73B2"/>
    <w:rsid w:val="2702333C"/>
    <w:rsid w:val="270AF5B2"/>
    <w:rsid w:val="270D783E"/>
    <w:rsid w:val="2713D41F"/>
    <w:rsid w:val="271AC103"/>
    <w:rsid w:val="271D8C10"/>
    <w:rsid w:val="271E92EC"/>
    <w:rsid w:val="2723D0EB"/>
    <w:rsid w:val="27270756"/>
    <w:rsid w:val="272769D6"/>
    <w:rsid w:val="272787F3"/>
    <w:rsid w:val="2727ADBB"/>
    <w:rsid w:val="272BA0C7"/>
    <w:rsid w:val="272F5CA5"/>
    <w:rsid w:val="272FDE0C"/>
    <w:rsid w:val="27336920"/>
    <w:rsid w:val="273717A0"/>
    <w:rsid w:val="27387911"/>
    <w:rsid w:val="273CD656"/>
    <w:rsid w:val="273F3069"/>
    <w:rsid w:val="273F3A69"/>
    <w:rsid w:val="27472FED"/>
    <w:rsid w:val="27509954"/>
    <w:rsid w:val="27539DAE"/>
    <w:rsid w:val="2758A942"/>
    <w:rsid w:val="2758F6AF"/>
    <w:rsid w:val="2759B6DC"/>
    <w:rsid w:val="275BCC96"/>
    <w:rsid w:val="275C28CD"/>
    <w:rsid w:val="275C9793"/>
    <w:rsid w:val="275ECB19"/>
    <w:rsid w:val="275EF329"/>
    <w:rsid w:val="2760378B"/>
    <w:rsid w:val="2761AF86"/>
    <w:rsid w:val="27692964"/>
    <w:rsid w:val="276ED2CA"/>
    <w:rsid w:val="27726027"/>
    <w:rsid w:val="27736EB8"/>
    <w:rsid w:val="2778BC3D"/>
    <w:rsid w:val="277FBCB4"/>
    <w:rsid w:val="278525D3"/>
    <w:rsid w:val="27892B94"/>
    <w:rsid w:val="2792E170"/>
    <w:rsid w:val="2795B8AA"/>
    <w:rsid w:val="2797D596"/>
    <w:rsid w:val="27A1BD98"/>
    <w:rsid w:val="27A7540A"/>
    <w:rsid w:val="27A8C69A"/>
    <w:rsid w:val="27AF7A33"/>
    <w:rsid w:val="27B1D3D1"/>
    <w:rsid w:val="27B29A3C"/>
    <w:rsid w:val="27B3EAD0"/>
    <w:rsid w:val="27B4A697"/>
    <w:rsid w:val="27B61DEB"/>
    <w:rsid w:val="27B7FCE5"/>
    <w:rsid w:val="27D010EA"/>
    <w:rsid w:val="27D03525"/>
    <w:rsid w:val="27D0C72C"/>
    <w:rsid w:val="27D4BAEB"/>
    <w:rsid w:val="27D57158"/>
    <w:rsid w:val="27D7B243"/>
    <w:rsid w:val="27D917C6"/>
    <w:rsid w:val="27DF0C77"/>
    <w:rsid w:val="27E49FDE"/>
    <w:rsid w:val="27E65287"/>
    <w:rsid w:val="27E98AA7"/>
    <w:rsid w:val="27EA3E3D"/>
    <w:rsid w:val="27F49FCD"/>
    <w:rsid w:val="27F5CB70"/>
    <w:rsid w:val="27FDDEDD"/>
    <w:rsid w:val="2807F5A0"/>
    <w:rsid w:val="280E13E5"/>
    <w:rsid w:val="28110914"/>
    <w:rsid w:val="28164713"/>
    <w:rsid w:val="28176CF7"/>
    <w:rsid w:val="2818B9BF"/>
    <w:rsid w:val="28216C45"/>
    <w:rsid w:val="28249E16"/>
    <w:rsid w:val="282E833B"/>
    <w:rsid w:val="282EFE1F"/>
    <w:rsid w:val="282F0ADF"/>
    <w:rsid w:val="2832C196"/>
    <w:rsid w:val="2841762C"/>
    <w:rsid w:val="2841E01E"/>
    <w:rsid w:val="284246CA"/>
    <w:rsid w:val="284514B3"/>
    <w:rsid w:val="2845C365"/>
    <w:rsid w:val="284AE9F2"/>
    <w:rsid w:val="28557CF3"/>
    <w:rsid w:val="28576EA0"/>
    <w:rsid w:val="285A4C24"/>
    <w:rsid w:val="285ADFB9"/>
    <w:rsid w:val="285E1711"/>
    <w:rsid w:val="28613B31"/>
    <w:rsid w:val="28678C81"/>
    <w:rsid w:val="2875BC58"/>
    <w:rsid w:val="28797AFF"/>
    <w:rsid w:val="287A28A1"/>
    <w:rsid w:val="287BC29A"/>
    <w:rsid w:val="287CFB26"/>
    <w:rsid w:val="287FFAF6"/>
    <w:rsid w:val="28800E1C"/>
    <w:rsid w:val="28809549"/>
    <w:rsid w:val="2882AE60"/>
    <w:rsid w:val="2882FFA7"/>
    <w:rsid w:val="2883E853"/>
    <w:rsid w:val="288598E2"/>
    <w:rsid w:val="288A1C09"/>
    <w:rsid w:val="28978402"/>
    <w:rsid w:val="28A17D40"/>
    <w:rsid w:val="28A879E2"/>
    <w:rsid w:val="28AB308A"/>
    <w:rsid w:val="28AB9051"/>
    <w:rsid w:val="28AC0BF7"/>
    <w:rsid w:val="28AD0295"/>
    <w:rsid w:val="28BD9042"/>
    <w:rsid w:val="28C11928"/>
    <w:rsid w:val="28C51A50"/>
    <w:rsid w:val="28CB32A7"/>
    <w:rsid w:val="28CE7795"/>
    <w:rsid w:val="28D62FB8"/>
    <w:rsid w:val="28D6BE0B"/>
    <w:rsid w:val="28D6C70C"/>
    <w:rsid w:val="28D8EDD0"/>
    <w:rsid w:val="28D9135A"/>
    <w:rsid w:val="28DA0D82"/>
    <w:rsid w:val="28DCB220"/>
    <w:rsid w:val="28DCE4F7"/>
    <w:rsid w:val="28DD3F53"/>
    <w:rsid w:val="28DDEDA6"/>
    <w:rsid w:val="28ED7D8F"/>
    <w:rsid w:val="28F41D35"/>
    <w:rsid w:val="28FE3717"/>
    <w:rsid w:val="29000E9F"/>
    <w:rsid w:val="290A7272"/>
    <w:rsid w:val="290CA326"/>
    <w:rsid w:val="290D135D"/>
    <w:rsid w:val="290EFF92"/>
    <w:rsid w:val="290F88ED"/>
    <w:rsid w:val="291695D0"/>
    <w:rsid w:val="291A81FD"/>
    <w:rsid w:val="291AA3C4"/>
    <w:rsid w:val="291EBBDD"/>
    <w:rsid w:val="29281E7E"/>
    <w:rsid w:val="2929DD52"/>
    <w:rsid w:val="292C4B9D"/>
    <w:rsid w:val="292E94EB"/>
    <w:rsid w:val="29305A79"/>
    <w:rsid w:val="29312E72"/>
    <w:rsid w:val="29317573"/>
    <w:rsid w:val="29370743"/>
    <w:rsid w:val="2937AEBC"/>
    <w:rsid w:val="29383E4C"/>
    <w:rsid w:val="293C909D"/>
    <w:rsid w:val="293CA10A"/>
    <w:rsid w:val="293FC6EA"/>
    <w:rsid w:val="294046FF"/>
    <w:rsid w:val="29423B45"/>
    <w:rsid w:val="2948806B"/>
    <w:rsid w:val="2949BDA6"/>
    <w:rsid w:val="2949CCF4"/>
    <w:rsid w:val="29506F16"/>
    <w:rsid w:val="295AD7A2"/>
    <w:rsid w:val="2967621F"/>
    <w:rsid w:val="29678BD6"/>
    <w:rsid w:val="2967C84E"/>
    <w:rsid w:val="296BD2A4"/>
    <w:rsid w:val="296CFE69"/>
    <w:rsid w:val="29735161"/>
    <w:rsid w:val="29813EB5"/>
    <w:rsid w:val="29868CC3"/>
    <w:rsid w:val="2986CA43"/>
    <w:rsid w:val="29881264"/>
    <w:rsid w:val="298A1438"/>
    <w:rsid w:val="298B7E66"/>
    <w:rsid w:val="2990048F"/>
    <w:rsid w:val="2994699E"/>
    <w:rsid w:val="2994DDE8"/>
    <w:rsid w:val="299A2B02"/>
    <w:rsid w:val="299C31F6"/>
    <w:rsid w:val="29A4F255"/>
    <w:rsid w:val="29AF40E3"/>
    <w:rsid w:val="29B47875"/>
    <w:rsid w:val="29B5B899"/>
    <w:rsid w:val="29B5E83C"/>
    <w:rsid w:val="29B6EDC5"/>
    <w:rsid w:val="29B898C1"/>
    <w:rsid w:val="29BEFBE3"/>
    <w:rsid w:val="29BF5589"/>
    <w:rsid w:val="29C14CA8"/>
    <w:rsid w:val="29C1E4D4"/>
    <w:rsid w:val="29C2BB7A"/>
    <w:rsid w:val="29C4708C"/>
    <w:rsid w:val="29C487F7"/>
    <w:rsid w:val="29C58EEC"/>
    <w:rsid w:val="29C8F875"/>
    <w:rsid w:val="29CA21F0"/>
    <w:rsid w:val="29D3003F"/>
    <w:rsid w:val="29D32773"/>
    <w:rsid w:val="29E27EA7"/>
    <w:rsid w:val="29E7A37E"/>
    <w:rsid w:val="29EA23BC"/>
    <w:rsid w:val="29ED777C"/>
    <w:rsid w:val="29F8A5C5"/>
    <w:rsid w:val="29FBC485"/>
    <w:rsid w:val="29FFD7FF"/>
    <w:rsid w:val="2A03F74A"/>
    <w:rsid w:val="2A045669"/>
    <w:rsid w:val="2A0627E9"/>
    <w:rsid w:val="2A079794"/>
    <w:rsid w:val="2A0A5372"/>
    <w:rsid w:val="2A0BF084"/>
    <w:rsid w:val="2A124B70"/>
    <w:rsid w:val="2A178702"/>
    <w:rsid w:val="2A19F74D"/>
    <w:rsid w:val="2A21FC15"/>
    <w:rsid w:val="2A222B6D"/>
    <w:rsid w:val="2A24EC24"/>
    <w:rsid w:val="2A36F566"/>
    <w:rsid w:val="2A397921"/>
    <w:rsid w:val="2A3E8F2C"/>
    <w:rsid w:val="2A496AF8"/>
    <w:rsid w:val="2A4BC24C"/>
    <w:rsid w:val="2A4D1CD1"/>
    <w:rsid w:val="2A52FCD5"/>
    <w:rsid w:val="2A572F33"/>
    <w:rsid w:val="2A60F280"/>
    <w:rsid w:val="2A634CCC"/>
    <w:rsid w:val="2A6779AE"/>
    <w:rsid w:val="2A6ACDDD"/>
    <w:rsid w:val="2A705C48"/>
    <w:rsid w:val="2A7565CE"/>
    <w:rsid w:val="2A7A098D"/>
    <w:rsid w:val="2A7BA0B8"/>
    <w:rsid w:val="2A7DF380"/>
    <w:rsid w:val="2A7E619A"/>
    <w:rsid w:val="2A808186"/>
    <w:rsid w:val="2A85C97F"/>
    <w:rsid w:val="2A90B9DD"/>
    <w:rsid w:val="2A90CE8C"/>
    <w:rsid w:val="2A919645"/>
    <w:rsid w:val="2A9C1D76"/>
    <w:rsid w:val="2AA4AC83"/>
    <w:rsid w:val="2AAA15A3"/>
    <w:rsid w:val="2AAAE2B7"/>
    <w:rsid w:val="2AB07207"/>
    <w:rsid w:val="2AB4DC8E"/>
    <w:rsid w:val="2AB77B65"/>
    <w:rsid w:val="2ACA0512"/>
    <w:rsid w:val="2AD06376"/>
    <w:rsid w:val="2ADABA34"/>
    <w:rsid w:val="2AE0C6F8"/>
    <w:rsid w:val="2AE67AFA"/>
    <w:rsid w:val="2AF440E2"/>
    <w:rsid w:val="2AFB7F1F"/>
    <w:rsid w:val="2AFEABDB"/>
    <w:rsid w:val="2B00AA60"/>
    <w:rsid w:val="2B03DA49"/>
    <w:rsid w:val="2B14DB3D"/>
    <w:rsid w:val="2B19806F"/>
    <w:rsid w:val="2B1ABDAF"/>
    <w:rsid w:val="2B1B852D"/>
    <w:rsid w:val="2B247DB1"/>
    <w:rsid w:val="2B24DCA0"/>
    <w:rsid w:val="2B2C3193"/>
    <w:rsid w:val="2B3C586E"/>
    <w:rsid w:val="2B3D3592"/>
    <w:rsid w:val="2B4194D6"/>
    <w:rsid w:val="2B4718ED"/>
    <w:rsid w:val="2B4B2B43"/>
    <w:rsid w:val="2B5CE7A5"/>
    <w:rsid w:val="2B5DE4EE"/>
    <w:rsid w:val="2B5E3EA0"/>
    <w:rsid w:val="2B5EBCE3"/>
    <w:rsid w:val="2B70211F"/>
    <w:rsid w:val="2B7058B0"/>
    <w:rsid w:val="2B723A77"/>
    <w:rsid w:val="2B749EFD"/>
    <w:rsid w:val="2B76C49E"/>
    <w:rsid w:val="2B78951B"/>
    <w:rsid w:val="2B78D582"/>
    <w:rsid w:val="2B7AD545"/>
    <w:rsid w:val="2B7BD36E"/>
    <w:rsid w:val="2B89D1B2"/>
    <w:rsid w:val="2B8A62EC"/>
    <w:rsid w:val="2B92CD0B"/>
    <w:rsid w:val="2B9EC7B2"/>
    <w:rsid w:val="2B9F0A45"/>
    <w:rsid w:val="2BA0825C"/>
    <w:rsid w:val="2BA66BE8"/>
    <w:rsid w:val="2BB0DE1E"/>
    <w:rsid w:val="2BB23D74"/>
    <w:rsid w:val="2BB70261"/>
    <w:rsid w:val="2BBFBB04"/>
    <w:rsid w:val="2BC1401D"/>
    <w:rsid w:val="2BC62BBA"/>
    <w:rsid w:val="2BC84BB0"/>
    <w:rsid w:val="2BCC2946"/>
    <w:rsid w:val="2BCFB653"/>
    <w:rsid w:val="2BD61C86"/>
    <w:rsid w:val="2BD9880D"/>
    <w:rsid w:val="2BD9A8AA"/>
    <w:rsid w:val="2BEB9348"/>
    <w:rsid w:val="2BF3F1BA"/>
    <w:rsid w:val="2BF5749B"/>
    <w:rsid w:val="2BF7396C"/>
    <w:rsid w:val="2BF80B51"/>
    <w:rsid w:val="2BFCA40E"/>
    <w:rsid w:val="2C029F10"/>
    <w:rsid w:val="2C0D5AB7"/>
    <w:rsid w:val="2C121ED6"/>
    <w:rsid w:val="2C1896F1"/>
    <w:rsid w:val="2C1B7F48"/>
    <w:rsid w:val="2C1C97BB"/>
    <w:rsid w:val="2C20975A"/>
    <w:rsid w:val="2C20BCB8"/>
    <w:rsid w:val="2C23B5FA"/>
    <w:rsid w:val="2C25C8BE"/>
    <w:rsid w:val="2C2C4C91"/>
    <w:rsid w:val="2C2C6D38"/>
    <w:rsid w:val="2C31AE1F"/>
    <w:rsid w:val="2C35779A"/>
    <w:rsid w:val="2C360E07"/>
    <w:rsid w:val="2C362E89"/>
    <w:rsid w:val="2C366E0B"/>
    <w:rsid w:val="2C3A1D50"/>
    <w:rsid w:val="2C507858"/>
    <w:rsid w:val="2C591326"/>
    <w:rsid w:val="2C5A1B63"/>
    <w:rsid w:val="2C5E4FCF"/>
    <w:rsid w:val="2C6114A5"/>
    <w:rsid w:val="2C6852D9"/>
    <w:rsid w:val="2C68D8F1"/>
    <w:rsid w:val="2C7198AB"/>
    <w:rsid w:val="2C723D64"/>
    <w:rsid w:val="2C73FC17"/>
    <w:rsid w:val="2C7F3624"/>
    <w:rsid w:val="2C800A18"/>
    <w:rsid w:val="2C839402"/>
    <w:rsid w:val="2C880809"/>
    <w:rsid w:val="2C8F27E1"/>
    <w:rsid w:val="2C940BB8"/>
    <w:rsid w:val="2C959FEB"/>
    <w:rsid w:val="2CA44539"/>
    <w:rsid w:val="2CA4C5A1"/>
    <w:rsid w:val="2CA7AB79"/>
    <w:rsid w:val="2CA7D07F"/>
    <w:rsid w:val="2CAA9430"/>
    <w:rsid w:val="2CACA5A6"/>
    <w:rsid w:val="2CAE0D80"/>
    <w:rsid w:val="2CAF26F7"/>
    <w:rsid w:val="2CB321EA"/>
    <w:rsid w:val="2CB3EB83"/>
    <w:rsid w:val="2CBD9245"/>
    <w:rsid w:val="2CBE8DB4"/>
    <w:rsid w:val="2CC07CA4"/>
    <w:rsid w:val="2CC546D6"/>
    <w:rsid w:val="2CCA0994"/>
    <w:rsid w:val="2CD07F64"/>
    <w:rsid w:val="2CD5A671"/>
    <w:rsid w:val="2CDA55FB"/>
    <w:rsid w:val="2CDEDD63"/>
    <w:rsid w:val="2CE288B1"/>
    <w:rsid w:val="2CE9983C"/>
    <w:rsid w:val="2CF4FF12"/>
    <w:rsid w:val="2CFA93B2"/>
    <w:rsid w:val="2CFCD576"/>
    <w:rsid w:val="2CFEA494"/>
    <w:rsid w:val="2D02B7A1"/>
    <w:rsid w:val="2D03BED5"/>
    <w:rsid w:val="2D057EBC"/>
    <w:rsid w:val="2D08693A"/>
    <w:rsid w:val="2D0B5623"/>
    <w:rsid w:val="2D0D5E77"/>
    <w:rsid w:val="2D0FC28C"/>
    <w:rsid w:val="2D102223"/>
    <w:rsid w:val="2D150569"/>
    <w:rsid w:val="2D1985BB"/>
    <w:rsid w:val="2D1ABD97"/>
    <w:rsid w:val="2D1C0C3E"/>
    <w:rsid w:val="2D1E134C"/>
    <w:rsid w:val="2D24130F"/>
    <w:rsid w:val="2D34D995"/>
    <w:rsid w:val="2D35C772"/>
    <w:rsid w:val="2D3C66BA"/>
    <w:rsid w:val="2D46F4CB"/>
    <w:rsid w:val="2D4ABF02"/>
    <w:rsid w:val="2D4BF094"/>
    <w:rsid w:val="2D502796"/>
    <w:rsid w:val="2D50685D"/>
    <w:rsid w:val="2D55B969"/>
    <w:rsid w:val="2D56C16E"/>
    <w:rsid w:val="2D5D2E9D"/>
    <w:rsid w:val="2D608A1A"/>
    <w:rsid w:val="2D665F63"/>
    <w:rsid w:val="2D6C8037"/>
    <w:rsid w:val="2D768844"/>
    <w:rsid w:val="2D7B30CF"/>
    <w:rsid w:val="2D7D11C8"/>
    <w:rsid w:val="2D842A00"/>
    <w:rsid w:val="2D901506"/>
    <w:rsid w:val="2D90E68B"/>
    <w:rsid w:val="2D9C8686"/>
    <w:rsid w:val="2DA1CFCF"/>
    <w:rsid w:val="2DB1C767"/>
    <w:rsid w:val="2DB3F5C2"/>
    <w:rsid w:val="2DC30A2A"/>
    <w:rsid w:val="2DCA408D"/>
    <w:rsid w:val="2DCAC707"/>
    <w:rsid w:val="2DDF5CE6"/>
    <w:rsid w:val="2DDF98D5"/>
    <w:rsid w:val="2DE3C841"/>
    <w:rsid w:val="2DE3FB50"/>
    <w:rsid w:val="2DE434DB"/>
    <w:rsid w:val="2DEB38F8"/>
    <w:rsid w:val="2DED7BC2"/>
    <w:rsid w:val="2DEE7EAC"/>
    <w:rsid w:val="2DF4A1A6"/>
    <w:rsid w:val="2DF5FDA4"/>
    <w:rsid w:val="2DF796A5"/>
    <w:rsid w:val="2E0416B0"/>
    <w:rsid w:val="2E09DF1E"/>
    <w:rsid w:val="2E0AABA9"/>
    <w:rsid w:val="2E0FE75D"/>
    <w:rsid w:val="2E14654B"/>
    <w:rsid w:val="2E247194"/>
    <w:rsid w:val="2E326CC4"/>
    <w:rsid w:val="2E378C6C"/>
    <w:rsid w:val="2E381702"/>
    <w:rsid w:val="2E38BEBB"/>
    <w:rsid w:val="2E3C1C43"/>
    <w:rsid w:val="2E3F5FD0"/>
    <w:rsid w:val="2E3FBBC2"/>
    <w:rsid w:val="2E47FED2"/>
    <w:rsid w:val="2E4892A1"/>
    <w:rsid w:val="2E48E7F7"/>
    <w:rsid w:val="2E4F1100"/>
    <w:rsid w:val="2E547E79"/>
    <w:rsid w:val="2E58A3A5"/>
    <w:rsid w:val="2E59AC02"/>
    <w:rsid w:val="2E5CEBA7"/>
    <w:rsid w:val="2E615240"/>
    <w:rsid w:val="2E62471B"/>
    <w:rsid w:val="2E6C335C"/>
    <w:rsid w:val="2E6D21C9"/>
    <w:rsid w:val="2E6DF083"/>
    <w:rsid w:val="2E721598"/>
    <w:rsid w:val="2E742D21"/>
    <w:rsid w:val="2E76CF1E"/>
    <w:rsid w:val="2E844A51"/>
    <w:rsid w:val="2E8D8CCE"/>
    <w:rsid w:val="2E908FEB"/>
    <w:rsid w:val="2E90CDCF"/>
    <w:rsid w:val="2E949D61"/>
    <w:rsid w:val="2E97E4FB"/>
    <w:rsid w:val="2E9A2533"/>
    <w:rsid w:val="2E9A79A4"/>
    <w:rsid w:val="2EA4DBA7"/>
    <w:rsid w:val="2EA530BF"/>
    <w:rsid w:val="2EA9E5E1"/>
    <w:rsid w:val="2EB952B4"/>
    <w:rsid w:val="2EBC7703"/>
    <w:rsid w:val="2EBCA6CC"/>
    <w:rsid w:val="2EC26058"/>
    <w:rsid w:val="2EC9D499"/>
    <w:rsid w:val="2ECFE1CA"/>
    <w:rsid w:val="2ED77026"/>
    <w:rsid w:val="2ED88583"/>
    <w:rsid w:val="2EDFDA33"/>
    <w:rsid w:val="2EE0387A"/>
    <w:rsid w:val="2EE1214E"/>
    <w:rsid w:val="2EE30EFA"/>
    <w:rsid w:val="2EE3AD3D"/>
    <w:rsid w:val="2EE46B68"/>
    <w:rsid w:val="2EF1CAAC"/>
    <w:rsid w:val="2EF47212"/>
    <w:rsid w:val="2F04A9EE"/>
    <w:rsid w:val="2F05CCE2"/>
    <w:rsid w:val="2F0FB8FA"/>
    <w:rsid w:val="2F15E37C"/>
    <w:rsid w:val="2F1F771C"/>
    <w:rsid w:val="2F2391E8"/>
    <w:rsid w:val="2F27F539"/>
    <w:rsid w:val="2F29E85B"/>
    <w:rsid w:val="2F3030D7"/>
    <w:rsid w:val="2F32A5FD"/>
    <w:rsid w:val="2F3B60E7"/>
    <w:rsid w:val="2F421EE7"/>
    <w:rsid w:val="2F422DCA"/>
    <w:rsid w:val="2F474373"/>
    <w:rsid w:val="2F48728F"/>
    <w:rsid w:val="2F4CA4E9"/>
    <w:rsid w:val="2F4E5DA3"/>
    <w:rsid w:val="2F510FDF"/>
    <w:rsid w:val="2F53CA6C"/>
    <w:rsid w:val="2F5924A9"/>
    <w:rsid w:val="2F5C8381"/>
    <w:rsid w:val="2F5F6189"/>
    <w:rsid w:val="2F6AA761"/>
    <w:rsid w:val="2F738769"/>
    <w:rsid w:val="2F75F9B3"/>
    <w:rsid w:val="2F78BB67"/>
    <w:rsid w:val="2F7C33D6"/>
    <w:rsid w:val="2F7D0C68"/>
    <w:rsid w:val="2F8B1B4E"/>
    <w:rsid w:val="2F8B2FDE"/>
    <w:rsid w:val="2F93A31C"/>
    <w:rsid w:val="2F9965E5"/>
    <w:rsid w:val="2F9CC99F"/>
    <w:rsid w:val="2F9D8048"/>
    <w:rsid w:val="2FA0A2A9"/>
    <w:rsid w:val="2FA39420"/>
    <w:rsid w:val="2FA4E3B5"/>
    <w:rsid w:val="2FB05E81"/>
    <w:rsid w:val="2FB17A5C"/>
    <w:rsid w:val="2FB2FDE9"/>
    <w:rsid w:val="2FB95BA8"/>
    <w:rsid w:val="2FC9EEF9"/>
    <w:rsid w:val="2FCB288D"/>
    <w:rsid w:val="2FCD1BB1"/>
    <w:rsid w:val="2FD1516A"/>
    <w:rsid w:val="2FE1F3B9"/>
    <w:rsid w:val="2FE41FA0"/>
    <w:rsid w:val="2FE4FBA0"/>
    <w:rsid w:val="2FE94C34"/>
    <w:rsid w:val="2FED2BDA"/>
    <w:rsid w:val="2FEDA5F0"/>
    <w:rsid w:val="2FF4BF43"/>
    <w:rsid w:val="30017357"/>
    <w:rsid w:val="30076C79"/>
    <w:rsid w:val="3008975B"/>
    <w:rsid w:val="300B8BAA"/>
    <w:rsid w:val="300FB379"/>
    <w:rsid w:val="3018E215"/>
    <w:rsid w:val="301D5E39"/>
    <w:rsid w:val="30274470"/>
    <w:rsid w:val="30277B9F"/>
    <w:rsid w:val="302DEBA3"/>
    <w:rsid w:val="302E8D03"/>
    <w:rsid w:val="3038B06E"/>
    <w:rsid w:val="303A857E"/>
    <w:rsid w:val="303E2695"/>
    <w:rsid w:val="304304F2"/>
    <w:rsid w:val="30449E12"/>
    <w:rsid w:val="3046767E"/>
    <w:rsid w:val="304C2B76"/>
    <w:rsid w:val="304C9DB1"/>
    <w:rsid w:val="304EBBB9"/>
    <w:rsid w:val="3051BBA4"/>
    <w:rsid w:val="3054813C"/>
    <w:rsid w:val="30591E59"/>
    <w:rsid w:val="30596CD6"/>
    <w:rsid w:val="305D2E2A"/>
    <w:rsid w:val="305D90C1"/>
    <w:rsid w:val="3061F302"/>
    <w:rsid w:val="3064B1F7"/>
    <w:rsid w:val="3064B4BC"/>
    <w:rsid w:val="3064EA1C"/>
    <w:rsid w:val="3069DEF0"/>
    <w:rsid w:val="30774C6F"/>
    <w:rsid w:val="307EC00E"/>
    <w:rsid w:val="3093081B"/>
    <w:rsid w:val="30934EE4"/>
    <w:rsid w:val="309A4432"/>
    <w:rsid w:val="309C5CE7"/>
    <w:rsid w:val="30A6FEC9"/>
    <w:rsid w:val="30AC9E55"/>
    <w:rsid w:val="30B01DBE"/>
    <w:rsid w:val="30B23E75"/>
    <w:rsid w:val="30B3B456"/>
    <w:rsid w:val="30B4A41D"/>
    <w:rsid w:val="30B55758"/>
    <w:rsid w:val="30B63E78"/>
    <w:rsid w:val="30BCDC3A"/>
    <w:rsid w:val="30BF9ECE"/>
    <w:rsid w:val="30C61808"/>
    <w:rsid w:val="30C69371"/>
    <w:rsid w:val="30C938A5"/>
    <w:rsid w:val="30D55B6A"/>
    <w:rsid w:val="30D97731"/>
    <w:rsid w:val="30DB06A9"/>
    <w:rsid w:val="30E426BA"/>
    <w:rsid w:val="30E4F570"/>
    <w:rsid w:val="30ED2C6B"/>
    <w:rsid w:val="30EDA6E1"/>
    <w:rsid w:val="30F30DCB"/>
    <w:rsid w:val="30F707E3"/>
    <w:rsid w:val="30F8F715"/>
    <w:rsid w:val="30F9DAEF"/>
    <w:rsid w:val="30FCC230"/>
    <w:rsid w:val="3104F008"/>
    <w:rsid w:val="31061428"/>
    <w:rsid w:val="3112A11D"/>
    <w:rsid w:val="3114DD90"/>
    <w:rsid w:val="311A1A3F"/>
    <w:rsid w:val="311AFD1F"/>
    <w:rsid w:val="311BB870"/>
    <w:rsid w:val="3124D4D5"/>
    <w:rsid w:val="31254338"/>
    <w:rsid w:val="312ECBD0"/>
    <w:rsid w:val="312F6EA5"/>
    <w:rsid w:val="31309659"/>
    <w:rsid w:val="313A3BC1"/>
    <w:rsid w:val="313E09E5"/>
    <w:rsid w:val="31404F39"/>
    <w:rsid w:val="314E670B"/>
    <w:rsid w:val="314FC3EE"/>
    <w:rsid w:val="3153D7A7"/>
    <w:rsid w:val="31561FD1"/>
    <w:rsid w:val="315B5FD9"/>
    <w:rsid w:val="316932CA"/>
    <w:rsid w:val="316B7741"/>
    <w:rsid w:val="316F3AAD"/>
    <w:rsid w:val="317561DF"/>
    <w:rsid w:val="317DC517"/>
    <w:rsid w:val="318A3DF9"/>
    <w:rsid w:val="318B4287"/>
    <w:rsid w:val="318C1EDE"/>
    <w:rsid w:val="318D6A26"/>
    <w:rsid w:val="31961376"/>
    <w:rsid w:val="3196F2A8"/>
    <w:rsid w:val="31970812"/>
    <w:rsid w:val="31977240"/>
    <w:rsid w:val="319DA4C5"/>
    <w:rsid w:val="319FB6AA"/>
    <w:rsid w:val="31A1373B"/>
    <w:rsid w:val="31A17803"/>
    <w:rsid w:val="31A2CAC3"/>
    <w:rsid w:val="31A662A3"/>
    <w:rsid w:val="31AB3154"/>
    <w:rsid w:val="31ABB4CB"/>
    <w:rsid w:val="31AC42D7"/>
    <w:rsid w:val="31B1679B"/>
    <w:rsid w:val="31B34FC8"/>
    <w:rsid w:val="31BB34C3"/>
    <w:rsid w:val="31BC5EEE"/>
    <w:rsid w:val="31BDA417"/>
    <w:rsid w:val="31C0A6BB"/>
    <w:rsid w:val="31C2AE0D"/>
    <w:rsid w:val="31C82249"/>
    <w:rsid w:val="31CD9303"/>
    <w:rsid w:val="31DA1C54"/>
    <w:rsid w:val="31DAFA05"/>
    <w:rsid w:val="31DB7C6D"/>
    <w:rsid w:val="31E3BC59"/>
    <w:rsid w:val="31EA7358"/>
    <w:rsid w:val="31ECC96E"/>
    <w:rsid w:val="31ECD985"/>
    <w:rsid w:val="31EE84C2"/>
    <w:rsid w:val="31F494FD"/>
    <w:rsid w:val="31F56417"/>
    <w:rsid w:val="31F57928"/>
    <w:rsid w:val="31F8ED32"/>
    <w:rsid w:val="31F94D0C"/>
    <w:rsid w:val="32176B5F"/>
    <w:rsid w:val="321827B3"/>
    <w:rsid w:val="321867EB"/>
    <w:rsid w:val="321DC79A"/>
    <w:rsid w:val="32287B41"/>
    <w:rsid w:val="3238D6A7"/>
    <w:rsid w:val="323F3B55"/>
    <w:rsid w:val="32411722"/>
    <w:rsid w:val="32479513"/>
    <w:rsid w:val="324A19AE"/>
    <w:rsid w:val="324ADE66"/>
    <w:rsid w:val="325063C3"/>
    <w:rsid w:val="3250B67A"/>
    <w:rsid w:val="325143A3"/>
    <w:rsid w:val="32528595"/>
    <w:rsid w:val="325436F1"/>
    <w:rsid w:val="32560CD8"/>
    <w:rsid w:val="3257A5F6"/>
    <w:rsid w:val="3258260B"/>
    <w:rsid w:val="325D5E16"/>
    <w:rsid w:val="3260B286"/>
    <w:rsid w:val="3262EE62"/>
    <w:rsid w:val="326B4601"/>
    <w:rsid w:val="326D84B9"/>
    <w:rsid w:val="3275A4CD"/>
    <w:rsid w:val="32771E0A"/>
    <w:rsid w:val="3279D187"/>
    <w:rsid w:val="327A2297"/>
    <w:rsid w:val="327BE4F5"/>
    <w:rsid w:val="327D3ABC"/>
    <w:rsid w:val="32800C63"/>
    <w:rsid w:val="3288F3D4"/>
    <w:rsid w:val="328C3298"/>
    <w:rsid w:val="32935622"/>
    <w:rsid w:val="329DE078"/>
    <w:rsid w:val="32A25C00"/>
    <w:rsid w:val="32A9D818"/>
    <w:rsid w:val="32AB4F28"/>
    <w:rsid w:val="32ACF4D0"/>
    <w:rsid w:val="32B03621"/>
    <w:rsid w:val="32B2D7A5"/>
    <w:rsid w:val="32B44F56"/>
    <w:rsid w:val="32B69B45"/>
    <w:rsid w:val="32B7BF61"/>
    <w:rsid w:val="32B9F78F"/>
    <w:rsid w:val="32BD981B"/>
    <w:rsid w:val="32C10A16"/>
    <w:rsid w:val="32C180C1"/>
    <w:rsid w:val="32C51857"/>
    <w:rsid w:val="32C934A2"/>
    <w:rsid w:val="32CC2FE7"/>
    <w:rsid w:val="32CC4290"/>
    <w:rsid w:val="32CC77BC"/>
    <w:rsid w:val="32CE5110"/>
    <w:rsid w:val="32CF6A88"/>
    <w:rsid w:val="32D37765"/>
    <w:rsid w:val="32DAFA8F"/>
    <w:rsid w:val="32DB55B6"/>
    <w:rsid w:val="32DDAD88"/>
    <w:rsid w:val="32DDB0AF"/>
    <w:rsid w:val="32DE3993"/>
    <w:rsid w:val="32E0D616"/>
    <w:rsid w:val="32E4B8D9"/>
    <w:rsid w:val="32EC974D"/>
    <w:rsid w:val="32EDCFFE"/>
    <w:rsid w:val="32F1FA43"/>
    <w:rsid w:val="32F56C59"/>
    <w:rsid w:val="32FAB2FD"/>
    <w:rsid w:val="32FE9B7C"/>
    <w:rsid w:val="33011BA9"/>
    <w:rsid w:val="33024AE5"/>
    <w:rsid w:val="3302603C"/>
    <w:rsid w:val="3304C02F"/>
    <w:rsid w:val="330625BE"/>
    <w:rsid w:val="330B102F"/>
    <w:rsid w:val="330B6BD1"/>
    <w:rsid w:val="330D6DC7"/>
    <w:rsid w:val="33112E22"/>
    <w:rsid w:val="33191987"/>
    <w:rsid w:val="331D7339"/>
    <w:rsid w:val="331DDD4B"/>
    <w:rsid w:val="33211E8F"/>
    <w:rsid w:val="332185D9"/>
    <w:rsid w:val="3321C7F5"/>
    <w:rsid w:val="332A33F6"/>
    <w:rsid w:val="332A81DC"/>
    <w:rsid w:val="332DD5DC"/>
    <w:rsid w:val="332DEB6B"/>
    <w:rsid w:val="332E756A"/>
    <w:rsid w:val="332F0681"/>
    <w:rsid w:val="3332DFEA"/>
    <w:rsid w:val="33376E8B"/>
    <w:rsid w:val="33378D82"/>
    <w:rsid w:val="3339E86C"/>
    <w:rsid w:val="333BA6FE"/>
    <w:rsid w:val="333D1030"/>
    <w:rsid w:val="333F16BC"/>
    <w:rsid w:val="3340937E"/>
    <w:rsid w:val="33416C15"/>
    <w:rsid w:val="334A0A38"/>
    <w:rsid w:val="3356150E"/>
    <w:rsid w:val="335AABC7"/>
    <w:rsid w:val="335BAF0F"/>
    <w:rsid w:val="335BB54C"/>
    <w:rsid w:val="335F8816"/>
    <w:rsid w:val="33611654"/>
    <w:rsid w:val="33635931"/>
    <w:rsid w:val="33795A94"/>
    <w:rsid w:val="337F6D43"/>
    <w:rsid w:val="3384458B"/>
    <w:rsid w:val="3389AE53"/>
    <w:rsid w:val="338E7F16"/>
    <w:rsid w:val="338F6778"/>
    <w:rsid w:val="3396C3FB"/>
    <w:rsid w:val="33A301B1"/>
    <w:rsid w:val="33AA2840"/>
    <w:rsid w:val="33AF8466"/>
    <w:rsid w:val="33B95BE7"/>
    <w:rsid w:val="33B9E0C3"/>
    <w:rsid w:val="33BFC024"/>
    <w:rsid w:val="33C0F319"/>
    <w:rsid w:val="33C53544"/>
    <w:rsid w:val="33C88CE0"/>
    <w:rsid w:val="33CDF9FB"/>
    <w:rsid w:val="33CF7BBB"/>
    <w:rsid w:val="33D06CF0"/>
    <w:rsid w:val="33D32447"/>
    <w:rsid w:val="33E4C0F3"/>
    <w:rsid w:val="33E62508"/>
    <w:rsid w:val="33E7C6F4"/>
    <w:rsid w:val="33EEB67C"/>
    <w:rsid w:val="33F30D28"/>
    <w:rsid w:val="33F4CA29"/>
    <w:rsid w:val="33F59541"/>
    <w:rsid w:val="33F9F6E3"/>
    <w:rsid w:val="340398CA"/>
    <w:rsid w:val="3408B63D"/>
    <w:rsid w:val="340971A3"/>
    <w:rsid w:val="3409FC97"/>
    <w:rsid w:val="340E1DD3"/>
    <w:rsid w:val="340E634B"/>
    <w:rsid w:val="340EC806"/>
    <w:rsid w:val="340ECE08"/>
    <w:rsid w:val="3413EDC2"/>
    <w:rsid w:val="3414A54A"/>
    <w:rsid w:val="34168974"/>
    <w:rsid w:val="3427937B"/>
    <w:rsid w:val="3428820E"/>
    <w:rsid w:val="342C647B"/>
    <w:rsid w:val="342FA8E2"/>
    <w:rsid w:val="3437A422"/>
    <w:rsid w:val="343B8B0C"/>
    <w:rsid w:val="343C7255"/>
    <w:rsid w:val="3443C032"/>
    <w:rsid w:val="34480E68"/>
    <w:rsid w:val="34482F1A"/>
    <w:rsid w:val="344B4A85"/>
    <w:rsid w:val="3454D867"/>
    <w:rsid w:val="34582E79"/>
    <w:rsid w:val="345854CC"/>
    <w:rsid w:val="345C5993"/>
    <w:rsid w:val="345CC9E3"/>
    <w:rsid w:val="345E0E20"/>
    <w:rsid w:val="34612CC4"/>
    <w:rsid w:val="3461CD37"/>
    <w:rsid w:val="3462444B"/>
    <w:rsid w:val="34632A3A"/>
    <w:rsid w:val="346396A0"/>
    <w:rsid w:val="3465CE69"/>
    <w:rsid w:val="3467C6B7"/>
    <w:rsid w:val="346D8395"/>
    <w:rsid w:val="346D8814"/>
    <w:rsid w:val="346FDE8B"/>
    <w:rsid w:val="347CA557"/>
    <w:rsid w:val="34806842"/>
    <w:rsid w:val="3481DF12"/>
    <w:rsid w:val="34844088"/>
    <w:rsid w:val="3484BFDF"/>
    <w:rsid w:val="34897820"/>
    <w:rsid w:val="3489E0FE"/>
    <w:rsid w:val="348E0612"/>
    <w:rsid w:val="3497CEEB"/>
    <w:rsid w:val="3499CBE6"/>
    <w:rsid w:val="349AA162"/>
    <w:rsid w:val="34AE04F0"/>
    <w:rsid w:val="34AF76A6"/>
    <w:rsid w:val="34BCC98D"/>
    <w:rsid w:val="34C6C8F0"/>
    <w:rsid w:val="34C6EF72"/>
    <w:rsid w:val="34CD6D8A"/>
    <w:rsid w:val="34D6611E"/>
    <w:rsid w:val="34D6A4F3"/>
    <w:rsid w:val="34D783C2"/>
    <w:rsid w:val="34DB7036"/>
    <w:rsid w:val="34EB354B"/>
    <w:rsid w:val="34F055B2"/>
    <w:rsid w:val="34F2CC88"/>
    <w:rsid w:val="34F33B1F"/>
    <w:rsid w:val="34FFE1F1"/>
    <w:rsid w:val="3505D3C5"/>
    <w:rsid w:val="3509FF84"/>
    <w:rsid w:val="350E41DF"/>
    <w:rsid w:val="350EC015"/>
    <w:rsid w:val="3522A7BB"/>
    <w:rsid w:val="3525C2FE"/>
    <w:rsid w:val="352688DE"/>
    <w:rsid w:val="35290EC6"/>
    <w:rsid w:val="3529BB23"/>
    <w:rsid w:val="352ABEEC"/>
    <w:rsid w:val="352E4C9D"/>
    <w:rsid w:val="352EFAA3"/>
    <w:rsid w:val="3535EBBA"/>
    <w:rsid w:val="353BE0E7"/>
    <w:rsid w:val="3541056F"/>
    <w:rsid w:val="355B1922"/>
    <w:rsid w:val="355FD447"/>
    <w:rsid w:val="356FD66F"/>
    <w:rsid w:val="35793518"/>
    <w:rsid w:val="357D753C"/>
    <w:rsid w:val="358B20FB"/>
    <w:rsid w:val="3590AA0C"/>
    <w:rsid w:val="3593E957"/>
    <w:rsid w:val="3597CC86"/>
    <w:rsid w:val="3598E833"/>
    <w:rsid w:val="359B13D6"/>
    <w:rsid w:val="359E804E"/>
    <w:rsid w:val="35A0433E"/>
    <w:rsid w:val="35A06937"/>
    <w:rsid w:val="35A1FDA5"/>
    <w:rsid w:val="35A376BE"/>
    <w:rsid w:val="35A8A439"/>
    <w:rsid w:val="35A8E7D2"/>
    <w:rsid w:val="35AB1FC7"/>
    <w:rsid w:val="35ABF55F"/>
    <w:rsid w:val="35ACAF4F"/>
    <w:rsid w:val="35B3469D"/>
    <w:rsid w:val="35C24C22"/>
    <w:rsid w:val="35C43A03"/>
    <w:rsid w:val="35C8CFBD"/>
    <w:rsid w:val="35CCBF64"/>
    <w:rsid w:val="35D67583"/>
    <w:rsid w:val="35D8479D"/>
    <w:rsid w:val="35DF1F5A"/>
    <w:rsid w:val="35EB6478"/>
    <w:rsid w:val="35EB8D28"/>
    <w:rsid w:val="35EBF301"/>
    <w:rsid w:val="35EDFCCC"/>
    <w:rsid w:val="35F15476"/>
    <w:rsid w:val="35F22770"/>
    <w:rsid w:val="35F598E4"/>
    <w:rsid w:val="35F826A0"/>
    <w:rsid w:val="35FA968E"/>
    <w:rsid w:val="35FE26F3"/>
    <w:rsid w:val="35FF9C5C"/>
    <w:rsid w:val="360111BB"/>
    <w:rsid w:val="3602B89D"/>
    <w:rsid w:val="3605FF6F"/>
    <w:rsid w:val="360BEE20"/>
    <w:rsid w:val="36163ACA"/>
    <w:rsid w:val="362551BE"/>
    <w:rsid w:val="362E3C39"/>
    <w:rsid w:val="362E9BC8"/>
    <w:rsid w:val="3630D2EE"/>
    <w:rsid w:val="3631E9F1"/>
    <w:rsid w:val="363206E7"/>
    <w:rsid w:val="3634A73D"/>
    <w:rsid w:val="3636212B"/>
    <w:rsid w:val="3637CE53"/>
    <w:rsid w:val="3638CF35"/>
    <w:rsid w:val="363C2746"/>
    <w:rsid w:val="3642C61F"/>
    <w:rsid w:val="364969B9"/>
    <w:rsid w:val="364B4B48"/>
    <w:rsid w:val="364E613F"/>
    <w:rsid w:val="364F93B5"/>
    <w:rsid w:val="365127A0"/>
    <w:rsid w:val="3652C244"/>
    <w:rsid w:val="36571834"/>
    <w:rsid w:val="365A0822"/>
    <w:rsid w:val="365C56F8"/>
    <w:rsid w:val="36602089"/>
    <w:rsid w:val="366102D9"/>
    <w:rsid w:val="36641468"/>
    <w:rsid w:val="3667B6A3"/>
    <w:rsid w:val="36680066"/>
    <w:rsid w:val="3669E57C"/>
    <w:rsid w:val="36707EFF"/>
    <w:rsid w:val="36737857"/>
    <w:rsid w:val="3688B02B"/>
    <w:rsid w:val="368D82C9"/>
    <w:rsid w:val="36921C7B"/>
    <w:rsid w:val="3695EAAB"/>
    <w:rsid w:val="3696B67F"/>
    <w:rsid w:val="36985541"/>
    <w:rsid w:val="36A02C74"/>
    <w:rsid w:val="36A48397"/>
    <w:rsid w:val="36ADDD31"/>
    <w:rsid w:val="36AFA6CE"/>
    <w:rsid w:val="36B5BFA5"/>
    <w:rsid w:val="36BC22D3"/>
    <w:rsid w:val="36C73B98"/>
    <w:rsid w:val="36C7437A"/>
    <w:rsid w:val="36C99D54"/>
    <w:rsid w:val="36CBB9BF"/>
    <w:rsid w:val="36D23BA3"/>
    <w:rsid w:val="36D739B5"/>
    <w:rsid w:val="36DCD95C"/>
    <w:rsid w:val="36E0615C"/>
    <w:rsid w:val="36E88002"/>
    <w:rsid w:val="36EB7B78"/>
    <w:rsid w:val="36EBDC58"/>
    <w:rsid w:val="36F0311B"/>
    <w:rsid w:val="36F20596"/>
    <w:rsid w:val="36F42AEB"/>
    <w:rsid w:val="36F4BFB0"/>
    <w:rsid w:val="36F4F4E7"/>
    <w:rsid w:val="36F65920"/>
    <w:rsid w:val="36FB1893"/>
    <w:rsid w:val="3702594E"/>
    <w:rsid w:val="3704F235"/>
    <w:rsid w:val="37055E40"/>
    <w:rsid w:val="37063FF2"/>
    <w:rsid w:val="370650FD"/>
    <w:rsid w:val="370E228F"/>
    <w:rsid w:val="3712DB08"/>
    <w:rsid w:val="37278D24"/>
    <w:rsid w:val="37288F24"/>
    <w:rsid w:val="37293479"/>
    <w:rsid w:val="372A061A"/>
    <w:rsid w:val="373341F1"/>
    <w:rsid w:val="3733A572"/>
    <w:rsid w:val="3737BC9B"/>
    <w:rsid w:val="373800F0"/>
    <w:rsid w:val="373896C6"/>
    <w:rsid w:val="373B9CF2"/>
    <w:rsid w:val="373C203B"/>
    <w:rsid w:val="373FD0F8"/>
    <w:rsid w:val="37413FF1"/>
    <w:rsid w:val="37427E9E"/>
    <w:rsid w:val="37436DB1"/>
    <w:rsid w:val="3745BDFF"/>
    <w:rsid w:val="3748D0E2"/>
    <w:rsid w:val="374F705B"/>
    <w:rsid w:val="3753AD71"/>
    <w:rsid w:val="37575FDF"/>
    <w:rsid w:val="375C0FC0"/>
    <w:rsid w:val="3764FC87"/>
    <w:rsid w:val="3768FEDE"/>
    <w:rsid w:val="376DED60"/>
    <w:rsid w:val="376EFA0A"/>
    <w:rsid w:val="37732338"/>
    <w:rsid w:val="3774EAD3"/>
    <w:rsid w:val="37751245"/>
    <w:rsid w:val="3775B67C"/>
    <w:rsid w:val="37860930"/>
    <w:rsid w:val="378BE38C"/>
    <w:rsid w:val="37933ADC"/>
    <w:rsid w:val="3794715E"/>
    <w:rsid w:val="3796D57E"/>
    <w:rsid w:val="3796F5C4"/>
    <w:rsid w:val="37988300"/>
    <w:rsid w:val="379C7BD3"/>
    <w:rsid w:val="379D167C"/>
    <w:rsid w:val="379FC984"/>
    <w:rsid w:val="37A3980A"/>
    <w:rsid w:val="37A3F27A"/>
    <w:rsid w:val="37A84F7B"/>
    <w:rsid w:val="37AD31DA"/>
    <w:rsid w:val="37B3170F"/>
    <w:rsid w:val="37B521AE"/>
    <w:rsid w:val="37BEEAB3"/>
    <w:rsid w:val="37C7A12F"/>
    <w:rsid w:val="37C9941D"/>
    <w:rsid w:val="37C9BC3D"/>
    <w:rsid w:val="37D0B3A0"/>
    <w:rsid w:val="37D44B42"/>
    <w:rsid w:val="37D59CCC"/>
    <w:rsid w:val="37D644B1"/>
    <w:rsid w:val="37DBA398"/>
    <w:rsid w:val="37DDAD44"/>
    <w:rsid w:val="37DF1173"/>
    <w:rsid w:val="37DFAFD5"/>
    <w:rsid w:val="37DFF5C2"/>
    <w:rsid w:val="37E08CB2"/>
    <w:rsid w:val="37EDBD81"/>
    <w:rsid w:val="37EF4E71"/>
    <w:rsid w:val="37F7C6DD"/>
    <w:rsid w:val="37FCE38F"/>
    <w:rsid w:val="38015FBA"/>
    <w:rsid w:val="380AF34A"/>
    <w:rsid w:val="380D4FCA"/>
    <w:rsid w:val="380EF03B"/>
    <w:rsid w:val="381291B5"/>
    <w:rsid w:val="38191E15"/>
    <w:rsid w:val="3819A53A"/>
    <w:rsid w:val="381A5DDC"/>
    <w:rsid w:val="381CCE2A"/>
    <w:rsid w:val="381F104C"/>
    <w:rsid w:val="3820D98E"/>
    <w:rsid w:val="38215889"/>
    <w:rsid w:val="3822B68A"/>
    <w:rsid w:val="3826530F"/>
    <w:rsid w:val="382BC338"/>
    <w:rsid w:val="382DEA99"/>
    <w:rsid w:val="3833C55B"/>
    <w:rsid w:val="38395271"/>
    <w:rsid w:val="38403679"/>
    <w:rsid w:val="38459ED7"/>
    <w:rsid w:val="38468E33"/>
    <w:rsid w:val="384DDD73"/>
    <w:rsid w:val="384E55D0"/>
    <w:rsid w:val="384F157F"/>
    <w:rsid w:val="3850F9FD"/>
    <w:rsid w:val="385806E4"/>
    <w:rsid w:val="38581D07"/>
    <w:rsid w:val="385CCA36"/>
    <w:rsid w:val="386391E2"/>
    <w:rsid w:val="3868F7C0"/>
    <w:rsid w:val="3876EC11"/>
    <w:rsid w:val="387A3365"/>
    <w:rsid w:val="388198B5"/>
    <w:rsid w:val="3885A32F"/>
    <w:rsid w:val="3887B510"/>
    <w:rsid w:val="388B0960"/>
    <w:rsid w:val="388FEB9B"/>
    <w:rsid w:val="3895FE59"/>
    <w:rsid w:val="3897231C"/>
    <w:rsid w:val="38990617"/>
    <w:rsid w:val="38A61C10"/>
    <w:rsid w:val="38AB7C91"/>
    <w:rsid w:val="38B19E2D"/>
    <w:rsid w:val="38B6529F"/>
    <w:rsid w:val="38C289F4"/>
    <w:rsid w:val="38C922E8"/>
    <w:rsid w:val="38C9D680"/>
    <w:rsid w:val="38CA5801"/>
    <w:rsid w:val="38D0BE4B"/>
    <w:rsid w:val="38D1B4E5"/>
    <w:rsid w:val="38D2947B"/>
    <w:rsid w:val="38D77995"/>
    <w:rsid w:val="38E26AB0"/>
    <w:rsid w:val="38E94E50"/>
    <w:rsid w:val="38F10D10"/>
    <w:rsid w:val="38F19D99"/>
    <w:rsid w:val="38F43683"/>
    <w:rsid w:val="38FE43D0"/>
    <w:rsid w:val="3904568A"/>
    <w:rsid w:val="39084985"/>
    <w:rsid w:val="391A4997"/>
    <w:rsid w:val="39216E96"/>
    <w:rsid w:val="39258572"/>
    <w:rsid w:val="3925CB14"/>
    <w:rsid w:val="392A62CA"/>
    <w:rsid w:val="392CDBAB"/>
    <w:rsid w:val="392DE0E8"/>
    <w:rsid w:val="392F0937"/>
    <w:rsid w:val="39313C9C"/>
    <w:rsid w:val="3936A66A"/>
    <w:rsid w:val="393FF23F"/>
    <w:rsid w:val="3942278C"/>
    <w:rsid w:val="395B8D40"/>
    <w:rsid w:val="39646064"/>
    <w:rsid w:val="39650043"/>
    <w:rsid w:val="396AEC9A"/>
    <w:rsid w:val="3978853C"/>
    <w:rsid w:val="397C087C"/>
    <w:rsid w:val="397D93BC"/>
    <w:rsid w:val="397F89F3"/>
    <w:rsid w:val="397FBE5A"/>
    <w:rsid w:val="397FCBBA"/>
    <w:rsid w:val="398C1F6A"/>
    <w:rsid w:val="398E9D27"/>
    <w:rsid w:val="398ECD3F"/>
    <w:rsid w:val="3990C3D7"/>
    <w:rsid w:val="3990F578"/>
    <w:rsid w:val="39924889"/>
    <w:rsid w:val="39924BC3"/>
    <w:rsid w:val="399B38D9"/>
    <w:rsid w:val="39A5AC93"/>
    <w:rsid w:val="39A65F05"/>
    <w:rsid w:val="39A98226"/>
    <w:rsid w:val="39AB770F"/>
    <w:rsid w:val="39ACB83F"/>
    <w:rsid w:val="39B1CE0D"/>
    <w:rsid w:val="39B2F01A"/>
    <w:rsid w:val="39B427E8"/>
    <w:rsid w:val="39B43CE2"/>
    <w:rsid w:val="39BF3C04"/>
    <w:rsid w:val="39C33A0B"/>
    <w:rsid w:val="39C34DCB"/>
    <w:rsid w:val="39CA6EBB"/>
    <w:rsid w:val="39CB0623"/>
    <w:rsid w:val="39CC95B2"/>
    <w:rsid w:val="39CEC95A"/>
    <w:rsid w:val="39D42973"/>
    <w:rsid w:val="39D4A8BF"/>
    <w:rsid w:val="39DC741B"/>
    <w:rsid w:val="39E46412"/>
    <w:rsid w:val="39E75E7F"/>
    <w:rsid w:val="39EB7028"/>
    <w:rsid w:val="39F1518B"/>
    <w:rsid w:val="39F1753A"/>
    <w:rsid w:val="39F269A7"/>
    <w:rsid w:val="39F81F15"/>
    <w:rsid w:val="39FBDB14"/>
    <w:rsid w:val="39FD3D6D"/>
    <w:rsid w:val="3A094BB4"/>
    <w:rsid w:val="3A17E910"/>
    <w:rsid w:val="3A19ECCF"/>
    <w:rsid w:val="3A1A62D0"/>
    <w:rsid w:val="3A20B1D9"/>
    <w:rsid w:val="3A2319E5"/>
    <w:rsid w:val="3A23A0D1"/>
    <w:rsid w:val="3A253C24"/>
    <w:rsid w:val="3A2E4EB0"/>
    <w:rsid w:val="3A353193"/>
    <w:rsid w:val="3A3B9171"/>
    <w:rsid w:val="3A3DBFC8"/>
    <w:rsid w:val="3A3F4C51"/>
    <w:rsid w:val="3A451687"/>
    <w:rsid w:val="3A484211"/>
    <w:rsid w:val="3A4CB4F8"/>
    <w:rsid w:val="3A4EB74F"/>
    <w:rsid w:val="3A5720E2"/>
    <w:rsid w:val="3A5F30BF"/>
    <w:rsid w:val="3A6138A1"/>
    <w:rsid w:val="3A694797"/>
    <w:rsid w:val="3A6F68E0"/>
    <w:rsid w:val="3A6FC9E7"/>
    <w:rsid w:val="3A7AE3F2"/>
    <w:rsid w:val="3A7B3168"/>
    <w:rsid w:val="3A9D20FE"/>
    <w:rsid w:val="3AA2115E"/>
    <w:rsid w:val="3AA48C17"/>
    <w:rsid w:val="3AA4DB18"/>
    <w:rsid w:val="3AA518DF"/>
    <w:rsid w:val="3AA66E1B"/>
    <w:rsid w:val="3AA779C1"/>
    <w:rsid w:val="3AA92ECB"/>
    <w:rsid w:val="3AAB514C"/>
    <w:rsid w:val="3AB41D5B"/>
    <w:rsid w:val="3AB5C244"/>
    <w:rsid w:val="3ABA6242"/>
    <w:rsid w:val="3ABD8998"/>
    <w:rsid w:val="3ACBE73D"/>
    <w:rsid w:val="3ACFE6B0"/>
    <w:rsid w:val="3AD1DF28"/>
    <w:rsid w:val="3AD9A89E"/>
    <w:rsid w:val="3ADF1BC5"/>
    <w:rsid w:val="3ADF450A"/>
    <w:rsid w:val="3AE3E932"/>
    <w:rsid w:val="3AE96CC3"/>
    <w:rsid w:val="3AEBF318"/>
    <w:rsid w:val="3AEF99AD"/>
    <w:rsid w:val="3AF075D8"/>
    <w:rsid w:val="3AF6B9A6"/>
    <w:rsid w:val="3AF953EF"/>
    <w:rsid w:val="3AFE05FA"/>
    <w:rsid w:val="3AFF68C3"/>
    <w:rsid w:val="3B00F852"/>
    <w:rsid w:val="3B05A1E5"/>
    <w:rsid w:val="3B05D328"/>
    <w:rsid w:val="3B0961B2"/>
    <w:rsid w:val="3B11D74D"/>
    <w:rsid w:val="3B132F30"/>
    <w:rsid w:val="3B157DD7"/>
    <w:rsid w:val="3B1853F0"/>
    <w:rsid w:val="3B1BC5D8"/>
    <w:rsid w:val="3B1BFFCD"/>
    <w:rsid w:val="3B216CA7"/>
    <w:rsid w:val="3B28BD08"/>
    <w:rsid w:val="3B28C6A3"/>
    <w:rsid w:val="3B2A3C6E"/>
    <w:rsid w:val="3B2A8642"/>
    <w:rsid w:val="3B2AF170"/>
    <w:rsid w:val="3B30C420"/>
    <w:rsid w:val="3B348E3C"/>
    <w:rsid w:val="3B3D2EB1"/>
    <w:rsid w:val="3B3DF262"/>
    <w:rsid w:val="3B40750C"/>
    <w:rsid w:val="3B46F2FA"/>
    <w:rsid w:val="3B4C2170"/>
    <w:rsid w:val="3B4E93E3"/>
    <w:rsid w:val="3B50B0C3"/>
    <w:rsid w:val="3B55AE1B"/>
    <w:rsid w:val="3B57F94E"/>
    <w:rsid w:val="3B606BAA"/>
    <w:rsid w:val="3B643F98"/>
    <w:rsid w:val="3B683A88"/>
    <w:rsid w:val="3B70F3E0"/>
    <w:rsid w:val="3B71B57B"/>
    <w:rsid w:val="3B76248E"/>
    <w:rsid w:val="3B77E87E"/>
    <w:rsid w:val="3B79AFF9"/>
    <w:rsid w:val="3B7A0E93"/>
    <w:rsid w:val="3B81C80E"/>
    <w:rsid w:val="3B848A1F"/>
    <w:rsid w:val="3B8A5A17"/>
    <w:rsid w:val="3B906082"/>
    <w:rsid w:val="3B93E017"/>
    <w:rsid w:val="3B95C645"/>
    <w:rsid w:val="3B9E3C61"/>
    <w:rsid w:val="3BA0BA52"/>
    <w:rsid w:val="3BBB84EC"/>
    <w:rsid w:val="3BBD644A"/>
    <w:rsid w:val="3BBE1E01"/>
    <w:rsid w:val="3BC14794"/>
    <w:rsid w:val="3BC9D850"/>
    <w:rsid w:val="3BCB6996"/>
    <w:rsid w:val="3BCBEA48"/>
    <w:rsid w:val="3BD3FC0B"/>
    <w:rsid w:val="3BD44EE4"/>
    <w:rsid w:val="3BD8A580"/>
    <w:rsid w:val="3BDA8EF4"/>
    <w:rsid w:val="3BDB3F50"/>
    <w:rsid w:val="3BE3FA30"/>
    <w:rsid w:val="3BE7FE6F"/>
    <w:rsid w:val="3BED1B11"/>
    <w:rsid w:val="3BF31991"/>
    <w:rsid w:val="3BF52C70"/>
    <w:rsid w:val="3BF71113"/>
    <w:rsid w:val="3BFB22FB"/>
    <w:rsid w:val="3BFB34D1"/>
    <w:rsid w:val="3BFF4A4B"/>
    <w:rsid w:val="3C042958"/>
    <w:rsid w:val="3C06C43F"/>
    <w:rsid w:val="3C07F615"/>
    <w:rsid w:val="3C0BE205"/>
    <w:rsid w:val="3C0C55EB"/>
    <w:rsid w:val="3C1307C1"/>
    <w:rsid w:val="3C1570AD"/>
    <w:rsid w:val="3C17D17C"/>
    <w:rsid w:val="3C1A4660"/>
    <w:rsid w:val="3C1F9C31"/>
    <w:rsid w:val="3C204137"/>
    <w:rsid w:val="3C216901"/>
    <w:rsid w:val="3C24DEE3"/>
    <w:rsid w:val="3C26EAA1"/>
    <w:rsid w:val="3C2962A2"/>
    <w:rsid w:val="3C2C14E2"/>
    <w:rsid w:val="3C34B00E"/>
    <w:rsid w:val="3C34F809"/>
    <w:rsid w:val="3C3D841B"/>
    <w:rsid w:val="3C3EC06E"/>
    <w:rsid w:val="3C4361CA"/>
    <w:rsid w:val="3C49AD38"/>
    <w:rsid w:val="3C4A243B"/>
    <w:rsid w:val="3C4E0DF4"/>
    <w:rsid w:val="3C4EFE32"/>
    <w:rsid w:val="3C5A6BD0"/>
    <w:rsid w:val="3C680E57"/>
    <w:rsid w:val="3C85BB3A"/>
    <w:rsid w:val="3C8C7BCC"/>
    <w:rsid w:val="3C910CA3"/>
    <w:rsid w:val="3CA1D883"/>
    <w:rsid w:val="3CA2D695"/>
    <w:rsid w:val="3CA4F0BE"/>
    <w:rsid w:val="3CA5F6ED"/>
    <w:rsid w:val="3CA6FD67"/>
    <w:rsid w:val="3CA88118"/>
    <w:rsid w:val="3CA95EBA"/>
    <w:rsid w:val="3CAFEC83"/>
    <w:rsid w:val="3CBAFCDC"/>
    <w:rsid w:val="3CBDE4F9"/>
    <w:rsid w:val="3CC18BC6"/>
    <w:rsid w:val="3CC2477B"/>
    <w:rsid w:val="3CC5132B"/>
    <w:rsid w:val="3CD08BA8"/>
    <w:rsid w:val="3CD0C121"/>
    <w:rsid w:val="3CD147DD"/>
    <w:rsid w:val="3CD37FE7"/>
    <w:rsid w:val="3CD3830D"/>
    <w:rsid w:val="3CD4AC2E"/>
    <w:rsid w:val="3CD76910"/>
    <w:rsid w:val="3CDA27F3"/>
    <w:rsid w:val="3CDEEFE5"/>
    <w:rsid w:val="3CDFDB7A"/>
    <w:rsid w:val="3CE018AC"/>
    <w:rsid w:val="3CE05CC5"/>
    <w:rsid w:val="3CE82F03"/>
    <w:rsid w:val="3CEB0F4B"/>
    <w:rsid w:val="3CEB3C8C"/>
    <w:rsid w:val="3CF00D99"/>
    <w:rsid w:val="3CF803B8"/>
    <w:rsid w:val="3CF98687"/>
    <w:rsid w:val="3CFD7EDC"/>
    <w:rsid w:val="3D078D4F"/>
    <w:rsid w:val="3D07CFE1"/>
    <w:rsid w:val="3D09925E"/>
    <w:rsid w:val="3D0C88AF"/>
    <w:rsid w:val="3D0DEA63"/>
    <w:rsid w:val="3D10D6AE"/>
    <w:rsid w:val="3D18BF0C"/>
    <w:rsid w:val="3D1F3BDF"/>
    <w:rsid w:val="3D29C720"/>
    <w:rsid w:val="3D34E4F5"/>
    <w:rsid w:val="3D356EA4"/>
    <w:rsid w:val="3D39E1A7"/>
    <w:rsid w:val="3D3F2950"/>
    <w:rsid w:val="3D44F411"/>
    <w:rsid w:val="3D4751D0"/>
    <w:rsid w:val="3D4A2953"/>
    <w:rsid w:val="3D4BE293"/>
    <w:rsid w:val="3D51CB2F"/>
    <w:rsid w:val="3D54896D"/>
    <w:rsid w:val="3D556DC1"/>
    <w:rsid w:val="3D590878"/>
    <w:rsid w:val="3D5EAC1F"/>
    <w:rsid w:val="3D62DFB7"/>
    <w:rsid w:val="3D632081"/>
    <w:rsid w:val="3D6899F8"/>
    <w:rsid w:val="3D6B1E34"/>
    <w:rsid w:val="3D70894E"/>
    <w:rsid w:val="3D71FA3C"/>
    <w:rsid w:val="3D7B7B39"/>
    <w:rsid w:val="3D7BA2FD"/>
    <w:rsid w:val="3D7EBCB6"/>
    <w:rsid w:val="3D8473F8"/>
    <w:rsid w:val="3D89254C"/>
    <w:rsid w:val="3D893FB3"/>
    <w:rsid w:val="3D89A061"/>
    <w:rsid w:val="3D8B33D8"/>
    <w:rsid w:val="3D964F3A"/>
    <w:rsid w:val="3D981B80"/>
    <w:rsid w:val="3D99A439"/>
    <w:rsid w:val="3D9A2790"/>
    <w:rsid w:val="3D9F54F7"/>
    <w:rsid w:val="3DA2C12E"/>
    <w:rsid w:val="3DA34CED"/>
    <w:rsid w:val="3DA5175B"/>
    <w:rsid w:val="3DB1478E"/>
    <w:rsid w:val="3DBE475F"/>
    <w:rsid w:val="3DBF3296"/>
    <w:rsid w:val="3DBFCDEA"/>
    <w:rsid w:val="3DCAA81A"/>
    <w:rsid w:val="3DD3447D"/>
    <w:rsid w:val="3DE2627B"/>
    <w:rsid w:val="3DE5B19A"/>
    <w:rsid w:val="3DEA6E93"/>
    <w:rsid w:val="3DEB7319"/>
    <w:rsid w:val="3DEF7897"/>
    <w:rsid w:val="3DF553AD"/>
    <w:rsid w:val="3DF59E5A"/>
    <w:rsid w:val="3E03C457"/>
    <w:rsid w:val="3E0CB98E"/>
    <w:rsid w:val="3E1587B1"/>
    <w:rsid w:val="3E20788B"/>
    <w:rsid w:val="3E21978A"/>
    <w:rsid w:val="3E2313F9"/>
    <w:rsid w:val="3E2645A2"/>
    <w:rsid w:val="3E26710B"/>
    <w:rsid w:val="3E2C8E83"/>
    <w:rsid w:val="3E3264A5"/>
    <w:rsid w:val="3E3659D5"/>
    <w:rsid w:val="3E3710D2"/>
    <w:rsid w:val="3E3789CF"/>
    <w:rsid w:val="3E3BD3A9"/>
    <w:rsid w:val="3E3DB919"/>
    <w:rsid w:val="3E3FDC94"/>
    <w:rsid w:val="3E4100DE"/>
    <w:rsid w:val="3E435EBB"/>
    <w:rsid w:val="3E496916"/>
    <w:rsid w:val="3E54D220"/>
    <w:rsid w:val="3E56B901"/>
    <w:rsid w:val="3E6408E2"/>
    <w:rsid w:val="3E65219B"/>
    <w:rsid w:val="3E6AF7A1"/>
    <w:rsid w:val="3E7A79D7"/>
    <w:rsid w:val="3E7BA1B2"/>
    <w:rsid w:val="3E7E15EC"/>
    <w:rsid w:val="3E7F16A2"/>
    <w:rsid w:val="3E82E3C0"/>
    <w:rsid w:val="3E8450C4"/>
    <w:rsid w:val="3E8454AE"/>
    <w:rsid w:val="3E86C4BE"/>
    <w:rsid w:val="3E8E0F04"/>
    <w:rsid w:val="3E91CE20"/>
    <w:rsid w:val="3E91F335"/>
    <w:rsid w:val="3E984C32"/>
    <w:rsid w:val="3E9A34D1"/>
    <w:rsid w:val="3EA35C9F"/>
    <w:rsid w:val="3EA9C068"/>
    <w:rsid w:val="3EAD5B05"/>
    <w:rsid w:val="3EB2DE59"/>
    <w:rsid w:val="3EBBEED9"/>
    <w:rsid w:val="3EBDD4D4"/>
    <w:rsid w:val="3EBFA90D"/>
    <w:rsid w:val="3EC23C5F"/>
    <w:rsid w:val="3EC5D07E"/>
    <w:rsid w:val="3EC7BCA2"/>
    <w:rsid w:val="3EC7E1EA"/>
    <w:rsid w:val="3EC9492F"/>
    <w:rsid w:val="3ECD3A75"/>
    <w:rsid w:val="3ED7F943"/>
    <w:rsid w:val="3EDEE0E7"/>
    <w:rsid w:val="3EE51244"/>
    <w:rsid w:val="3EF3AC34"/>
    <w:rsid w:val="3EF7332B"/>
    <w:rsid w:val="3EF7A857"/>
    <w:rsid w:val="3EFA33D0"/>
    <w:rsid w:val="3F032350"/>
    <w:rsid w:val="3F033E05"/>
    <w:rsid w:val="3F06CE22"/>
    <w:rsid w:val="3F097B04"/>
    <w:rsid w:val="3F0A321B"/>
    <w:rsid w:val="3F103C9A"/>
    <w:rsid w:val="3F1209B3"/>
    <w:rsid w:val="3F12A954"/>
    <w:rsid w:val="3F14B51B"/>
    <w:rsid w:val="3F1D5873"/>
    <w:rsid w:val="3F222B62"/>
    <w:rsid w:val="3F275147"/>
    <w:rsid w:val="3F31632E"/>
    <w:rsid w:val="3F34FACD"/>
    <w:rsid w:val="3F45000D"/>
    <w:rsid w:val="3F460ED0"/>
    <w:rsid w:val="3F480560"/>
    <w:rsid w:val="3F4B0ECF"/>
    <w:rsid w:val="3F55ECCC"/>
    <w:rsid w:val="3F5CB207"/>
    <w:rsid w:val="3F5DDB41"/>
    <w:rsid w:val="3F696708"/>
    <w:rsid w:val="3F6E0C46"/>
    <w:rsid w:val="3F6E39A0"/>
    <w:rsid w:val="3F71ADD8"/>
    <w:rsid w:val="3F751F25"/>
    <w:rsid w:val="3F75CECE"/>
    <w:rsid w:val="3F7BA988"/>
    <w:rsid w:val="3F843301"/>
    <w:rsid w:val="3F8FC6BA"/>
    <w:rsid w:val="3F997AC3"/>
    <w:rsid w:val="3F997B0E"/>
    <w:rsid w:val="3FAC0398"/>
    <w:rsid w:val="3FAE2B03"/>
    <w:rsid w:val="3FB96DD2"/>
    <w:rsid w:val="3FBDC8C8"/>
    <w:rsid w:val="3FC93C46"/>
    <w:rsid w:val="3FCA5C49"/>
    <w:rsid w:val="3FCADCB7"/>
    <w:rsid w:val="3FCBA47A"/>
    <w:rsid w:val="3FCD2EDB"/>
    <w:rsid w:val="3FD19FD3"/>
    <w:rsid w:val="3FD1B677"/>
    <w:rsid w:val="3FD66E1D"/>
    <w:rsid w:val="3FD82F56"/>
    <w:rsid w:val="3FDA195A"/>
    <w:rsid w:val="3FDB44B4"/>
    <w:rsid w:val="3FE41492"/>
    <w:rsid w:val="3FE6409E"/>
    <w:rsid w:val="3FE99AB9"/>
    <w:rsid w:val="3FE9E862"/>
    <w:rsid w:val="3FEC255F"/>
    <w:rsid w:val="3FF0D6A3"/>
    <w:rsid w:val="3FF90BEE"/>
    <w:rsid w:val="3FFC80B9"/>
    <w:rsid w:val="3FFEB81E"/>
    <w:rsid w:val="3FFED598"/>
    <w:rsid w:val="4000C598"/>
    <w:rsid w:val="4004E368"/>
    <w:rsid w:val="40054910"/>
    <w:rsid w:val="4008FA36"/>
    <w:rsid w:val="4009E219"/>
    <w:rsid w:val="400FAF2A"/>
    <w:rsid w:val="40174B3B"/>
    <w:rsid w:val="40181261"/>
    <w:rsid w:val="40196CBE"/>
    <w:rsid w:val="401E31C6"/>
    <w:rsid w:val="4024A433"/>
    <w:rsid w:val="40283317"/>
    <w:rsid w:val="402C0F43"/>
    <w:rsid w:val="402D7B83"/>
    <w:rsid w:val="402F3E06"/>
    <w:rsid w:val="403D99E9"/>
    <w:rsid w:val="403F22B7"/>
    <w:rsid w:val="403F6BA4"/>
    <w:rsid w:val="40434062"/>
    <w:rsid w:val="4045068D"/>
    <w:rsid w:val="40530CFE"/>
    <w:rsid w:val="4058A6CE"/>
    <w:rsid w:val="405F4CB6"/>
    <w:rsid w:val="4066A674"/>
    <w:rsid w:val="406A3E72"/>
    <w:rsid w:val="406E6898"/>
    <w:rsid w:val="406FEE6D"/>
    <w:rsid w:val="4074D7FE"/>
    <w:rsid w:val="40771269"/>
    <w:rsid w:val="40821189"/>
    <w:rsid w:val="4087C90C"/>
    <w:rsid w:val="408BB9F9"/>
    <w:rsid w:val="40914764"/>
    <w:rsid w:val="409CB6B6"/>
    <w:rsid w:val="409E09D8"/>
    <w:rsid w:val="40A5D703"/>
    <w:rsid w:val="40A941CF"/>
    <w:rsid w:val="40AF294E"/>
    <w:rsid w:val="40B305D4"/>
    <w:rsid w:val="40B321EC"/>
    <w:rsid w:val="40BA821F"/>
    <w:rsid w:val="40BBE5ED"/>
    <w:rsid w:val="40BC27DD"/>
    <w:rsid w:val="40BEDA49"/>
    <w:rsid w:val="40C28C52"/>
    <w:rsid w:val="40CD1E61"/>
    <w:rsid w:val="40D6A2C2"/>
    <w:rsid w:val="40DF0460"/>
    <w:rsid w:val="40E0F63F"/>
    <w:rsid w:val="40E24DC6"/>
    <w:rsid w:val="40E54261"/>
    <w:rsid w:val="40EF29F4"/>
    <w:rsid w:val="40F42403"/>
    <w:rsid w:val="40FABC40"/>
    <w:rsid w:val="40FE3375"/>
    <w:rsid w:val="41023EA2"/>
    <w:rsid w:val="4106997D"/>
    <w:rsid w:val="410854B9"/>
    <w:rsid w:val="410BB882"/>
    <w:rsid w:val="410EB2BC"/>
    <w:rsid w:val="4112B538"/>
    <w:rsid w:val="4115D628"/>
    <w:rsid w:val="4139739E"/>
    <w:rsid w:val="413B633B"/>
    <w:rsid w:val="413C49A3"/>
    <w:rsid w:val="413DAC4B"/>
    <w:rsid w:val="414889A1"/>
    <w:rsid w:val="4149DCED"/>
    <w:rsid w:val="414B2547"/>
    <w:rsid w:val="414FC159"/>
    <w:rsid w:val="415D215D"/>
    <w:rsid w:val="415FE98D"/>
    <w:rsid w:val="4166DCF6"/>
    <w:rsid w:val="416B4AF6"/>
    <w:rsid w:val="416D20BF"/>
    <w:rsid w:val="41723C6B"/>
    <w:rsid w:val="41793C34"/>
    <w:rsid w:val="4181CB08"/>
    <w:rsid w:val="41848694"/>
    <w:rsid w:val="41852C6E"/>
    <w:rsid w:val="418694EE"/>
    <w:rsid w:val="41889163"/>
    <w:rsid w:val="418FB62B"/>
    <w:rsid w:val="419305E2"/>
    <w:rsid w:val="4195A350"/>
    <w:rsid w:val="4197DA5B"/>
    <w:rsid w:val="419ABFAB"/>
    <w:rsid w:val="419C0A21"/>
    <w:rsid w:val="419D2AB2"/>
    <w:rsid w:val="419D6687"/>
    <w:rsid w:val="419E7C06"/>
    <w:rsid w:val="41A10CC3"/>
    <w:rsid w:val="41A1851A"/>
    <w:rsid w:val="41A73D76"/>
    <w:rsid w:val="41A9D9F5"/>
    <w:rsid w:val="41AAF4F9"/>
    <w:rsid w:val="41ACC289"/>
    <w:rsid w:val="41AE08DA"/>
    <w:rsid w:val="41B59637"/>
    <w:rsid w:val="41B7B7FC"/>
    <w:rsid w:val="41B9F825"/>
    <w:rsid w:val="41BCE744"/>
    <w:rsid w:val="41BCED31"/>
    <w:rsid w:val="41C3064F"/>
    <w:rsid w:val="41C64260"/>
    <w:rsid w:val="41CB1D70"/>
    <w:rsid w:val="41CF0E34"/>
    <w:rsid w:val="41E26C17"/>
    <w:rsid w:val="41EBB572"/>
    <w:rsid w:val="41F8C839"/>
    <w:rsid w:val="41FE71E7"/>
    <w:rsid w:val="420AA65C"/>
    <w:rsid w:val="420B5855"/>
    <w:rsid w:val="420EAF58"/>
    <w:rsid w:val="421062DB"/>
    <w:rsid w:val="4211DFE1"/>
    <w:rsid w:val="42120E47"/>
    <w:rsid w:val="421392B0"/>
    <w:rsid w:val="4217FD73"/>
    <w:rsid w:val="42201809"/>
    <w:rsid w:val="4230B682"/>
    <w:rsid w:val="423294D1"/>
    <w:rsid w:val="423475A5"/>
    <w:rsid w:val="4237D1D7"/>
    <w:rsid w:val="42398336"/>
    <w:rsid w:val="423A649E"/>
    <w:rsid w:val="423E79E1"/>
    <w:rsid w:val="42434FF1"/>
    <w:rsid w:val="424B6E47"/>
    <w:rsid w:val="424C9AB9"/>
    <w:rsid w:val="425414DF"/>
    <w:rsid w:val="425BC646"/>
    <w:rsid w:val="425DBD46"/>
    <w:rsid w:val="425E3EC9"/>
    <w:rsid w:val="4260D92F"/>
    <w:rsid w:val="4264D6AE"/>
    <w:rsid w:val="42692030"/>
    <w:rsid w:val="4270DB27"/>
    <w:rsid w:val="4271572B"/>
    <w:rsid w:val="4274A302"/>
    <w:rsid w:val="42754991"/>
    <w:rsid w:val="427837F5"/>
    <w:rsid w:val="427AFBD3"/>
    <w:rsid w:val="427B57F6"/>
    <w:rsid w:val="4287B1C5"/>
    <w:rsid w:val="428B2536"/>
    <w:rsid w:val="4295DA07"/>
    <w:rsid w:val="42A01063"/>
    <w:rsid w:val="42A510A1"/>
    <w:rsid w:val="42AA1DC1"/>
    <w:rsid w:val="42AB1C20"/>
    <w:rsid w:val="42AC2D2E"/>
    <w:rsid w:val="42AD2C75"/>
    <w:rsid w:val="42B13529"/>
    <w:rsid w:val="42B1D38F"/>
    <w:rsid w:val="42B4E0F4"/>
    <w:rsid w:val="42BB4E01"/>
    <w:rsid w:val="42BBB595"/>
    <w:rsid w:val="42BC1C1A"/>
    <w:rsid w:val="42BE197C"/>
    <w:rsid w:val="42C64BAC"/>
    <w:rsid w:val="42CD82BE"/>
    <w:rsid w:val="42CFD463"/>
    <w:rsid w:val="42D0939B"/>
    <w:rsid w:val="42D40416"/>
    <w:rsid w:val="42D53063"/>
    <w:rsid w:val="42E1132E"/>
    <w:rsid w:val="42E25443"/>
    <w:rsid w:val="42E30A89"/>
    <w:rsid w:val="42E4F613"/>
    <w:rsid w:val="42E7FD86"/>
    <w:rsid w:val="42F82BC3"/>
    <w:rsid w:val="42FDE8C4"/>
    <w:rsid w:val="42FE16ED"/>
    <w:rsid w:val="42FEC54E"/>
    <w:rsid w:val="43044413"/>
    <w:rsid w:val="430D3156"/>
    <w:rsid w:val="430E19B9"/>
    <w:rsid w:val="43159232"/>
    <w:rsid w:val="4316D641"/>
    <w:rsid w:val="4317D45D"/>
    <w:rsid w:val="431D9CA6"/>
    <w:rsid w:val="431E4CD8"/>
    <w:rsid w:val="431E86A3"/>
    <w:rsid w:val="431F6795"/>
    <w:rsid w:val="43239B10"/>
    <w:rsid w:val="43276AC8"/>
    <w:rsid w:val="432C9EA8"/>
    <w:rsid w:val="4336536D"/>
    <w:rsid w:val="433732BA"/>
    <w:rsid w:val="434B9AA9"/>
    <w:rsid w:val="434FD05E"/>
    <w:rsid w:val="435DA3A4"/>
    <w:rsid w:val="435F63D7"/>
    <w:rsid w:val="43630EBE"/>
    <w:rsid w:val="4368C667"/>
    <w:rsid w:val="436A85B2"/>
    <w:rsid w:val="437A24FC"/>
    <w:rsid w:val="437BEA89"/>
    <w:rsid w:val="4384375E"/>
    <w:rsid w:val="4386315D"/>
    <w:rsid w:val="43875FB1"/>
    <w:rsid w:val="438C5C01"/>
    <w:rsid w:val="439630E0"/>
    <w:rsid w:val="439D51A7"/>
    <w:rsid w:val="439F8CDB"/>
    <w:rsid w:val="43AA1348"/>
    <w:rsid w:val="43AC354D"/>
    <w:rsid w:val="43AC8218"/>
    <w:rsid w:val="43B13C21"/>
    <w:rsid w:val="43B14673"/>
    <w:rsid w:val="43B15D48"/>
    <w:rsid w:val="43B55637"/>
    <w:rsid w:val="43B5790C"/>
    <w:rsid w:val="43B99218"/>
    <w:rsid w:val="43BBC5FA"/>
    <w:rsid w:val="43C012E4"/>
    <w:rsid w:val="43C73543"/>
    <w:rsid w:val="43CB5DC5"/>
    <w:rsid w:val="43CC40C9"/>
    <w:rsid w:val="43D7AEF1"/>
    <w:rsid w:val="43D8DB00"/>
    <w:rsid w:val="43DD6426"/>
    <w:rsid w:val="43DFB19E"/>
    <w:rsid w:val="43DFCC75"/>
    <w:rsid w:val="43E779DF"/>
    <w:rsid w:val="43E79CD1"/>
    <w:rsid w:val="43EB2753"/>
    <w:rsid w:val="43EC9A52"/>
    <w:rsid w:val="43F56041"/>
    <w:rsid w:val="43FDEAA3"/>
    <w:rsid w:val="440357D9"/>
    <w:rsid w:val="44036EFD"/>
    <w:rsid w:val="4403A1C4"/>
    <w:rsid w:val="4407EDB2"/>
    <w:rsid w:val="44097E9D"/>
    <w:rsid w:val="4423B35C"/>
    <w:rsid w:val="44253F69"/>
    <w:rsid w:val="44254BB6"/>
    <w:rsid w:val="4425FD1F"/>
    <w:rsid w:val="442A1F34"/>
    <w:rsid w:val="44307590"/>
    <w:rsid w:val="44323E72"/>
    <w:rsid w:val="4437E6DE"/>
    <w:rsid w:val="443CBBAF"/>
    <w:rsid w:val="443E47CE"/>
    <w:rsid w:val="4443ABA9"/>
    <w:rsid w:val="444F720D"/>
    <w:rsid w:val="44546C69"/>
    <w:rsid w:val="445878A2"/>
    <w:rsid w:val="44643A95"/>
    <w:rsid w:val="4467B5F9"/>
    <w:rsid w:val="446D2312"/>
    <w:rsid w:val="446DA841"/>
    <w:rsid w:val="4471D8AA"/>
    <w:rsid w:val="44766886"/>
    <w:rsid w:val="44778B09"/>
    <w:rsid w:val="44829433"/>
    <w:rsid w:val="4483414B"/>
    <w:rsid w:val="4486B04E"/>
    <w:rsid w:val="44944B5C"/>
    <w:rsid w:val="44A06C95"/>
    <w:rsid w:val="44AAFD0C"/>
    <w:rsid w:val="44ADB882"/>
    <w:rsid w:val="44B5B15B"/>
    <w:rsid w:val="44B7FEFC"/>
    <w:rsid w:val="44B87AAE"/>
    <w:rsid w:val="44BD88AE"/>
    <w:rsid w:val="44BDF6EB"/>
    <w:rsid w:val="44C0E628"/>
    <w:rsid w:val="44C169C7"/>
    <w:rsid w:val="44C65B5B"/>
    <w:rsid w:val="44D1B60B"/>
    <w:rsid w:val="44D46905"/>
    <w:rsid w:val="44D76CFC"/>
    <w:rsid w:val="44DBCD0D"/>
    <w:rsid w:val="44DC40EA"/>
    <w:rsid w:val="44E01DD4"/>
    <w:rsid w:val="44E1448B"/>
    <w:rsid w:val="44E48CF2"/>
    <w:rsid w:val="44E5E70D"/>
    <w:rsid w:val="44E65020"/>
    <w:rsid w:val="44E7B469"/>
    <w:rsid w:val="44F05806"/>
    <w:rsid w:val="44F4590A"/>
    <w:rsid w:val="44F4E593"/>
    <w:rsid w:val="45012298"/>
    <w:rsid w:val="45050BBC"/>
    <w:rsid w:val="450A9C80"/>
    <w:rsid w:val="450AF33D"/>
    <w:rsid w:val="450B4983"/>
    <w:rsid w:val="4513A113"/>
    <w:rsid w:val="4513DA9C"/>
    <w:rsid w:val="4518BE06"/>
    <w:rsid w:val="451D67B9"/>
    <w:rsid w:val="451F44F9"/>
    <w:rsid w:val="452010C0"/>
    <w:rsid w:val="4521F668"/>
    <w:rsid w:val="452B619F"/>
    <w:rsid w:val="4532FBEF"/>
    <w:rsid w:val="45371AF0"/>
    <w:rsid w:val="453759A9"/>
    <w:rsid w:val="4541E05D"/>
    <w:rsid w:val="45472BF0"/>
    <w:rsid w:val="454AD8DC"/>
    <w:rsid w:val="454AE856"/>
    <w:rsid w:val="454E20C9"/>
    <w:rsid w:val="454ECBD1"/>
    <w:rsid w:val="45560D0E"/>
    <w:rsid w:val="4558E8DF"/>
    <w:rsid w:val="45591667"/>
    <w:rsid w:val="45591CBA"/>
    <w:rsid w:val="4559B46D"/>
    <w:rsid w:val="45649556"/>
    <w:rsid w:val="456B59FC"/>
    <w:rsid w:val="456CAFBA"/>
    <w:rsid w:val="456CFB73"/>
    <w:rsid w:val="456DC34E"/>
    <w:rsid w:val="4575D3D6"/>
    <w:rsid w:val="45802A5D"/>
    <w:rsid w:val="458289E6"/>
    <w:rsid w:val="4587E8C3"/>
    <w:rsid w:val="4589231B"/>
    <w:rsid w:val="4589910C"/>
    <w:rsid w:val="458C4FE2"/>
    <w:rsid w:val="4590A3F5"/>
    <w:rsid w:val="45958314"/>
    <w:rsid w:val="4598F405"/>
    <w:rsid w:val="45993F7F"/>
    <w:rsid w:val="459A0C26"/>
    <w:rsid w:val="45A21360"/>
    <w:rsid w:val="45AC12BF"/>
    <w:rsid w:val="45AE06E7"/>
    <w:rsid w:val="45B2618B"/>
    <w:rsid w:val="45BC1004"/>
    <w:rsid w:val="45BD19C6"/>
    <w:rsid w:val="45C50DDF"/>
    <w:rsid w:val="45C56583"/>
    <w:rsid w:val="45C7B7D1"/>
    <w:rsid w:val="45C8F9F7"/>
    <w:rsid w:val="45CA177F"/>
    <w:rsid w:val="45CF04B5"/>
    <w:rsid w:val="45D54C18"/>
    <w:rsid w:val="45D5EB50"/>
    <w:rsid w:val="45D799B3"/>
    <w:rsid w:val="45E3A5FB"/>
    <w:rsid w:val="45E5D488"/>
    <w:rsid w:val="45E7C4A6"/>
    <w:rsid w:val="45E7CA4A"/>
    <w:rsid w:val="45E85244"/>
    <w:rsid w:val="45F63B6F"/>
    <w:rsid w:val="45FBD0AF"/>
    <w:rsid w:val="45FC738E"/>
    <w:rsid w:val="46068F49"/>
    <w:rsid w:val="46078498"/>
    <w:rsid w:val="460848A7"/>
    <w:rsid w:val="4608839F"/>
    <w:rsid w:val="4609AE6F"/>
    <w:rsid w:val="460A0BF8"/>
    <w:rsid w:val="4610945E"/>
    <w:rsid w:val="461AD517"/>
    <w:rsid w:val="461BC4D5"/>
    <w:rsid w:val="462547D4"/>
    <w:rsid w:val="462947D9"/>
    <w:rsid w:val="462A932E"/>
    <w:rsid w:val="462FC816"/>
    <w:rsid w:val="463046A5"/>
    <w:rsid w:val="46306D66"/>
    <w:rsid w:val="4632D384"/>
    <w:rsid w:val="4637DEC8"/>
    <w:rsid w:val="46397278"/>
    <w:rsid w:val="463DE177"/>
    <w:rsid w:val="463E1ACD"/>
    <w:rsid w:val="463E3594"/>
    <w:rsid w:val="463E4E25"/>
    <w:rsid w:val="463E66A3"/>
    <w:rsid w:val="463F7248"/>
    <w:rsid w:val="4641AE97"/>
    <w:rsid w:val="464378E7"/>
    <w:rsid w:val="464745CB"/>
    <w:rsid w:val="464D3887"/>
    <w:rsid w:val="465014E2"/>
    <w:rsid w:val="465086A4"/>
    <w:rsid w:val="4652965E"/>
    <w:rsid w:val="465F6B0F"/>
    <w:rsid w:val="4665966D"/>
    <w:rsid w:val="466B2245"/>
    <w:rsid w:val="466F166A"/>
    <w:rsid w:val="46756F0A"/>
    <w:rsid w:val="467700B6"/>
    <w:rsid w:val="46780AE1"/>
    <w:rsid w:val="467A2E6A"/>
    <w:rsid w:val="467FCD67"/>
    <w:rsid w:val="4682829D"/>
    <w:rsid w:val="468A2F4B"/>
    <w:rsid w:val="468ACCDD"/>
    <w:rsid w:val="468E2480"/>
    <w:rsid w:val="4691D929"/>
    <w:rsid w:val="469201B6"/>
    <w:rsid w:val="46936881"/>
    <w:rsid w:val="46990276"/>
    <w:rsid w:val="469B88DE"/>
    <w:rsid w:val="46ABB594"/>
    <w:rsid w:val="46BA2F65"/>
    <w:rsid w:val="46C1CE61"/>
    <w:rsid w:val="46D13FD7"/>
    <w:rsid w:val="46D96135"/>
    <w:rsid w:val="46DE6987"/>
    <w:rsid w:val="46E8368D"/>
    <w:rsid w:val="46EC1B3E"/>
    <w:rsid w:val="46ED1E1E"/>
    <w:rsid w:val="46EE153F"/>
    <w:rsid w:val="46F06CFD"/>
    <w:rsid w:val="46F590AD"/>
    <w:rsid w:val="46F6E820"/>
    <w:rsid w:val="470322CB"/>
    <w:rsid w:val="4704B870"/>
    <w:rsid w:val="47062E18"/>
    <w:rsid w:val="471CF14C"/>
    <w:rsid w:val="472271FE"/>
    <w:rsid w:val="47234983"/>
    <w:rsid w:val="4723883E"/>
    <w:rsid w:val="4725BCB7"/>
    <w:rsid w:val="4725ECED"/>
    <w:rsid w:val="4728CAC8"/>
    <w:rsid w:val="472903B9"/>
    <w:rsid w:val="4729EC0C"/>
    <w:rsid w:val="472D3278"/>
    <w:rsid w:val="472DFA30"/>
    <w:rsid w:val="472E5C53"/>
    <w:rsid w:val="4731376A"/>
    <w:rsid w:val="4734E411"/>
    <w:rsid w:val="473DCB0F"/>
    <w:rsid w:val="4743209F"/>
    <w:rsid w:val="4749D00D"/>
    <w:rsid w:val="474AD48D"/>
    <w:rsid w:val="474D7389"/>
    <w:rsid w:val="474DCF53"/>
    <w:rsid w:val="475134D6"/>
    <w:rsid w:val="47522904"/>
    <w:rsid w:val="475DA9D6"/>
    <w:rsid w:val="476077A7"/>
    <w:rsid w:val="47718B73"/>
    <w:rsid w:val="4775CC49"/>
    <w:rsid w:val="477730A5"/>
    <w:rsid w:val="4778EF52"/>
    <w:rsid w:val="477EC2F4"/>
    <w:rsid w:val="478594A9"/>
    <w:rsid w:val="478AF23A"/>
    <w:rsid w:val="478BC6BD"/>
    <w:rsid w:val="478D0F43"/>
    <w:rsid w:val="478E267C"/>
    <w:rsid w:val="478E508B"/>
    <w:rsid w:val="478FD58B"/>
    <w:rsid w:val="4796B1F5"/>
    <w:rsid w:val="47A1A8BE"/>
    <w:rsid w:val="47A5CD95"/>
    <w:rsid w:val="47A7B676"/>
    <w:rsid w:val="47B71DA1"/>
    <w:rsid w:val="47B9E68F"/>
    <w:rsid w:val="47BA6EA0"/>
    <w:rsid w:val="47BAF722"/>
    <w:rsid w:val="47BE25E2"/>
    <w:rsid w:val="47C492E6"/>
    <w:rsid w:val="47C4B79A"/>
    <w:rsid w:val="47CBE451"/>
    <w:rsid w:val="47CC43B0"/>
    <w:rsid w:val="47D12926"/>
    <w:rsid w:val="47D17659"/>
    <w:rsid w:val="47D57C15"/>
    <w:rsid w:val="47DF16B0"/>
    <w:rsid w:val="47E1A3C0"/>
    <w:rsid w:val="47E1E86F"/>
    <w:rsid w:val="47E3B0DE"/>
    <w:rsid w:val="47E3F33E"/>
    <w:rsid w:val="47E7E2F3"/>
    <w:rsid w:val="47EC3E36"/>
    <w:rsid w:val="47ECE74D"/>
    <w:rsid w:val="47F98437"/>
    <w:rsid w:val="47FCAFC8"/>
    <w:rsid w:val="4801AD31"/>
    <w:rsid w:val="480E6E0E"/>
    <w:rsid w:val="48114485"/>
    <w:rsid w:val="481178BB"/>
    <w:rsid w:val="48201DE3"/>
    <w:rsid w:val="482232E1"/>
    <w:rsid w:val="48257B4A"/>
    <w:rsid w:val="48265F2A"/>
    <w:rsid w:val="4831CDF5"/>
    <w:rsid w:val="483305C2"/>
    <w:rsid w:val="483494D8"/>
    <w:rsid w:val="4835B4FB"/>
    <w:rsid w:val="4837CE00"/>
    <w:rsid w:val="48386102"/>
    <w:rsid w:val="483AB6C8"/>
    <w:rsid w:val="4844CCF8"/>
    <w:rsid w:val="4848D670"/>
    <w:rsid w:val="484B4B54"/>
    <w:rsid w:val="4855A566"/>
    <w:rsid w:val="4855F796"/>
    <w:rsid w:val="4856F296"/>
    <w:rsid w:val="4858F0F9"/>
    <w:rsid w:val="485DC738"/>
    <w:rsid w:val="485FF37B"/>
    <w:rsid w:val="486646F5"/>
    <w:rsid w:val="486B821F"/>
    <w:rsid w:val="486FF0FC"/>
    <w:rsid w:val="48703F92"/>
    <w:rsid w:val="4870E9B8"/>
    <w:rsid w:val="4874B249"/>
    <w:rsid w:val="4875A3E7"/>
    <w:rsid w:val="4879A2F5"/>
    <w:rsid w:val="4883351E"/>
    <w:rsid w:val="4886976B"/>
    <w:rsid w:val="4889A68D"/>
    <w:rsid w:val="4889CC5E"/>
    <w:rsid w:val="488B0209"/>
    <w:rsid w:val="488D02CE"/>
    <w:rsid w:val="4890862B"/>
    <w:rsid w:val="4891EED4"/>
    <w:rsid w:val="48A0D7A5"/>
    <w:rsid w:val="48A522D4"/>
    <w:rsid w:val="48A8E32F"/>
    <w:rsid w:val="48ACC639"/>
    <w:rsid w:val="48ACD2B4"/>
    <w:rsid w:val="48B24632"/>
    <w:rsid w:val="48BBD22D"/>
    <w:rsid w:val="48BCA337"/>
    <w:rsid w:val="48C1750E"/>
    <w:rsid w:val="48C17E2A"/>
    <w:rsid w:val="48C59DA1"/>
    <w:rsid w:val="48C9ED58"/>
    <w:rsid w:val="48D9EE36"/>
    <w:rsid w:val="48DD1FAA"/>
    <w:rsid w:val="48DDF7BC"/>
    <w:rsid w:val="48DEBB1D"/>
    <w:rsid w:val="48E03151"/>
    <w:rsid w:val="48E42FB7"/>
    <w:rsid w:val="48EE433F"/>
    <w:rsid w:val="48FB0325"/>
    <w:rsid w:val="490015AE"/>
    <w:rsid w:val="490E69D0"/>
    <w:rsid w:val="4914E641"/>
    <w:rsid w:val="491A6A6C"/>
    <w:rsid w:val="4921FDEC"/>
    <w:rsid w:val="492A2C20"/>
    <w:rsid w:val="492D37F6"/>
    <w:rsid w:val="492F924F"/>
    <w:rsid w:val="492FC614"/>
    <w:rsid w:val="4930F1C3"/>
    <w:rsid w:val="4932F967"/>
    <w:rsid w:val="4937C48B"/>
    <w:rsid w:val="493852E3"/>
    <w:rsid w:val="493F7BD2"/>
    <w:rsid w:val="49467C99"/>
    <w:rsid w:val="4948811A"/>
    <w:rsid w:val="4949C205"/>
    <w:rsid w:val="494F8826"/>
    <w:rsid w:val="49513299"/>
    <w:rsid w:val="4952204C"/>
    <w:rsid w:val="4953F04E"/>
    <w:rsid w:val="495518C8"/>
    <w:rsid w:val="495B6663"/>
    <w:rsid w:val="4960BD60"/>
    <w:rsid w:val="49647E6F"/>
    <w:rsid w:val="496B622D"/>
    <w:rsid w:val="496BBE80"/>
    <w:rsid w:val="4972E72B"/>
    <w:rsid w:val="497365F1"/>
    <w:rsid w:val="4975B2E2"/>
    <w:rsid w:val="497AAC90"/>
    <w:rsid w:val="497B0549"/>
    <w:rsid w:val="4997EA98"/>
    <w:rsid w:val="499C317B"/>
    <w:rsid w:val="499D04E9"/>
    <w:rsid w:val="49A0717B"/>
    <w:rsid w:val="49AE9BF9"/>
    <w:rsid w:val="49B2E034"/>
    <w:rsid w:val="49B8A7B2"/>
    <w:rsid w:val="49BE35B3"/>
    <w:rsid w:val="49C11656"/>
    <w:rsid w:val="49C6650F"/>
    <w:rsid w:val="49C81FDA"/>
    <w:rsid w:val="49C8F1A7"/>
    <w:rsid w:val="49CAA1EF"/>
    <w:rsid w:val="49CC289B"/>
    <w:rsid w:val="49CCF965"/>
    <w:rsid w:val="49D98E60"/>
    <w:rsid w:val="49E0EF98"/>
    <w:rsid w:val="49E32106"/>
    <w:rsid w:val="49E5B144"/>
    <w:rsid w:val="49E65D97"/>
    <w:rsid w:val="49EA6702"/>
    <w:rsid w:val="49EBFAD2"/>
    <w:rsid w:val="49F36CB8"/>
    <w:rsid w:val="49F514C4"/>
    <w:rsid w:val="49F7F455"/>
    <w:rsid w:val="49F8DB3C"/>
    <w:rsid w:val="49F94DD8"/>
    <w:rsid w:val="49FAF243"/>
    <w:rsid w:val="49FC920F"/>
    <w:rsid w:val="49FDEB8E"/>
    <w:rsid w:val="4A019206"/>
    <w:rsid w:val="4A0AA288"/>
    <w:rsid w:val="4A0FBA0C"/>
    <w:rsid w:val="4A10C6D1"/>
    <w:rsid w:val="4A1A89C4"/>
    <w:rsid w:val="4A1AA946"/>
    <w:rsid w:val="4A1B7121"/>
    <w:rsid w:val="4A1BAA36"/>
    <w:rsid w:val="4A1E315A"/>
    <w:rsid w:val="4A205D79"/>
    <w:rsid w:val="4A21FAF5"/>
    <w:rsid w:val="4A25CE4A"/>
    <w:rsid w:val="4A27381C"/>
    <w:rsid w:val="4A2778AB"/>
    <w:rsid w:val="4A2B8475"/>
    <w:rsid w:val="4A2C5C48"/>
    <w:rsid w:val="4A2D4CB7"/>
    <w:rsid w:val="4A2FFC03"/>
    <w:rsid w:val="4A3CD286"/>
    <w:rsid w:val="4A3E092A"/>
    <w:rsid w:val="4A433DA2"/>
    <w:rsid w:val="4A4FE72C"/>
    <w:rsid w:val="4A57801B"/>
    <w:rsid w:val="4A5AC731"/>
    <w:rsid w:val="4A6196EB"/>
    <w:rsid w:val="4A620A90"/>
    <w:rsid w:val="4A686B83"/>
    <w:rsid w:val="4A6E7680"/>
    <w:rsid w:val="4A70E909"/>
    <w:rsid w:val="4A76D032"/>
    <w:rsid w:val="4A78112F"/>
    <w:rsid w:val="4A813294"/>
    <w:rsid w:val="4A8FE99B"/>
    <w:rsid w:val="4A9403EC"/>
    <w:rsid w:val="4A9E97E7"/>
    <w:rsid w:val="4AA07FC9"/>
    <w:rsid w:val="4AA19E91"/>
    <w:rsid w:val="4AAAF39D"/>
    <w:rsid w:val="4AAF761C"/>
    <w:rsid w:val="4AB18FDF"/>
    <w:rsid w:val="4AB8A4F8"/>
    <w:rsid w:val="4ABF1B4D"/>
    <w:rsid w:val="4AC772F3"/>
    <w:rsid w:val="4AC9DCF3"/>
    <w:rsid w:val="4ACBE1E9"/>
    <w:rsid w:val="4AD27C31"/>
    <w:rsid w:val="4AD3ACFC"/>
    <w:rsid w:val="4AD42AA7"/>
    <w:rsid w:val="4AD4C0B1"/>
    <w:rsid w:val="4ADA7C62"/>
    <w:rsid w:val="4ADB009F"/>
    <w:rsid w:val="4AE68370"/>
    <w:rsid w:val="4AEA1BDE"/>
    <w:rsid w:val="4AEB1DB5"/>
    <w:rsid w:val="4AF04D74"/>
    <w:rsid w:val="4AFA8CA1"/>
    <w:rsid w:val="4AFB71DD"/>
    <w:rsid w:val="4AFCB850"/>
    <w:rsid w:val="4B0214C8"/>
    <w:rsid w:val="4B069A36"/>
    <w:rsid w:val="4B0B8DA9"/>
    <w:rsid w:val="4B0C890F"/>
    <w:rsid w:val="4B0E21E9"/>
    <w:rsid w:val="4B0F98A1"/>
    <w:rsid w:val="4B11402B"/>
    <w:rsid w:val="4B17A397"/>
    <w:rsid w:val="4B18A226"/>
    <w:rsid w:val="4B1E0325"/>
    <w:rsid w:val="4B1E092A"/>
    <w:rsid w:val="4B1EBCBD"/>
    <w:rsid w:val="4B282B34"/>
    <w:rsid w:val="4B29BEED"/>
    <w:rsid w:val="4B2B5AD6"/>
    <w:rsid w:val="4B2F7CD3"/>
    <w:rsid w:val="4B2FF636"/>
    <w:rsid w:val="4B386499"/>
    <w:rsid w:val="4B39647A"/>
    <w:rsid w:val="4B440517"/>
    <w:rsid w:val="4B4BE670"/>
    <w:rsid w:val="4B4F6E4C"/>
    <w:rsid w:val="4B4FD351"/>
    <w:rsid w:val="4B54FD46"/>
    <w:rsid w:val="4B66DE8E"/>
    <w:rsid w:val="4B68245C"/>
    <w:rsid w:val="4B6DA878"/>
    <w:rsid w:val="4B83B6AC"/>
    <w:rsid w:val="4B90F2DF"/>
    <w:rsid w:val="4B9A563C"/>
    <w:rsid w:val="4BA1C518"/>
    <w:rsid w:val="4BA26E09"/>
    <w:rsid w:val="4BA340C6"/>
    <w:rsid w:val="4BA3B3D9"/>
    <w:rsid w:val="4BACC021"/>
    <w:rsid w:val="4BAE3147"/>
    <w:rsid w:val="4BBDEFA2"/>
    <w:rsid w:val="4BC277A0"/>
    <w:rsid w:val="4BC9CC6C"/>
    <w:rsid w:val="4BD0956F"/>
    <w:rsid w:val="4BD0C8F9"/>
    <w:rsid w:val="4BD52F53"/>
    <w:rsid w:val="4BD66DB3"/>
    <w:rsid w:val="4BDA2979"/>
    <w:rsid w:val="4BDA73AA"/>
    <w:rsid w:val="4BE1FFA9"/>
    <w:rsid w:val="4BEE769A"/>
    <w:rsid w:val="4BEE8971"/>
    <w:rsid w:val="4BF1BB55"/>
    <w:rsid w:val="4BF67F44"/>
    <w:rsid w:val="4BF7013A"/>
    <w:rsid w:val="4BF8D427"/>
    <w:rsid w:val="4BFCCC4D"/>
    <w:rsid w:val="4BFCE835"/>
    <w:rsid w:val="4BFF7398"/>
    <w:rsid w:val="4BFF925B"/>
    <w:rsid w:val="4C0073F1"/>
    <w:rsid w:val="4C02D848"/>
    <w:rsid w:val="4C034A5D"/>
    <w:rsid w:val="4C0BFB18"/>
    <w:rsid w:val="4C160857"/>
    <w:rsid w:val="4C1928BC"/>
    <w:rsid w:val="4C1E4733"/>
    <w:rsid w:val="4C259582"/>
    <w:rsid w:val="4C2628AD"/>
    <w:rsid w:val="4C267845"/>
    <w:rsid w:val="4C2A79F9"/>
    <w:rsid w:val="4C2BC7D7"/>
    <w:rsid w:val="4C2D682E"/>
    <w:rsid w:val="4C319451"/>
    <w:rsid w:val="4C3C9559"/>
    <w:rsid w:val="4C3F2D90"/>
    <w:rsid w:val="4C49DD4C"/>
    <w:rsid w:val="4C49E842"/>
    <w:rsid w:val="4C4E4791"/>
    <w:rsid w:val="4C5574C5"/>
    <w:rsid w:val="4C571A77"/>
    <w:rsid w:val="4C5ABB4A"/>
    <w:rsid w:val="4C5E2B97"/>
    <w:rsid w:val="4C61063B"/>
    <w:rsid w:val="4C6ABE49"/>
    <w:rsid w:val="4C6AEF6D"/>
    <w:rsid w:val="4C7B955B"/>
    <w:rsid w:val="4C7D234A"/>
    <w:rsid w:val="4C7D307D"/>
    <w:rsid w:val="4C7E2110"/>
    <w:rsid w:val="4C829A61"/>
    <w:rsid w:val="4C86CC21"/>
    <w:rsid w:val="4C939523"/>
    <w:rsid w:val="4C968FF9"/>
    <w:rsid w:val="4C97C98D"/>
    <w:rsid w:val="4C97F954"/>
    <w:rsid w:val="4C992AE1"/>
    <w:rsid w:val="4CA55DA2"/>
    <w:rsid w:val="4CA61823"/>
    <w:rsid w:val="4CA7E83A"/>
    <w:rsid w:val="4CAA62D2"/>
    <w:rsid w:val="4CAF4A47"/>
    <w:rsid w:val="4CB023C3"/>
    <w:rsid w:val="4CC31FCF"/>
    <w:rsid w:val="4CC43F1F"/>
    <w:rsid w:val="4CCA7F24"/>
    <w:rsid w:val="4CCA9261"/>
    <w:rsid w:val="4CCE4CF3"/>
    <w:rsid w:val="4CCE59F1"/>
    <w:rsid w:val="4CD230A9"/>
    <w:rsid w:val="4CD57DB9"/>
    <w:rsid w:val="4CD7789E"/>
    <w:rsid w:val="4CDCF314"/>
    <w:rsid w:val="4CDD8959"/>
    <w:rsid w:val="4CE3EF98"/>
    <w:rsid w:val="4CE93741"/>
    <w:rsid w:val="4CEC8845"/>
    <w:rsid w:val="4CF1093A"/>
    <w:rsid w:val="4CF189DB"/>
    <w:rsid w:val="4CF1FD57"/>
    <w:rsid w:val="4CF86029"/>
    <w:rsid w:val="4CFB97CF"/>
    <w:rsid w:val="4CFF8F03"/>
    <w:rsid w:val="4D00E431"/>
    <w:rsid w:val="4D01DE4D"/>
    <w:rsid w:val="4D026CA4"/>
    <w:rsid w:val="4D0457F4"/>
    <w:rsid w:val="4D061CD3"/>
    <w:rsid w:val="4D07B511"/>
    <w:rsid w:val="4D08D098"/>
    <w:rsid w:val="4D0A6141"/>
    <w:rsid w:val="4D0B6F46"/>
    <w:rsid w:val="4D152240"/>
    <w:rsid w:val="4D17C3E8"/>
    <w:rsid w:val="4D1BA77E"/>
    <w:rsid w:val="4D205248"/>
    <w:rsid w:val="4D22A5A1"/>
    <w:rsid w:val="4D2BA99A"/>
    <w:rsid w:val="4D2C56DE"/>
    <w:rsid w:val="4D2D572A"/>
    <w:rsid w:val="4D2F4946"/>
    <w:rsid w:val="4D30D0A8"/>
    <w:rsid w:val="4D3765E2"/>
    <w:rsid w:val="4D452FF8"/>
    <w:rsid w:val="4D4812F3"/>
    <w:rsid w:val="4D524FF5"/>
    <w:rsid w:val="4D53C6C9"/>
    <w:rsid w:val="4D5B6656"/>
    <w:rsid w:val="4D5F56D6"/>
    <w:rsid w:val="4D61C171"/>
    <w:rsid w:val="4D636458"/>
    <w:rsid w:val="4D64BC71"/>
    <w:rsid w:val="4D657726"/>
    <w:rsid w:val="4D6F4292"/>
    <w:rsid w:val="4D729FB3"/>
    <w:rsid w:val="4D82C6CF"/>
    <w:rsid w:val="4D835799"/>
    <w:rsid w:val="4D8A114A"/>
    <w:rsid w:val="4D8AB2ED"/>
    <w:rsid w:val="4D8D6FD3"/>
    <w:rsid w:val="4D945AE7"/>
    <w:rsid w:val="4D9B3479"/>
    <w:rsid w:val="4D9CB3CF"/>
    <w:rsid w:val="4D9FD203"/>
    <w:rsid w:val="4DA0283F"/>
    <w:rsid w:val="4DA05B95"/>
    <w:rsid w:val="4DA41182"/>
    <w:rsid w:val="4DA5D2AD"/>
    <w:rsid w:val="4DA65986"/>
    <w:rsid w:val="4DA66CF4"/>
    <w:rsid w:val="4DAB9BA3"/>
    <w:rsid w:val="4DCDF28C"/>
    <w:rsid w:val="4DCE0150"/>
    <w:rsid w:val="4DD1ACC5"/>
    <w:rsid w:val="4DD53EC6"/>
    <w:rsid w:val="4DD83C15"/>
    <w:rsid w:val="4DE679FA"/>
    <w:rsid w:val="4DE7A78F"/>
    <w:rsid w:val="4DE81849"/>
    <w:rsid w:val="4DE973AA"/>
    <w:rsid w:val="4DEA0BC7"/>
    <w:rsid w:val="4DECF682"/>
    <w:rsid w:val="4DEEC792"/>
    <w:rsid w:val="4DEED2A1"/>
    <w:rsid w:val="4DF47663"/>
    <w:rsid w:val="4DFFA764"/>
    <w:rsid w:val="4E02C54B"/>
    <w:rsid w:val="4E05827B"/>
    <w:rsid w:val="4E0820C8"/>
    <w:rsid w:val="4E0AB0F4"/>
    <w:rsid w:val="4E1569BF"/>
    <w:rsid w:val="4E183060"/>
    <w:rsid w:val="4E18F0B3"/>
    <w:rsid w:val="4E1A4F6E"/>
    <w:rsid w:val="4E20C5F0"/>
    <w:rsid w:val="4E212A91"/>
    <w:rsid w:val="4E237F01"/>
    <w:rsid w:val="4E2AFB0A"/>
    <w:rsid w:val="4E2C2DB9"/>
    <w:rsid w:val="4E2E732D"/>
    <w:rsid w:val="4E2FB9C4"/>
    <w:rsid w:val="4E320C1D"/>
    <w:rsid w:val="4E3A2084"/>
    <w:rsid w:val="4E3A5220"/>
    <w:rsid w:val="4E3D766B"/>
    <w:rsid w:val="4E409D8F"/>
    <w:rsid w:val="4E419A6E"/>
    <w:rsid w:val="4E4CBA16"/>
    <w:rsid w:val="4E4EDD4B"/>
    <w:rsid w:val="4E4F22B3"/>
    <w:rsid w:val="4E507B86"/>
    <w:rsid w:val="4E54A799"/>
    <w:rsid w:val="4E550E9B"/>
    <w:rsid w:val="4E564714"/>
    <w:rsid w:val="4E608814"/>
    <w:rsid w:val="4E6406D4"/>
    <w:rsid w:val="4E6430AD"/>
    <w:rsid w:val="4E67BE09"/>
    <w:rsid w:val="4E69D6A0"/>
    <w:rsid w:val="4E6A1555"/>
    <w:rsid w:val="4E6C223D"/>
    <w:rsid w:val="4E6F579D"/>
    <w:rsid w:val="4E7310BD"/>
    <w:rsid w:val="4E743EE4"/>
    <w:rsid w:val="4E78ED8D"/>
    <w:rsid w:val="4E7D992D"/>
    <w:rsid w:val="4E7F605C"/>
    <w:rsid w:val="4E81940D"/>
    <w:rsid w:val="4E882686"/>
    <w:rsid w:val="4E889AFC"/>
    <w:rsid w:val="4E938569"/>
    <w:rsid w:val="4E9B89D3"/>
    <w:rsid w:val="4E9E3215"/>
    <w:rsid w:val="4EA1A84C"/>
    <w:rsid w:val="4EA2C052"/>
    <w:rsid w:val="4EA3BC77"/>
    <w:rsid w:val="4EA92413"/>
    <w:rsid w:val="4EB2F242"/>
    <w:rsid w:val="4EB84919"/>
    <w:rsid w:val="4EC0DE4E"/>
    <w:rsid w:val="4EC4203D"/>
    <w:rsid w:val="4ECE2804"/>
    <w:rsid w:val="4ED41CB3"/>
    <w:rsid w:val="4ED7A575"/>
    <w:rsid w:val="4EDABB21"/>
    <w:rsid w:val="4EDBE750"/>
    <w:rsid w:val="4EE3F641"/>
    <w:rsid w:val="4EED6680"/>
    <w:rsid w:val="4EEE8D7B"/>
    <w:rsid w:val="4EF193F3"/>
    <w:rsid w:val="4EF6D7E0"/>
    <w:rsid w:val="4EF755B0"/>
    <w:rsid w:val="4EF9EF44"/>
    <w:rsid w:val="4EFB469C"/>
    <w:rsid w:val="4F03775D"/>
    <w:rsid w:val="4F09780E"/>
    <w:rsid w:val="4F0A2A8C"/>
    <w:rsid w:val="4F0BD626"/>
    <w:rsid w:val="4F0D6880"/>
    <w:rsid w:val="4F0EFABA"/>
    <w:rsid w:val="4F101BE1"/>
    <w:rsid w:val="4F163F6E"/>
    <w:rsid w:val="4F19A715"/>
    <w:rsid w:val="4F1CCAB2"/>
    <w:rsid w:val="4F1FD54E"/>
    <w:rsid w:val="4F23F462"/>
    <w:rsid w:val="4F2413AE"/>
    <w:rsid w:val="4F252DDB"/>
    <w:rsid w:val="4F27CBF1"/>
    <w:rsid w:val="4F296DFC"/>
    <w:rsid w:val="4F32AA3C"/>
    <w:rsid w:val="4F369B88"/>
    <w:rsid w:val="4F391DF5"/>
    <w:rsid w:val="4F3FD14B"/>
    <w:rsid w:val="4F44E478"/>
    <w:rsid w:val="4F46AF52"/>
    <w:rsid w:val="4F48C2D1"/>
    <w:rsid w:val="4F491E26"/>
    <w:rsid w:val="4F4A237F"/>
    <w:rsid w:val="4F51B370"/>
    <w:rsid w:val="4F57BF4A"/>
    <w:rsid w:val="4F62E1A4"/>
    <w:rsid w:val="4F69D0E5"/>
    <w:rsid w:val="4F6B5050"/>
    <w:rsid w:val="4F702449"/>
    <w:rsid w:val="4F7555A7"/>
    <w:rsid w:val="4F7CA0B1"/>
    <w:rsid w:val="4F7F16DB"/>
    <w:rsid w:val="4F816DFD"/>
    <w:rsid w:val="4F81EF1E"/>
    <w:rsid w:val="4F890E5B"/>
    <w:rsid w:val="4F8949B4"/>
    <w:rsid w:val="4F898758"/>
    <w:rsid w:val="4F8DED26"/>
    <w:rsid w:val="4F93408C"/>
    <w:rsid w:val="4F94BD07"/>
    <w:rsid w:val="4F96B117"/>
    <w:rsid w:val="4F9768F2"/>
    <w:rsid w:val="4FA14B85"/>
    <w:rsid w:val="4FA27053"/>
    <w:rsid w:val="4FA3C928"/>
    <w:rsid w:val="4FB0C204"/>
    <w:rsid w:val="4FB47E8A"/>
    <w:rsid w:val="4FB91A5A"/>
    <w:rsid w:val="4FBAA1A2"/>
    <w:rsid w:val="4FBD3C6D"/>
    <w:rsid w:val="4FC4529D"/>
    <w:rsid w:val="4FC4DD6D"/>
    <w:rsid w:val="4FC9D8B4"/>
    <w:rsid w:val="4FCE1E72"/>
    <w:rsid w:val="4FD3A83C"/>
    <w:rsid w:val="4FD80DFD"/>
    <w:rsid w:val="4FD958CF"/>
    <w:rsid w:val="4FDCB0F2"/>
    <w:rsid w:val="4FE22ACC"/>
    <w:rsid w:val="4FE26A06"/>
    <w:rsid w:val="4FE53A8F"/>
    <w:rsid w:val="4FE71FC0"/>
    <w:rsid w:val="4FE93EC6"/>
    <w:rsid w:val="4FEB2235"/>
    <w:rsid w:val="4FEFEF01"/>
    <w:rsid w:val="4FF3AC44"/>
    <w:rsid w:val="4FFDB77C"/>
    <w:rsid w:val="500D3BB2"/>
    <w:rsid w:val="5014DE99"/>
    <w:rsid w:val="5015A79F"/>
    <w:rsid w:val="5015BD26"/>
    <w:rsid w:val="5019F1C3"/>
    <w:rsid w:val="501CAD35"/>
    <w:rsid w:val="501FCD8B"/>
    <w:rsid w:val="5021A7B9"/>
    <w:rsid w:val="5023E24F"/>
    <w:rsid w:val="502695FB"/>
    <w:rsid w:val="5026C102"/>
    <w:rsid w:val="5026D599"/>
    <w:rsid w:val="50287C6D"/>
    <w:rsid w:val="5028DF2E"/>
    <w:rsid w:val="502C62BA"/>
    <w:rsid w:val="502DAC79"/>
    <w:rsid w:val="5040C139"/>
    <w:rsid w:val="5044D3D7"/>
    <w:rsid w:val="5045FD2F"/>
    <w:rsid w:val="504AFD3D"/>
    <w:rsid w:val="504C7E45"/>
    <w:rsid w:val="50528395"/>
    <w:rsid w:val="505352F7"/>
    <w:rsid w:val="505D5956"/>
    <w:rsid w:val="50606A53"/>
    <w:rsid w:val="50675DBB"/>
    <w:rsid w:val="506D0E64"/>
    <w:rsid w:val="506EB4EB"/>
    <w:rsid w:val="5073CCEB"/>
    <w:rsid w:val="50745D22"/>
    <w:rsid w:val="50750085"/>
    <w:rsid w:val="5078A081"/>
    <w:rsid w:val="5081090F"/>
    <w:rsid w:val="50844D6A"/>
    <w:rsid w:val="508F9CC4"/>
    <w:rsid w:val="5090A7E7"/>
    <w:rsid w:val="50918719"/>
    <w:rsid w:val="50918938"/>
    <w:rsid w:val="50988B8F"/>
    <w:rsid w:val="509A1199"/>
    <w:rsid w:val="509E1E49"/>
    <w:rsid w:val="50ABB9D6"/>
    <w:rsid w:val="50B5B05C"/>
    <w:rsid w:val="50B8EF42"/>
    <w:rsid w:val="50C1C094"/>
    <w:rsid w:val="50C5B39E"/>
    <w:rsid w:val="50C87FE8"/>
    <w:rsid w:val="50CC9359"/>
    <w:rsid w:val="50D54039"/>
    <w:rsid w:val="50D5B1F1"/>
    <w:rsid w:val="50D6CCC1"/>
    <w:rsid w:val="50E4C48E"/>
    <w:rsid w:val="50E71995"/>
    <w:rsid w:val="50F5D73E"/>
    <w:rsid w:val="50F6FFE4"/>
    <w:rsid w:val="50F8CDB0"/>
    <w:rsid w:val="50F9066C"/>
    <w:rsid w:val="5103CE06"/>
    <w:rsid w:val="510B6DFC"/>
    <w:rsid w:val="510F3223"/>
    <w:rsid w:val="511449DB"/>
    <w:rsid w:val="51169D1C"/>
    <w:rsid w:val="511811EE"/>
    <w:rsid w:val="5126FDB5"/>
    <w:rsid w:val="5129E09F"/>
    <w:rsid w:val="512FDE32"/>
    <w:rsid w:val="513DBEA1"/>
    <w:rsid w:val="5141BBB4"/>
    <w:rsid w:val="5147E5D9"/>
    <w:rsid w:val="514AD8D4"/>
    <w:rsid w:val="514C6CA1"/>
    <w:rsid w:val="514E25F5"/>
    <w:rsid w:val="515052CA"/>
    <w:rsid w:val="51551D5E"/>
    <w:rsid w:val="51574E27"/>
    <w:rsid w:val="5157CB68"/>
    <w:rsid w:val="515E9EA9"/>
    <w:rsid w:val="51630CF7"/>
    <w:rsid w:val="516C02BB"/>
    <w:rsid w:val="516F35FB"/>
    <w:rsid w:val="51706774"/>
    <w:rsid w:val="5174306D"/>
    <w:rsid w:val="517EFC6A"/>
    <w:rsid w:val="518ACDDF"/>
    <w:rsid w:val="51972EC0"/>
    <w:rsid w:val="5198A0C2"/>
    <w:rsid w:val="51A53DA4"/>
    <w:rsid w:val="51A9029D"/>
    <w:rsid w:val="51A99D20"/>
    <w:rsid w:val="51B4A4A2"/>
    <w:rsid w:val="51BB409F"/>
    <w:rsid w:val="51BEA8BA"/>
    <w:rsid w:val="51C4006C"/>
    <w:rsid w:val="51C76EB9"/>
    <w:rsid w:val="51C9E288"/>
    <w:rsid w:val="51CA883F"/>
    <w:rsid w:val="51CAE8CB"/>
    <w:rsid w:val="51CD9F60"/>
    <w:rsid w:val="51CE495C"/>
    <w:rsid w:val="51D2318D"/>
    <w:rsid w:val="51D4595D"/>
    <w:rsid w:val="51D79C4C"/>
    <w:rsid w:val="51DB3D20"/>
    <w:rsid w:val="51E795F8"/>
    <w:rsid w:val="51E9E23D"/>
    <w:rsid w:val="51F131DC"/>
    <w:rsid w:val="51F3F958"/>
    <w:rsid w:val="51F8CAF8"/>
    <w:rsid w:val="51FEC60D"/>
    <w:rsid w:val="51FFF383"/>
    <w:rsid w:val="52012215"/>
    <w:rsid w:val="520A41F7"/>
    <w:rsid w:val="5212E3A4"/>
    <w:rsid w:val="52168545"/>
    <w:rsid w:val="521BD6A2"/>
    <w:rsid w:val="521C5C24"/>
    <w:rsid w:val="52294096"/>
    <w:rsid w:val="522E3998"/>
    <w:rsid w:val="522E7275"/>
    <w:rsid w:val="52452DE1"/>
    <w:rsid w:val="5249F118"/>
    <w:rsid w:val="524CA19F"/>
    <w:rsid w:val="524F2D84"/>
    <w:rsid w:val="5257520C"/>
    <w:rsid w:val="525A0015"/>
    <w:rsid w:val="525F6B0A"/>
    <w:rsid w:val="52628C6F"/>
    <w:rsid w:val="526C2741"/>
    <w:rsid w:val="526E0E92"/>
    <w:rsid w:val="527C01F1"/>
    <w:rsid w:val="527E22F1"/>
    <w:rsid w:val="52890F33"/>
    <w:rsid w:val="5289F5FB"/>
    <w:rsid w:val="5297FD22"/>
    <w:rsid w:val="529EBC58"/>
    <w:rsid w:val="52A2E2AF"/>
    <w:rsid w:val="52A42771"/>
    <w:rsid w:val="52A6134F"/>
    <w:rsid w:val="52B945F2"/>
    <w:rsid w:val="52C5C62E"/>
    <w:rsid w:val="52C6F910"/>
    <w:rsid w:val="52CA7FA8"/>
    <w:rsid w:val="52CC5FE7"/>
    <w:rsid w:val="52CE8188"/>
    <w:rsid w:val="52D5CE53"/>
    <w:rsid w:val="52D9E07D"/>
    <w:rsid w:val="52E1297A"/>
    <w:rsid w:val="530BB472"/>
    <w:rsid w:val="530C489F"/>
    <w:rsid w:val="530EB48E"/>
    <w:rsid w:val="531216D4"/>
    <w:rsid w:val="531CB0C5"/>
    <w:rsid w:val="53252D0D"/>
    <w:rsid w:val="53253CB1"/>
    <w:rsid w:val="532782A9"/>
    <w:rsid w:val="532990CD"/>
    <w:rsid w:val="5329D02C"/>
    <w:rsid w:val="532A3F0A"/>
    <w:rsid w:val="532DB4FD"/>
    <w:rsid w:val="53390CC9"/>
    <w:rsid w:val="534A1FE6"/>
    <w:rsid w:val="534C2BBA"/>
    <w:rsid w:val="534EC393"/>
    <w:rsid w:val="5367F210"/>
    <w:rsid w:val="536A0060"/>
    <w:rsid w:val="536D0B2A"/>
    <w:rsid w:val="537050BB"/>
    <w:rsid w:val="5377140B"/>
    <w:rsid w:val="53795723"/>
    <w:rsid w:val="537B2DB4"/>
    <w:rsid w:val="537FD52B"/>
    <w:rsid w:val="5386E03F"/>
    <w:rsid w:val="539CF2D0"/>
    <w:rsid w:val="539E7B95"/>
    <w:rsid w:val="53A1D125"/>
    <w:rsid w:val="53AE5E40"/>
    <w:rsid w:val="53B2D39C"/>
    <w:rsid w:val="53B4CA96"/>
    <w:rsid w:val="53B775F4"/>
    <w:rsid w:val="53BBD6A6"/>
    <w:rsid w:val="53C14481"/>
    <w:rsid w:val="53C68011"/>
    <w:rsid w:val="53C6C978"/>
    <w:rsid w:val="53D1F2E7"/>
    <w:rsid w:val="53D4DD5A"/>
    <w:rsid w:val="53DB95BA"/>
    <w:rsid w:val="53E0882B"/>
    <w:rsid w:val="53E0B5F7"/>
    <w:rsid w:val="53E0C3C4"/>
    <w:rsid w:val="53E2172A"/>
    <w:rsid w:val="53E41845"/>
    <w:rsid w:val="53E4E24D"/>
    <w:rsid w:val="53E65DD1"/>
    <w:rsid w:val="53EC71E7"/>
    <w:rsid w:val="53ECB53D"/>
    <w:rsid w:val="53ED0B30"/>
    <w:rsid w:val="53F169FB"/>
    <w:rsid w:val="53F357DB"/>
    <w:rsid w:val="53F89970"/>
    <w:rsid w:val="53FAC415"/>
    <w:rsid w:val="53FBEDE9"/>
    <w:rsid w:val="540105BD"/>
    <w:rsid w:val="540A6862"/>
    <w:rsid w:val="540E931A"/>
    <w:rsid w:val="5411AF4C"/>
    <w:rsid w:val="5413E7D9"/>
    <w:rsid w:val="542AFCA2"/>
    <w:rsid w:val="542BE2A4"/>
    <w:rsid w:val="54367046"/>
    <w:rsid w:val="543AB682"/>
    <w:rsid w:val="54406BEF"/>
    <w:rsid w:val="54451995"/>
    <w:rsid w:val="544B42E9"/>
    <w:rsid w:val="544CEE08"/>
    <w:rsid w:val="544FFC5A"/>
    <w:rsid w:val="545261C3"/>
    <w:rsid w:val="5455189D"/>
    <w:rsid w:val="54565A4C"/>
    <w:rsid w:val="54569E0D"/>
    <w:rsid w:val="546402BF"/>
    <w:rsid w:val="54657F73"/>
    <w:rsid w:val="5473B671"/>
    <w:rsid w:val="5473DA37"/>
    <w:rsid w:val="5476FC14"/>
    <w:rsid w:val="54770E4F"/>
    <w:rsid w:val="54875CCE"/>
    <w:rsid w:val="54895883"/>
    <w:rsid w:val="548F8467"/>
    <w:rsid w:val="549650EF"/>
    <w:rsid w:val="5496DCAF"/>
    <w:rsid w:val="5498CCF8"/>
    <w:rsid w:val="549BDED6"/>
    <w:rsid w:val="54A2DCDB"/>
    <w:rsid w:val="54AC903B"/>
    <w:rsid w:val="54B010AA"/>
    <w:rsid w:val="54B5B8CE"/>
    <w:rsid w:val="54BAC2C5"/>
    <w:rsid w:val="54BBCC8E"/>
    <w:rsid w:val="54C319CE"/>
    <w:rsid w:val="54C3B97D"/>
    <w:rsid w:val="54C85808"/>
    <w:rsid w:val="54CFCF8E"/>
    <w:rsid w:val="54D15678"/>
    <w:rsid w:val="54D7EA50"/>
    <w:rsid w:val="54D87245"/>
    <w:rsid w:val="54EA28C8"/>
    <w:rsid w:val="54EAA617"/>
    <w:rsid w:val="54EBA1DA"/>
    <w:rsid w:val="54EEA99A"/>
    <w:rsid w:val="54F4A531"/>
    <w:rsid w:val="54F52465"/>
    <w:rsid w:val="55022303"/>
    <w:rsid w:val="55044D92"/>
    <w:rsid w:val="5505FC9B"/>
    <w:rsid w:val="550E4E38"/>
    <w:rsid w:val="55110D34"/>
    <w:rsid w:val="5512DE9D"/>
    <w:rsid w:val="55139B67"/>
    <w:rsid w:val="5513E274"/>
    <w:rsid w:val="551673EA"/>
    <w:rsid w:val="55190EB3"/>
    <w:rsid w:val="551B8C12"/>
    <w:rsid w:val="55228F7D"/>
    <w:rsid w:val="552B6E87"/>
    <w:rsid w:val="553B5DB9"/>
    <w:rsid w:val="555307E7"/>
    <w:rsid w:val="5555A74D"/>
    <w:rsid w:val="5556C3D8"/>
    <w:rsid w:val="5558A9A2"/>
    <w:rsid w:val="55660441"/>
    <w:rsid w:val="55733AFD"/>
    <w:rsid w:val="55775112"/>
    <w:rsid w:val="5578215A"/>
    <w:rsid w:val="55870B32"/>
    <w:rsid w:val="558720D6"/>
    <w:rsid w:val="55877B62"/>
    <w:rsid w:val="558CE1C4"/>
    <w:rsid w:val="55929645"/>
    <w:rsid w:val="55A00175"/>
    <w:rsid w:val="55A0EB18"/>
    <w:rsid w:val="55B21F29"/>
    <w:rsid w:val="55B3EE91"/>
    <w:rsid w:val="55B7AC49"/>
    <w:rsid w:val="55B7CCD7"/>
    <w:rsid w:val="55B93AF8"/>
    <w:rsid w:val="55C008B9"/>
    <w:rsid w:val="55C17C7A"/>
    <w:rsid w:val="55C1F5A6"/>
    <w:rsid w:val="55C2A221"/>
    <w:rsid w:val="55C3C040"/>
    <w:rsid w:val="55D5D902"/>
    <w:rsid w:val="55DE4E2F"/>
    <w:rsid w:val="55E39AF1"/>
    <w:rsid w:val="55F580D0"/>
    <w:rsid w:val="55F8E0FA"/>
    <w:rsid w:val="55FCD768"/>
    <w:rsid w:val="55FEC26E"/>
    <w:rsid w:val="5600F7F1"/>
    <w:rsid w:val="56091DD0"/>
    <w:rsid w:val="560A7235"/>
    <w:rsid w:val="560D3965"/>
    <w:rsid w:val="5612A1F7"/>
    <w:rsid w:val="5616C8D2"/>
    <w:rsid w:val="561DAEE0"/>
    <w:rsid w:val="561DCFAD"/>
    <w:rsid w:val="5620F8E7"/>
    <w:rsid w:val="562752D2"/>
    <w:rsid w:val="56366451"/>
    <w:rsid w:val="56382F56"/>
    <w:rsid w:val="5639FB8B"/>
    <w:rsid w:val="563A2615"/>
    <w:rsid w:val="563F6F05"/>
    <w:rsid w:val="5640CDB8"/>
    <w:rsid w:val="564414F1"/>
    <w:rsid w:val="564DF0CD"/>
    <w:rsid w:val="5650899F"/>
    <w:rsid w:val="5651782B"/>
    <w:rsid w:val="565CFB00"/>
    <w:rsid w:val="566743B9"/>
    <w:rsid w:val="56687792"/>
    <w:rsid w:val="566AB0CB"/>
    <w:rsid w:val="566AB6A6"/>
    <w:rsid w:val="567686ED"/>
    <w:rsid w:val="56801CBD"/>
    <w:rsid w:val="56808923"/>
    <w:rsid w:val="56812A99"/>
    <w:rsid w:val="5689B3AF"/>
    <w:rsid w:val="569534F9"/>
    <w:rsid w:val="56A08C15"/>
    <w:rsid w:val="56A4981D"/>
    <w:rsid w:val="56AA0FD5"/>
    <w:rsid w:val="56BB9C86"/>
    <w:rsid w:val="56BC8B40"/>
    <w:rsid w:val="56BE1E73"/>
    <w:rsid w:val="56C00713"/>
    <w:rsid w:val="56C63EC4"/>
    <w:rsid w:val="56C8A8A8"/>
    <w:rsid w:val="56CDF356"/>
    <w:rsid w:val="56CE14FE"/>
    <w:rsid w:val="56D24583"/>
    <w:rsid w:val="56D7D48A"/>
    <w:rsid w:val="56DDE7C8"/>
    <w:rsid w:val="56DE326D"/>
    <w:rsid w:val="56E7C2B9"/>
    <w:rsid w:val="56EF308D"/>
    <w:rsid w:val="56F38A69"/>
    <w:rsid w:val="56F67E8F"/>
    <w:rsid w:val="56F8DC6D"/>
    <w:rsid w:val="56FA7265"/>
    <w:rsid w:val="56FC540F"/>
    <w:rsid w:val="57012F67"/>
    <w:rsid w:val="5709E292"/>
    <w:rsid w:val="571342B0"/>
    <w:rsid w:val="5713836B"/>
    <w:rsid w:val="57148352"/>
    <w:rsid w:val="572201C5"/>
    <w:rsid w:val="572B253B"/>
    <w:rsid w:val="57311B21"/>
    <w:rsid w:val="5737C077"/>
    <w:rsid w:val="573E1EE9"/>
    <w:rsid w:val="5745F2E3"/>
    <w:rsid w:val="57536DD6"/>
    <w:rsid w:val="5755C268"/>
    <w:rsid w:val="5756A801"/>
    <w:rsid w:val="57572452"/>
    <w:rsid w:val="575A7741"/>
    <w:rsid w:val="575FA4C6"/>
    <w:rsid w:val="5760BFA3"/>
    <w:rsid w:val="576523F2"/>
    <w:rsid w:val="57677E09"/>
    <w:rsid w:val="5768C258"/>
    <w:rsid w:val="57703DF6"/>
    <w:rsid w:val="57756E0E"/>
    <w:rsid w:val="577844C3"/>
    <w:rsid w:val="577B1B62"/>
    <w:rsid w:val="5780DBFD"/>
    <w:rsid w:val="5782B433"/>
    <w:rsid w:val="57833BD6"/>
    <w:rsid w:val="5786D121"/>
    <w:rsid w:val="578BD1E9"/>
    <w:rsid w:val="5790BE06"/>
    <w:rsid w:val="5795C981"/>
    <w:rsid w:val="579663BF"/>
    <w:rsid w:val="5799196E"/>
    <w:rsid w:val="579C2564"/>
    <w:rsid w:val="579FA734"/>
    <w:rsid w:val="579FF17C"/>
    <w:rsid w:val="57A0027D"/>
    <w:rsid w:val="57A04C8E"/>
    <w:rsid w:val="57A4E30C"/>
    <w:rsid w:val="57A93576"/>
    <w:rsid w:val="57B505D5"/>
    <w:rsid w:val="57BA412B"/>
    <w:rsid w:val="57BC1BF5"/>
    <w:rsid w:val="57C94C75"/>
    <w:rsid w:val="57D08470"/>
    <w:rsid w:val="57D1FBDF"/>
    <w:rsid w:val="57D6802E"/>
    <w:rsid w:val="57E2530A"/>
    <w:rsid w:val="57E26A11"/>
    <w:rsid w:val="57EACACA"/>
    <w:rsid w:val="57EC3C55"/>
    <w:rsid w:val="57F35EA5"/>
    <w:rsid w:val="58033155"/>
    <w:rsid w:val="5807C5E4"/>
    <w:rsid w:val="5809D046"/>
    <w:rsid w:val="580FCFFF"/>
    <w:rsid w:val="5811AACC"/>
    <w:rsid w:val="581489E7"/>
    <w:rsid w:val="581F0681"/>
    <w:rsid w:val="5821F6B7"/>
    <w:rsid w:val="5824EB8B"/>
    <w:rsid w:val="5829C866"/>
    <w:rsid w:val="582B4684"/>
    <w:rsid w:val="582BA1EA"/>
    <w:rsid w:val="582C91A2"/>
    <w:rsid w:val="58386FD6"/>
    <w:rsid w:val="583E8815"/>
    <w:rsid w:val="58473275"/>
    <w:rsid w:val="5848F4EC"/>
    <w:rsid w:val="584AAEAC"/>
    <w:rsid w:val="584BE12B"/>
    <w:rsid w:val="5858A254"/>
    <w:rsid w:val="585E3313"/>
    <w:rsid w:val="5868BF5B"/>
    <w:rsid w:val="58755092"/>
    <w:rsid w:val="58784C66"/>
    <w:rsid w:val="5882FA97"/>
    <w:rsid w:val="588A1475"/>
    <w:rsid w:val="588BF13D"/>
    <w:rsid w:val="588CA97E"/>
    <w:rsid w:val="588CABE9"/>
    <w:rsid w:val="588DB5F6"/>
    <w:rsid w:val="588E7979"/>
    <w:rsid w:val="58924D9C"/>
    <w:rsid w:val="589D45D9"/>
    <w:rsid w:val="58B0A79F"/>
    <w:rsid w:val="58B0E27D"/>
    <w:rsid w:val="58B4D977"/>
    <w:rsid w:val="58B5D820"/>
    <w:rsid w:val="58B6A99A"/>
    <w:rsid w:val="58BDCD85"/>
    <w:rsid w:val="58CED49F"/>
    <w:rsid w:val="58DAA8BD"/>
    <w:rsid w:val="58DD8252"/>
    <w:rsid w:val="58E18620"/>
    <w:rsid w:val="58EC5635"/>
    <w:rsid w:val="58EC857C"/>
    <w:rsid w:val="58EE0512"/>
    <w:rsid w:val="58F00DFF"/>
    <w:rsid w:val="58F11B42"/>
    <w:rsid w:val="58F1B0D5"/>
    <w:rsid w:val="58F855E2"/>
    <w:rsid w:val="58F8D305"/>
    <w:rsid w:val="58F94B3F"/>
    <w:rsid w:val="58FA5969"/>
    <w:rsid w:val="58FBB28E"/>
    <w:rsid w:val="58FF64D0"/>
    <w:rsid w:val="5901E8D0"/>
    <w:rsid w:val="590469ED"/>
    <w:rsid w:val="5909F40D"/>
    <w:rsid w:val="59237844"/>
    <w:rsid w:val="5925B497"/>
    <w:rsid w:val="59292522"/>
    <w:rsid w:val="5929B5E2"/>
    <w:rsid w:val="592BBA60"/>
    <w:rsid w:val="59355721"/>
    <w:rsid w:val="593804F8"/>
    <w:rsid w:val="5948D98B"/>
    <w:rsid w:val="5949DDBB"/>
    <w:rsid w:val="594D79B6"/>
    <w:rsid w:val="5958C4E0"/>
    <w:rsid w:val="595C07ED"/>
    <w:rsid w:val="595D0AC8"/>
    <w:rsid w:val="595D2F61"/>
    <w:rsid w:val="595EEB97"/>
    <w:rsid w:val="59625D00"/>
    <w:rsid w:val="59647659"/>
    <w:rsid w:val="59659527"/>
    <w:rsid w:val="59665EA8"/>
    <w:rsid w:val="5974B098"/>
    <w:rsid w:val="597637EC"/>
    <w:rsid w:val="59775E59"/>
    <w:rsid w:val="5979EA60"/>
    <w:rsid w:val="597BD1CE"/>
    <w:rsid w:val="5982CB72"/>
    <w:rsid w:val="5983A771"/>
    <w:rsid w:val="598F974B"/>
    <w:rsid w:val="5991C3A8"/>
    <w:rsid w:val="5995C71D"/>
    <w:rsid w:val="599A19E8"/>
    <w:rsid w:val="599B1C07"/>
    <w:rsid w:val="599F53E1"/>
    <w:rsid w:val="59A21938"/>
    <w:rsid w:val="59A38DEF"/>
    <w:rsid w:val="59A816C0"/>
    <w:rsid w:val="59AA8F11"/>
    <w:rsid w:val="59B6B51D"/>
    <w:rsid w:val="59B81C42"/>
    <w:rsid w:val="59BC941D"/>
    <w:rsid w:val="59C26606"/>
    <w:rsid w:val="59C36831"/>
    <w:rsid w:val="59C66B2F"/>
    <w:rsid w:val="59C6ED7B"/>
    <w:rsid w:val="59CFA515"/>
    <w:rsid w:val="59D500FA"/>
    <w:rsid w:val="59D834BC"/>
    <w:rsid w:val="59DB60C6"/>
    <w:rsid w:val="59DD0F00"/>
    <w:rsid w:val="59E9F26B"/>
    <w:rsid w:val="59EA270D"/>
    <w:rsid w:val="59ED26B4"/>
    <w:rsid w:val="59F16CC9"/>
    <w:rsid w:val="59F2D0E9"/>
    <w:rsid w:val="59F9F48A"/>
    <w:rsid w:val="5A027A3E"/>
    <w:rsid w:val="5A02F3F9"/>
    <w:rsid w:val="5A059DB7"/>
    <w:rsid w:val="5A06DDF4"/>
    <w:rsid w:val="5A07A39D"/>
    <w:rsid w:val="5A0A8E53"/>
    <w:rsid w:val="5A0B0784"/>
    <w:rsid w:val="5A0CD0B1"/>
    <w:rsid w:val="5A0D5DE4"/>
    <w:rsid w:val="5A10879C"/>
    <w:rsid w:val="5A18004A"/>
    <w:rsid w:val="5A1A8F5C"/>
    <w:rsid w:val="5A1ACF95"/>
    <w:rsid w:val="5A1B0458"/>
    <w:rsid w:val="5A1B7C1D"/>
    <w:rsid w:val="5A1D860A"/>
    <w:rsid w:val="5A1FEE57"/>
    <w:rsid w:val="5A223F09"/>
    <w:rsid w:val="5A22D8CF"/>
    <w:rsid w:val="5A24145C"/>
    <w:rsid w:val="5A2483E1"/>
    <w:rsid w:val="5A257E13"/>
    <w:rsid w:val="5A27641E"/>
    <w:rsid w:val="5A2A6486"/>
    <w:rsid w:val="5A2F9A0C"/>
    <w:rsid w:val="5A329B49"/>
    <w:rsid w:val="5A333D27"/>
    <w:rsid w:val="5A35BBAB"/>
    <w:rsid w:val="5A3C79C5"/>
    <w:rsid w:val="5A3CC67F"/>
    <w:rsid w:val="5A3D663B"/>
    <w:rsid w:val="5A3F4497"/>
    <w:rsid w:val="5A46BF74"/>
    <w:rsid w:val="5A471F79"/>
    <w:rsid w:val="5A4F0F5C"/>
    <w:rsid w:val="5A576157"/>
    <w:rsid w:val="5A5867FF"/>
    <w:rsid w:val="5A59CD1F"/>
    <w:rsid w:val="5A68B305"/>
    <w:rsid w:val="5A716426"/>
    <w:rsid w:val="5A778510"/>
    <w:rsid w:val="5A783870"/>
    <w:rsid w:val="5A7B823C"/>
    <w:rsid w:val="5A816A5F"/>
    <w:rsid w:val="5A830370"/>
    <w:rsid w:val="5A861558"/>
    <w:rsid w:val="5A882BB6"/>
    <w:rsid w:val="5A8D3BFB"/>
    <w:rsid w:val="5A8D421B"/>
    <w:rsid w:val="5A906A73"/>
    <w:rsid w:val="5A967643"/>
    <w:rsid w:val="5A974779"/>
    <w:rsid w:val="5AA5FD56"/>
    <w:rsid w:val="5AA957D6"/>
    <w:rsid w:val="5AAAC525"/>
    <w:rsid w:val="5AAED0B0"/>
    <w:rsid w:val="5AB25D34"/>
    <w:rsid w:val="5ABBCCDE"/>
    <w:rsid w:val="5ABE6CDE"/>
    <w:rsid w:val="5AC0BA24"/>
    <w:rsid w:val="5AC53D39"/>
    <w:rsid w:val="5ACAEAA8"/>
    <w:rsid w:val="5ACCBEED"/>
    <w:rsid w:val="5ADAA344"/>
    <w:rsid w:val="5AE527AB"/>
    <w:rsid w:val="5AEB5263"/>
    <w:rsid w:val="5AEC2BFC"/>
    <w:rsid w:val="5AF45ABC"/>
    <w:rsid w:val="5AFB7986"/>
    <w:rsid w:val="5B0F6A50"/>
    <w:rsid w:val="5B136007"/>
    <w:rsid w:val="5B183550"/>
    <w:rsid w:val="5B187AB0"/>
    <w:rsid w:val="5B23D3CD"/>
    <w:rsid w:val="5B262F39"/>
    <w:rsid w:val="5B282D10"/>
    <w:rsid w:val="5B29732B"/>
    <w:rsid w:val="5B29EB8D"/>
    <w:rsid w:val="5B2A51E5"/>
    <w:rsid w:val="5B2B9EBD"/>
    <w:rsid w:val="5B2E9527"/>
    <w:rsid w:val="5B2F1A60"/>
    <w:rsid w:val="5B313205"/>
    <w:rsid w:val="5B3629B3"/>
    <w:rsid w:val="5B390114"/>
    <w:rsid w:val="5B39A64A"/>
    <w:rsid w:val="5B39BD18"/>
    <w:rsid w:val="5B3A0706"/>
    <w:rsid w:val="5B3EFE7A"/>
    <w:rsid w:val="5B43A7C3"/>
    <w:rsid w:val="5B492DFA"/>
    <w:rsid w:val="5B4A21B3"/>
    <w:rsid w:val="5B4A8B22"/>
    <w:rsid w:val="5B4AF549"/>
    <w:rsid w:val="5B4D0368"/>
    <w:rsid w:val="5B55A44C"/>
    <w:rsid w:val="5B5621A3"/>
    <w:rsid w:val="5B58FB19"/>
    <w:rsid w:val="5B5A5715"/>
    <w:rsid w:val="5B65CD7A"/>
    <w:rsid w:val="5B6B8B20"/>
    <w:rsid w:val="5B71C44C"/>
    <w:rsid w:val="5B7324E1"/>
    <w:rsid w:val="5B777571"/>
    <w:rsid w:val="5B77FF6B"/>
    <w:rsid w:val="5B7B62C5"/>
    <w:rsid w:val="5B8344FB"/>
    <w:rsid w:val="5B8B5F59"/>
    <w:rsid w:val="5B8BA2C6"/>
    <w:rsid w:val="5B8FDCA7"/>
    <w:rsid w:val="5B92D07F"/>
    <w:rsid w:val="5B978DC4"/>
    <w:rsid w:val="5BA13527"/>
    <w:rsid w:val="5BA21F15"/>
    <w:rsid w:val="5BA7D21E"/>
    <w:rsid w:val="5BAA3017"/>
    <w:rsid w:val="5BAA53FF"/>
    <w:rsid w:val="5BAB811F"/>
    <w:rsid w:val="5BAE0404"/>
    <w:rsid w:val="5BB20AB3"/>
    <w:rsid w:val="5BB2E8AC"/>
    <w:rsid w:val="5BB7408C"/>
    <w:rsid w:val="5BB7EA39"/>
    <w:rsid w:val="5BBFA8DE"/>
    <w:rsid w:val="5BC5825A"/>
    <w:rsid w:val="5BCA5713"/>
    <w:rsid w:val="5BCDEEC5"/>
    <w:rsid w:val="5BCFC86E"/>
    <w:rsid w:val="5BD5E361"/>
    <w:rsid w:val="5BDE053F"/>
    <w:rsid w:val="5BE08F2F"/>
    <w:rsid w:val="5BE1B6AF"/>
    <w:rsid w:val="5BE47936"/>
    <w:rsid w:val="5BF19A49"/>
    <w:rsid w:val="5BF2EF98"/>
    <w:rsid w:val="5BF7EF68"/>
    <w:rsid w:val="5BF93CD8"/>
    <w:rsid w:val="5BFEB83F"/>
    <w:rsid w:val="5C01CFBE"/>
    <w:rsid w:val="5C068DA3"/>
    <w:rsid w:val="5C0DB781"/>
    <w:rsid w:val="5C0F4424"/>
    <w:rsid w:val="5C0F8872"/>
    <w:rsid w:val="5C17FB57"/>
    <w:rsid w:val="5C26B99A"/>
    <w:rsid w:val="5C26E80D"/>
    <w:rsid w:val="5C283CDC"/>
    <w:rsid w:val="5C363079"/>
    <w:rsid w:val="5C37985D"/>
    <w:rsid w:val="5C3B9664"/>
    <w:rsid w:val="5C3E778E"/>
    <w:rsid w:val="5C43D4B1"/>
    <w:rsid w:val="5C44BFA9"/>
    <w:rsid w:val="5C4A0604"/>
    <w:rsid w:val="5C4C5661"/>
    <w:rsid w:val="5C53BC24"/>
    <w:rsid w:val="5C5774B6"/>
    <w:rsid w:val="5C577C48"/>
    <w:rsid w:val="5C5DD12F"/>
    <w:rsid w:val="5C61167E"/>
    <w:rsid w:val="5C61584A"/>
    <w:rsid w:val="5C6476FE"/>
    <w:rsid w:val="5C664F9C"/>
    <w:rsid w:val="5C683FB3"/>
    <w:rsid w:val="5C693F0C"/>
    <w:rsid w:val="5C6A8D2B"/>
    <w:rsid w:val="5C736151"/>
    <w:rsid w:val="5C75BDCE"/>
    <w:rsid w:val="5C7885DB"/>
    <w:rsid w:val="5C7B6A22"/>
    <w:rsid w:val="5C7F0675"/>
    <w:rsid w:val="5C80AA21"/>
    <w:rsid w:val="5C86DDDE"/>
    <w:rsid w:val="5C89E1EB"/>
    <w:rsid w:val="5C8A0E40"/>
    <w:rsid w:val="5C8D6F1F"/>
    <w:rsid w:val="5C908436"/>
    <w:rsid w:val="5C9601D1"/>
    <w:rsid w:val="5C99A36B"/>
    <w:rsid w:val="5C9A1658"/>
    <w:rsid w:val="5C9C9430"/>
    <w:rsid w:val="5CB4FD5D"/>
    <w:rsid w:val="5CB53300"/>
    <w:rsid w:val="5CB58688"/>
    <w:rsid w:val="5CC28D5A"/>
    <w:rsid w:val="5CC28E72"/>
    <w:rsid w:val="5CC760AC"/>
    <w:rsid w:val="5CC9A11D"/>
    <w:rsid w:val="5CCD4DBB"/>
    <w:rsid w:val="5CCDB47C"/>
    <w:rsid w:val="5CD71A9A"/>
    <w:rsid w:val="5CDBBA5A"/>
    <w:rsid w:val="5CEE7AB5"/>
    <w:rsid w:val="5CF09C61"/>
    <w:rsid w:val="5CF77A71"/>
    <w:rsid w:val="5D0033FB"/>
    <w:rsid w:val="5D089114"/>
    <w:rsid w:val="5D0B953C"/>
    <w:rsid w:val="5D0DE859"/>
    <w:rsid w:val="5D0EDAF8"/>
    <w:rsid w:val="5D0F8F13"/>
    <w:rsid w:val="5D15E5E4"/>
    <w:rsid w:val="5D18FD72"/>
    <w:rsid w:val="5D1A629D"/>
    <w:rsid w:val="5D204CEE"/>
    <w:rsid w:val="5D20E5A1"/>
    <w:rsid w:val="5D216086"/>
    <w:rsid w:val="5D26FF37"/>
    <w:rsid w:val="5D2A7A8F"/>
    <w:rsid w:val="5D2D116A"/>
    <w:rsid w:val="5D30424C"/>
    <w:rsid w:val="5D34CBFE"/>
    <w:rsid w:val="5D39D030"/>
    <w:rsid w:val="5D3B35E0"/>
    <w:rsid w:val="5D3F5E3A"/>
    <w:rsid w:val="5D415FB9"/>
    <w:rsid w:val="5D447F80"/>
    <w:rsid w:val="5D4E5BF0"/>
    <w:rsid w:val="5D4EF4EE"/>
    <w:rsid w:val="5D518415"/>
    <w:rsid w:val="5D52567C"/>
    <w:rsid w:val="5D5AC722"/>
    <w:rsid w:val="5D5B8896"/>
    <w:rsid w:val="5D5DA1AE"/>
    <w:rsid w:val="5D5DE4AA"/>
    <w:rsid w:val="5D648F2E"/>
    <w:rsid w:val="5D6BD3C4"/>
    <w:rsid w:val="5D71B4E7"/>
    <w:rsid w:val="5D745267"/>
    <w:rsid w:val="5D74B592"/>
    <w:rsid w:val="5D763488"/>
    <w:rsid w:val="5D77B67C"/>
    <w:rsid w:val="5D786930"/>
    <w:rsid w:val="5D78E6E5"/>
    <w:rsid w:val="5D7AE7A3"/>
    <w:rsid w:val="5D7B52FA"/>
    <w:rsid w:val="5D7F7CBB"/>
    <w:rsid w:val="5D8411D3"/>
    <w:rsid w:val="5D86E21B"/>
    <w:rsid w:val="5D895378"/>
    <w:rsid w:val="5D8A71FD"/>
    <w:rsid w:val="5D93B98C"/>
    <w:rsid w:val="5D955448"/>
    <w:rsid w:val="5D996960"/>
    <w:rsid w:val="5D9AD8CD"/>
    <w:rsid w:val="5D9B8658"/>
    <w:rsid w:val="5D9C8855"/>
    <w:rsid w:val="5D9D2362"/>
    <w:rsid w:val="5D9E4461"/>
    <w:rsid w:val="5DA6F0A3"/>
    <w:rsid w:val="5DAC594F"/>
    <w:rsid w:val="5DB72411"/>
    <w:rsid w:val="5DB7D2E0"/>
    <w:rsid w:val="5DBAD5D7"/>
    <w:rsid w:val="5DC166AF"/>
    <w:rsid w:val="5DC228A9"/>
    <w:rsid w:val="5DC75F75"/>
    <w:rsid w:val="5DC7800B"/>
    <w:rsid w:val="5DC99668"/>
    <w:rsid w:val="5DCC47CD"/>
    <w:rsid w:val="5DD2BB65"/>
    <w:rsid w:val="5DD2BCFF"/>
    <w:rsid w:val="5DDDF914"/>
    <w:rsid w:val="5DDE5157"/>
    <w:rsid w:val="5DE7440A"/>
    <w:rsid w:val="5DEAE491"/>
    <w:rsid w:val="5DF957A1"/>
    <w:rsid w:val="5E04C242"/>
    <w:rsid w:val="5E150C25"/>
    <w:rsid w:val="5E1ACE7C"/>
    <w:rsid w:val="5E1B3B22"/>
    <w:rsid w:val="5E1E1BF9"/>
    <w:rsid w:val="5E243F1A"/>
    <w:rsid w:val="5E252321"/>
    <w:rsid w:val="5E2A7FCF"/>
    <w:rsid w:val="5E2AA832"/>
    <w:rsid w:val="5E2ABC9B"/>
    <w:rsid w:val="5E2DB26B"/>
    <w:rsid w:val="5E312B31"/>
    <w:rsid w:val="5E3600C2"/>
    <w:rsid w:val="5E3E8195"/>
    <w:rsid w:val="5E3EC2ED"/>
    <w:rsid w:val="5E43B7D4"/>
    <w:rsid w:val="5E45FBCD"/>
    <w:rsid w:val="5E4BD94C"/>
    <w:rsid w:val="5E4CA5AA"/>
    <w:rsid w:val="5E506FD1"/>
    <w:rsid w:val="5E51B7A9"/>
    <w:rsid w:val="5E551FB2"/>
    <w:rsid w:val="5E581D4C"/>
    <w:rsid w:val="5E5DB540"/>
    <w:rsid w:val="5E625904"/>
    <w:rsid w:val="5E655A50"/>
    <w:rsid w:val="5E6E0F20"/>
    <w:rsid w:val="5E779045"/>
    <w:rsid w:val="5E7D4A83"/>
    <w:rsid w:val="5E8506CE"/>
    <w:rsid w:val="5E8A890D"/>
    <w:rsid w:val="5E8AE83C"/>
    <w:rsid w:val="5E8C849F"/>
    <w:rsid w:val="5E92D3D0"/>
    <w:rsid w:val="5E9467A2"/>
    <w:rsid w:val="5E9526BE"/>
    <w:rsid w:val="5E98DECF"/>
    <w:rsid w:val="5E9EBFE3"/>
    <w:rsid w:val="5E9FD512"/>
    <w:rsid w:val="5EA04D8E"/>
    <w:rsid w:val="5EA5408A"/>
    <w:rsid w:val="5EAA3D8F"/>
    <w:rsid w:val="5EB4A48F"/>
    <w:rsid w:val="5EBE0626"/>
    <w:rsid w:val="5EC32D5F"/>
    <w:rsid w:val="5EC542CB"/>
    <w:rsid w:val="5ED264FD"/>
    <w:rsid w:val="5ED955F3"/>
    <w:rsid w:val="5ED96264"/>
    <w:rsid w:val="5EDA1664"/>
    <w:rsid w:val="5EDC324D"/>
    <w:rsid w:val="5EE31BF1"/>
    <w:rsid w:val="5EE564B8"/>
    <w:rsid w:val="5EE589AE"/>
    <w:rsid w:val="5EE80986"/>
    <w:rsid w:val="5EEEDE2B"/>
    <w:rsid w:val="5EEEF170"/>
    <w:rsid w:val="5EF2A548"/>
    <w:rsid w:val="5EF31E2B"/>
    <w:rsid w:val="5EF490EC"/>
    <w:rsid w:val="5EF556A5"/>
    <w:rsid w:val="5EF55748"/>
    <w:rsid w:val="5EF7B10D"/>
    <w:rsid w:val="5EF8B64E"/>
    <w:rsid w:val="5EFB9322"/>
    <w:rsid w:val="5EFD7076"/>
    <w:rsid w:val="5F03B80A"/>
    <w:rsid w:val="5F071E1C"/>
    <w:rsid w:val="5F0783B6"/>
    <w:rsid w:val="5F0936E2"/>
    <w:rsid w:val="5F1005A8"/>
    <w:rsid w:val="5F10C0F4"/>
    <w:rsid w:val="5F121040"/>
    <w:rsid w:val="5F1345E0"/>
    <w:rsid w:val="5F164002"/>
    <w:rsid w:val="5F1C8FDB"/>
    <w:rsid w:val="5F1E5C78"/>
    <w:rsid w:val="5F29919B"/>
    <w:rsid w:val="5F3677A4"/>
    <w:rsid w:val="5F36FECC"/>
    <w:rsid w:val="5F392A1E"/>
    <w:rsid w:val="5F392D33"/>
    <w:rsid w:val="5F3F731E"/>
    <w:rsid w:val="5F3FCD94"/>
    <w:rsid w:val="5F4196C1"/>
    <w:rsid w:val="5F4482BD"/>
    <w:rsid w:val="5F45BEFE"/>
    <w:rsid w:val="5F4F86A2"/>
    <w:rsid w:val="5F50E144"/>
    <w:rsid w:val="5F5383FF"/>
    <w:rsid w:val="5F54C3D0"/>
    <w:rsid w:val="5F5F5D0B"/>
    <w:rsid w:val="5F5F71D6"/>
    <w:rsid w:val="5F6A04D4"/>
    <w:rsid w:val="5F70D1A6"/>
    <w:rsid w:val="5F71EBED"/>
    <w:rsid w:val="5F7289F8"/>
    <w:rsid w:val="5F743D58"/>
    <w:rsid w:val="5F76DCF6"/>
    <w:rsid w:val="5F821AE9"/>
    <w:rsid w:val="5F826AC7"/>
    <w:rsid w:val="5F893EE6"/>
    <w:rsid w:val="5F8E430F"/>
    <w:rsid w:val="5F935804"/>
    <w:rsid w:val="5F936E20"/>
    <w:rsid w:val="5FA1B84D"/>
    <w:rsid w:val="5FA3995F"/>
    <w:rsid w:val="5FAB0F41"/>
    <w:rsid w:val="5FAEDC3D"/>
    <w:rsid w:val="5FB07C26"/>
    <w:rsid w:val="5FB78E9F"/>
    <w:rsid w:val="5FB8D3B4"/>
    <w:rsid w:val="5FC5AB92"/>
    <w:rsid w:val="5FCA4542"/>
    <w:rsid w:val="5FCC6757"/>
    <w:rsid w:val="5FD26129"/>
    <w:rsid w:val="5FD2FCD7"/>
    <w:rsid w:val="5FD633B7"/>
    <w:rsid w:val="5FDABEF4"/>
    <w:rsid w:val="5FDC2D55"/>
    <w:rsid w:val="5FDFF38D"/>
    <w:rsid w:val="5FE26E8D"/>
    <w:rsid w:val="5FEAC7F6"/>
    <w:rsid w:val="5FEBDBB7"/>
    <w:rsid w:val="5FF6474A"/>
    <w:rsid w:val="5FF778F2"/>
    <w:rsid w:val="5FFBE60E"/>
    <w:rsid w:val="5FFC3CF9"/>
    <w:rsid w:val="5FFC7882"/>
    <w:rsid w:val="6000035A"/>
    <w:rsid w:val="600030D3"/>
    <w:rsid w:val="6003C0CA"/>
    <w:rsid w:val="6008B5C5"/>
    <w:rsid w:val="6009E381"/>
    <w:rsid w:val="600AD445"/>
    <w:rsid w:val="600ECC8C"/>
    <w:rsid w:val="60106ACA"/>
    <w:rsid w:val="60125441"/>
    <w:rsid w:val="60146264"/>
    <w:rsid w:val="60215AD9"/>
    <w:rsid w:val="603611F0"/>
    <w:rsid w:val="6040A86C"/>
    <w:rsid w:val="6044C27D"/>
    <w:rsid w:val="604C1852"/>
    <w:rsid w:val="6054A4DA"/>
    <w:rsid w:val="6054DAD7"/>
    <w:rsid w:val="60553CE1"/>
    <w:rsid w:val="605942F6"/>
    <w:rsid w:val="605BCFDB"/>
    <w:rsid w:val="605CCAB5"/>
    <w:rsid w:val="60603C26"/>
    <w:rsid w:val="6061DB78"/>
    <w:rsid w:val="606207F1"/>
    <w:rsid w:val="606D28DC"/>
    <w:rsid w:val="606E9BAC"/>
    <w:rsid w:val="60703999"/>
    <w:rsid w:val="6072EA20"/>
    <w:rsid w:val="60774DD9"/>
    <w:rsid w:val="607D4A46"/>
    <w:rsid w:val="6081201F"/>
    <w:rsid w:val="60840632"/>
    <w:rsid w:val="60853EDF"/>
    <w:rsid w:val="60924A76"/>
    <w:rsid w:val="6094F3D9"/>
    <w:rsid w:val="609524EB"/>
    <w:rsid w:val="60968809"/>
    <w:rsid w:val="6097001A"/>
    <w:rsid w:val="609CA1FA"/>
    <w:rsid w:val="60A11FAA"/>
    <w:rsid w:val="60A55E54"/>
    <w:rsid w:val="60A67BBE"/>
    <w:rsid w:val="60AA2A9A"/>
    <w:rsid w:val="60AC8189"/>
    <w:rsid w:val="60B66F41"/>
    <w:rsid w:val="60BC8C07"/>
    <w:rsid w:val="60BD3E25"/>
    <w:rsid w:val="60C3B857"/>
    <w:rsid w:val="60C84817"/>
    <w:rsid w:val="60CCEFCC"/>
    <w:rsid w:val="60CEF6D0"/>
    <w:rsid w:val="60DBC404"/>
    <w:rsid w:val="60E9B756"/>
    <w:rsid w:val="60EBCA62"/>
    <w:rsid w:val="60F09DD6"/>
    <w:rsid w:val="60F12714"/>
    <w:rsid w:val="60F1566D"/>
    <w:rsid w:val="60F57AE7"/>
    <w:rsid w:val="60F5F784"/>
    <w:rsid w:val="60F99313"/>
    <w:rsid w:val="60FB31F9"/>
    <w:rsid w:val="60FEF1B3"/>
    <w:rsid w:val="61127C44"/>
    <w:rsid w:val="6116C45C"/>
    <w:rsid w:val="6119E78A"/>
    <w:rsid w:val="611BEC8A"/>
    <w:rsid w:val="611DA3AF"/>
    <w:rsid w:val="611FABD6"/>
    <w:rsid w:val="612136FD"/>
    <w:rsid w:val="6122AACE"/>
    <w:rsid w:val="6124A4D5"/>
    <w:rsid w:val="61258275"/>
    <w:rsid w:val="612C9261"/>
    <w:rsid w:val="612F609B"/>
    <w:rsid w:val="6136065D"/>
    <w:rsid w:val="6143D14E"/>
    <w:rsid w:val="614460DF"/>
    <w:rsid w:val="6145641C"/>
    <w:rsid w:val="61470C72"/>
    <w:rsid w:val="614944BF"/>
    <w:rsid w:val="614E1E91"/>
    <w:rsid w:val="614EFB4E"/>
    <w:rsid w:val="6155C65F"/>
    <w:rsid w:val="615AC957"/>
    <w:rsid w:val="615B2822"/>
    <w:rsid w:val="615EC752"/>
    <w:rsid w:val="615FEA3D"/>
    <w:rsid w:val="6168AE50"/>
    <w:rsid w:val="6168DDC7"/>
    <w:rsid w:val="616C20B3"/>
    <w:rsid w:val="616FA7CF"/>
    <w:rsid w:val="617079CE"/>
    <w:rsid w:val="617683EF"/>
    <w:rsid w:val="617DA403"/>
    <w:rsid w:val="6184137E"/>
    <w:rsid w:val="6187A501"/>
    <w:rsid w:val="6188755E"/>
    <w:rsid w:val="619C974F"/>
    <w:rsid w:val="619DAB00"/>
    <w:rsid w:val="619DD141"/>
    <w:rsid w:val="61A4E6B2"/>
    <w:rsid w:val="61AD624D"/>
    <w:rsid w:val="61AFE74B"/>
    <w:rsid w:val="61B11FA7"/>
    <w:rsid w:val="61B5D0B8"/>
    <w:rsid w:val="61B8953E"/>
    <w:rsid w:val="61BDA1A8"/>
    <w:rsid w:val="61CD4FE7"/>
    <w:rsid w:val="61D1032F"/>
    <w:rsid w:val="61D2192B"/>
    <w:rsid w:val="61D6D720"/>
    <w:rsid w:val="61E0D5A1"/>
    <w:rsid w:val="61E334A6"/>
    <w:rsid w:val="61E5ABCC"/>
    <w:rsid w:val="61E991E3"/>
    <w:rsid w:val="61EB9E60"/>
    <w:rsid w:val="61EF0049"/>
    <w:rsid w:val="61F46FAE"/>
    <w:rsid w:val="61FBAC0D"/>
    <w:rsid w:val="62012C2F"/>
    <w:rsid w:val="6205A638"/>
    <w:rsid w:val="620629D1"/>
    <w:rsid w:val="620792F0"/>
    <w:rsid w:val="6209D8AD"/>
    <w:rsid w:val="620A9DAB"/>
    <w:rsid w:val="621AD195"/>
    <w:rsid w:val="62252838"/>
    <w:rsid w:val="622A96E3"/>
    <w:rsid w:val="622C7A76"/>
    <w:rsid w:val="6231B202"/>
    <w:rsid w:val="6233F7C3"/>
    <w:rsid w:val="623956B5"/>
    <w:rsid w:val="6240367C"/>
    <w:rsid w:val="62563B58"/>
    <w:rsid w:val="6258EB90"/>
    <w:rsid w:val="625A26A9"/>
    <w:rsid w:val="625D679C"/>
    <w:rsid w:val="625EA5AD"/>
    <w:rsid w:val="6263448F"/>
    <w:rsid w:val="626EF424"/>
    <w:rsid w:val="62724009"/>
    <w:rsid w:val="62752F76"/>
    <w:rsid w:val="627D75BB"/>
    <w:rsid w:val="6280076C"/>
    <w:rsid w:val="62867279"/>
    <w:rsid w:val="6287F96B"/>
    <w:rsid w:val="62893BE9"/>
    <w:rsid w:val="628961E5"/>
    <w:rsid w:val="628BFC10"/>
    <w:rsid w:val="628C0074"/>
    <w:rsid w:val="628CD4F6"/>
    <w:rsid w:val="629407B4"/>
    <w:rsid w:val="629522CF"/>
    <w:rsid w:val="6298DF29"/>
    <w:rsid w:val="629B7246"/>
    <w:rsid w:val="629C4770"/>
    <w:rsid w:val="62A5F6DA"/>
    <w:rsid w:val="62A9C3ED"/>
    <w:rsid w:val="62B316BF"/>
    <w:rsid w:val="62BA76CD"/>
    <w:rsid w:val="62BFF6C4"/>
    <w:rsid w:val="62C65476"/>
    <w:rsid w:val="62CA8264"/>
    <w:rsid w:val="62CAB0EA"/>
    <w:rsid w:val="62CDAAB2"/>
    <w:rsid w:val="62D62A70"/>
    <w:rsid w:val="62D7F1D3"/>
    <w:rsid w:val="62E21742"/>
    <w:rsid w:val="62EA0924"/>
    <w:rsid w:val="62EB2A6E"/>
    <w:rsid w:val="62EC2928"/>
    <w:rsid w:val="62ED0E5C"/>
    <w:rsid w:val="62F5E405"/>
    <w:rsid w:val="62F73084"/>
    <w:rsid w:val="62F812D3"/>
    <w:rsid w:val="62F9ED4F"/>
    <w:rsid w:val="63001339"/>
    <w:rsid w:val="63061322"/>
    <w:rsid w:val="630A08DE"/>
    <w:rsid w:val="630B024E"/>
    <w:rsid w:val="630E3C82"/>
    <w:rsid w:val="6311053B"/>
    <w:rsid w:val="6316E26A"/>
    <w:rsid w:val="631C697B"/>
    <w:rsid w:val="631FE797"/>
    <w:rsid w:val="63266850"/>
    <w:rsid w:val="63318042"/>
    <w:rsid w:val="633229A9"/>
    <w:rsid w:val="633A1060"/>
    <w:rsid w:val="634194B7"/>
    <w:rsid w:val="6342C240"/>
    <w:rsid w:val="63477407"/>
    <w:rsid w:val="634B88E4"/>
    <w:rsid w:val="6352CC1E"/>
    <w:rsid w:val="63542C97"/>
    <w:rsid w:val="635838DF"/>
    <w:rsid w:val="63589F4D"/>
    <w:rsid w:val="635B5667"/>
    <w:rsid w:val="635BE006"/>
    <w:rsid w:val="63782BD8"/>
    <w:rsid w:val="63957882"/>
    <w:rsid w:val="6395E6AF"/>
    <w:rsid w:val="639F8D61"/>
    <w:rsid w:val="63A29357"/>
    <w:rsid w:val="63ABD79D"/>
    <w:rsid w:val="63AD1ECC"/>
    <w:rsid w:val="63AD8BBF"/>
    <w:rsid w:val="63B47F35"/>
    <w:rsid w:val="63B67302"/>
    <w:rsid w:val="63C0C431"/>
    <w:rsid w:val="63D29782"/>
    <w:rsid w:val="63D77F81"/>
    <w:rsid w:val="63EBDF53"/>
    <w:rsid w:val="63F24B96"/>
    <w:rsid w:val="63FA8D4D"/>
    <w:rsid w:val="63FC8E12"/>
    <w:rsid w:val="640452D7"/>
    <w:rsid w:val="64065989"/>
    <w:rsid w:val="6406ACC6"/>
    <w:rsid w:val="6417D195"/>
    <w:rsid w:val="6422D653"/>
    <w:rsid w:val="642A5BB2"/>
    <w:rsid w:val="642D66FF"/>
    <w:rsid w:val="642E626C"/>
    <w:rsid w:val="642F3CA9"/>
    <w:rsid w:val="64336BBD"/>
    <w:rsid w:val="64364B19"/>
    <w:rsid w:val="643FF81B"/>
    <w:rsid w:val="64498BF3"/>
    <w:rsid w:val="644ABE79"/>
    <w:rsid w:val="6451BC9C"/>
    <w:rsid w:val="64580310"/>
    <w:rsid w:val="6458D476"/>
    <w:rsid w:val="64590031"/>
    <w:rsid w:val="64622867"/>
    <w:rsid w:val="64649CED"/>
    <w:rsid w:val="646779D6"/>
    <w:rsid w:val="646C51A5"/>
    <w:rsid w:val="646FA801"/>
    <w:rsid w:val="647B04C2"/>
    <w:rsid w:val="647ED6D8"/>
    <w:rsid w:val="64877A96"/>
    <w:rsid w:val="649332FD"/>
    <w:rsid w:val="649454A6"/>
    <w:rsid w:val="6495EE03"/>
    <w:rsid w:val="6497C04F"/>
    <w:rsid w:val="649B88A2"/>
    <w:rsid w:val="64A0485E"/>
    <w:rsid w:val="64AF98A2"/>
    <w:rsid w:val="64B39624"/>
    <w:rsid w:val="64B8B024"/>
    <w:rsid w:val="64BA92DF"/>
    <w:rsid w:val="64BAB7A2"/>
    <w:rsid w:val="64BB5A13"/>
    <w:rsid w:val="64C79E6C"/>
    <w:rsid w:val="64C8315A"/>
    <w:rsid w:val="64CD614C"/>
    <w:rsid w:val="64CDADDF"/>
    <w:rsid w:val="64D85647"/>
    <w:rsid w:val="64D86689"/>
    <w:rsid w:val="64D88C6D"/>
    <w:rsid w:val="64DA9E99"/>
    <w:rsid w:val="64DFEA62"/>
    <w:rsid w:val="64F55C14"/>
    <w:rsid w:val="64F9B33E"/>
    <w:rsid w:val="64FCE4DD"/>
    <w:rsid w:val="64FE16CC"/>
    <w:rsid w:val="65007D71"/>
    <w:rsid w:val="65037D37"/>
    <w:rsid w:val="65072F70"/>
    <w:rsid w:val="650CC190"/>
    <w:rsid w:val="65106AD3"/>
    <w:rsid w:val="65153951"/>
    <w:rsid w:val="65154AB1"/>
    <w:rsid w:val="651B3770"/>
    <w:rsid w:val="65215BFA"/>
    <w:rsid w:val="6522E924"/>
    <w:rsid w:val="652D3F51"/>
    <w:rsid w:val="652F66B6"/>
    <w:rsid w:val="652F8338"/>
    <w:rsid w:val="65311259"/>
    <w:rsid w:val="65339715"/>
    <w:rsid w:val="65356E91"/>
    <w:rsid w:val="65397CE9"/>
    <w:rsid w:val="653CB3AA"/>
    <w:rsid w:val="6541E5F1"/>
    <w:rsid w:val="6542CCCC"/>
    <w:rsid w:val="654FBC3D"/>
    <w:rsid w:val="6557CC96"/>
    <w:rsid w:val="655993EC"/>
    <w:rsid w:val="655CC8CC"/>
    <w:rsid w:val="655DC337"/>
    <w:rsid w:val="656022EA"/>
    <w:rsid w:val="65637099"/>
    <w:rsid w:val="6568E977"/>
    <w:rsid w:val="656AA3C4"/>
    <w:rsid w:val="657296E5"/>
    <w:rsid w:val="6579A529"/>
    <w:rsid w:val="657A7B09"/>
    <w:rsid w:val="657E4F5B"/>
    <w:rsid w:val="65820027"/>
    <w:rsid w:val="65822EF4"/>
    <w:rsid w:val="6584933B"/>
    <w:rsid w:val="6585CB5A"/>
    <w:rsid w:val="658DD221"/>
    <w:rsid w:val="658E6E4E"/>
    <w:rsid w:val="6591A133"/>
    <w:rsid w:val="65953173"/>
    <w:rsid w:val="65A047C8"/>
    <w:rsid w:val="65A27EE8"/>
    <w:rsid w:val="65A4E615"/>
    <w:rsid w:val="65B16595"/>
    <w:rsid w:val="65B29406"/>
    <w:rsid w:val="65C47196"/>
    <w:rsid w:val="65CED73D"/>
    <w:rsid w:val="65CEDC0E"/>
    <w:rsid w:val="65CFAA28"/>
    <w:rsid w:val="65D3AEAF"/>
    <w:rsid w:val="65D880B8"/>
    <w:rsid w:val="65DA2A5D"/>
    <w:rsid w:val="65E01F8C"/>
    <w:rsid w:val="65E21C08"/>
    <w:rsid w:val="65E75C6D"/>
    <w:rsid w:val="65E841EB"/>
    <w:rsid w:val="65EB0622"/>
    <w:rsid w:val="65F41413"/>
    <w:rsid w:val="65FA1FED"/>
    <w:rsid w:val="65FC6147"/>
    <w:rsid w:val="65FD46C8"/>
    <w:rsid w:val="6601C066"/>
    <w:rsid w:val="66187C1B"/>
    <w:rsid w:val="661CAE45"/>
    <w:rsid w:val="6622A0DA"/>
    <w:rsid w:val="66249094"/>
    <w:rsid w:val="662AE53C"/>
    <w:rsid w:val="662AF0D8"/>
    <w:rsid w:val="662E0133"/>
    <w:rsid w:val="663157A3"/>
    <w:rsid w:val="66354D04"/>
    <w:rsid w:val="663DE454"/>
    <w:rsid w:val="664101AF"/>
    <w:rsid w:val="664B7B38"/>
    <w:rsid w:val="664F78E0"/>
    <w:rsid w:val="664FA39A"/>
    <w:rsid w:val="665329A4"/>
    <w:rsid w:val="665B6AFB"/>
    <w:rsid w:val="665C31F2"/>
    <w:rsid w:val="665E3A01"/>
    <w:rsid w:val="6663E961"/>
    <w:rsid w:val="666A4B2D"/>
    <w:rsid w:val="666C1B16"/>
    <w:rsid w:val="666E2CF6"/>
    <w:rsid w:val="667950E6"/>
    <w:rsid w:val="667C6586"/>
    <w:rsid w:val="668A3A84"/>
    <w:rsid w:val="668B5CEF"/>
    <w:rsid w:val="669123E1"/>
    <w:rsid w:val="66997F9A"/>
    <w:rsid w:val="669A843F"/>
    <w:rsid w:val="66A6A05E"/>
    <w:rsid w:val="66A7B5C4"/>
    <w:rsid w:val="66ABEE9E"/>
    <w:rsid w:val="66AC7031"/>
    <w:rsid w:val="66BBCF39"/>
    <w:rsid w:val="66C8FFF0"/>
    <w:rsid w:val="66C9AC92"/>
    <w:rsid w:val="66CB8D6B"/>
    <w:rsid w:val="66CDA686"/>
    <w:rsid w:val="66CFD6AF"/>
    <w:rsid w:val="66D24298"/>
    <w:rsid w:val="66D645E4"/>
    <w:rsid w:val="66D6715D"/>
    <w:rsid w:val="66DBA15B"/>
    <w:rsid w:val="66DE8FDC"/>
    <w:rsid w:val="66E4BCAD"/>
    <w:rsid w:val="66E6FB27"/>
    <w:rsid w:val="66E812F3"/>
    <w:rsid w:val="66E989F3"/>
    <w:rsid w:val="66F87346"/>
    <w:rsid w:val="66FABBBA"/>
    <w:rsid w:val="67016445"/>
    <w:rsid w:val="670208D2"/>
    <w:rsid w:val="6708656B"/>
    <w:rsid w:val="670AAD21"/>
    <w:rsid w:val="6712BFE6"/>
    <w:rsid w:val="6712DD74"/>
    <w:rsid w:val="671B71DB"/>
    <w:rsid w:val="67232264"/>
    <w:rsid w:val="6723D29B"/>
    <w:rsid w:val="67241073"/>
    <w:rsid w:val="67245AAB"/>
    <w:rsid w:val="6725136D"/>
    <w:rsid w:val="6726BA2E"/>
    <w:rsid w:val="672A188D"/>
    <w:rsid w:val="672CA614"/>
    <w:rsid w:val="6739C3DA"/>
    <w:rsid w:val="673B3BF1"/>
    <w:rsid w:val="673B4D93"/>
    <w:rsid w:val="673BF72F"/>
    <w:rsid w:val="673D24E0"/>
    <w:rsid w:val="673E5092"/>
    <w:rsid w:val="673E7627"/>
    <w:rsid w:val="673FA21E"/>
    <w:rsid w:val="67443383"/>
    <w:rsid w:val="6745F97F"/>
    <w:rsid w:val="674D0756"/>
    <w:rsid w:val="67536AFA"/>
    <w:rsid w:val="6754F448"/>
    <w:rsid w:val="67589C61"/>
    <w:rsid w:val="67590C39"/>
    <w:rsid w:val="675CC244"/>
    <w:rsid w:val="675F399A"/>
    <w:rsid w:val="67646259"/>
    <w:rsid w:val="6766DAF0"/>
    <w:rsid w:val="676B0E96"/>
    <w:rsid w:val="676D305B"/>
    <w:rsid w:val="67746D48"/>
    <w:rsid w:val="67789DFF"/>
    <w:rsid w:val="678CC870"/>
    <w:rsid w:val="678E3152"/>
    <w:rsid w:val="678E674F"/>
    <w:rsid w:val="678EC3EA"/>
    <w:rsid w:val="67907E15"/>
    <w:rsid w:val="67911669"/>
    <w:rsid w:val="67965A8A"/>
    <w:rsid w:val="6796EF63"/>
    <w:rsid w:val="67992B31"/>
    <w:rsid w:val="679BBD00"/>
    <w:rsid w:val="67A007FA"/>
    <w:rsid w:val="67A3BBAE"/>
    <w:rsid w:val="67A55CB4"/>
    <w:rsid w:val="67ABE407"/>
    <w:rsid w:val="67AC0AA8"/>
    <w:rsid w:val="67AEF763"/>
    <w:rsid w:val="67AF9FB2"/>
    <w:rsid w:val="67AFDC67"/>
    <w:rsid w:val="67B065AA"/>
    <w:rsid w:val="67B8B5D0"/>
    <w:rsid w:val="67C087CD"/>
    <w:rsid w:val="67C29546"/>
    <w:rsid w:val="67C50169"/>
    <w:rsid w:val="67D02CC4"/>
    <w:rsid w:val="67DF7FB8"/>
    <w:rsid w:val="67E96745"/>
    <w:rsid w:val="67F139CE"/>
    <w:rsid w:val="67F5EEA2"/>
    <w:rsid w:val="67F7DD2F"/>
    <w:rsid w:val="67FADA0D"/>
    <w:rsid w:val="67FC3477"/>
    <w:rsid w:val="67FE1859"/>
    <w:rsid w:val="68031FB3"/>
    <w:rsid w:val="680772BA"/>
    <w:rsid w:val="6808B72E"/>
    <w:rsid w:val="680AF5A0"/>
    <w:rsid w:val="680E160A"/>
    <w:rsid w:val="68117E40"/>
    <w:rsid w:val="68148DC6"/>
    <w:rsid w:val="6816528C"/>
    <w:rsid w:val="681A91E4"/>
    <w:rsid w:val="68279E38"/>
    <w:rsid w:val="682C33B4"/>
    <w:rsid w:val="682CB51A"/>
    <w:rsid w:val="68302D90"/>
    <w:rsid w:val="6830803F"/>
    <w:rsid w:val="68361966"/>
    <w:rsid w:val="68405F9B"/>
    <w:rsid w:val="68491274"/>
    <w:rsid w:val="684CE0C8"/>
    <w:rsid w:val="68516060"/>
    <w:rsid w:val="68682723"/>
    <w:rsid w:val="686B97F6"/>
    <w:rsid w:val="686BFB97"/>
    <w:rsid w:val="686CF024"/>
    <w:rsid w:val="686E3AB8"/>
    <w:rsid w:val="6870EE7D"/>
    <w:rsid w:val="6876C292"/>
    <w:rsid w:val="68815EF5"/>
    <w:rsid w:val="68855DED"/>
    <w:rsid w:val="68888628"/>
    <w:rsid w:val="688BF809"/>
    <w:rsid w:val="688FC564"/>
    <w:rsid w:val="68919BCB"/>
    <w:rsid w:val="689BC186"/>
    <w:rsid w:val="68A76B12"/>
    <w:rsid w:val="68A98D20"/>
    <w:rsid w:val="68B1E56A"/>
    <w:rsid w:val="68B40D8A"/>
    <w:rsid w:val="68BD355F"/>
    <w:rsid w:val="68C044CB"/>
    <w:rsid w:val="68C20E80"/>
    <w:rsid w:val="68C32338"/>
    <w:rsid w:val="68C4F457"/>
    <w:rsid w:val="68CD4149"/>
    <w:rsid w:val="68CE0E15"/>
    <w:rsid w:val="68CE60AF"/>
    <w:rsid w:val="68D27ACE"/>
    <w:rsid w:val="68D9213A"/>
    <w:rsid w:val="68DFB1F7"/>
    <w:rsid w:val="68E1CC3F"/>
    <w:rsid w:val="68E5E3A0"/>
    <w:rsid w:val="68ECF67A"/>
    <w:rsid w:val="68F0234C"/>
    <w:rsid w:val="68F197C0"/>
    <w:rsid w:val="68F1C480"/>
    <w:rsid w:val="68F577E7"/>
    <w:rsid w:val="68FD6803"/>
    <w:rsid w:val="68FDF45F"/>
    <w:rsid w:val="6904CE12"/>
    <w:rsid w:val="691194E8"/>
    <w:rsid w:val="6913904D"/>
    <w:rsid w:val="691964FE"/>
    <w:rsid w:val="691A7FFB"/>
    <w:rsid w:val="69211D45"/>
    <w:rsid w:val="69220847"/>
    <w:rsid w:val="6923D219"/>
    <w:rsid w:val="69296B26"/>
    <w:rsid w:val="692C055A"/>
    <w:rsid w:val="6931F2D3"/>
    <w:rsid w:val="6934BC9C"/>
    <w:rsid w:val="693539A6"/>
    <w:rsid w:val="6936E55E"/>
    <w:rsid w:val="693A5E3C"/>
    <w:rsid w:val="693E6207"/>
    <w:rsid w:val="693F3F56"/>
    <w:rsid w:val="6940CF99"/>
    <w:rsid w:val="694B7ADB"/>
    <w:rsid w:val="694C01A4"/>
    <w:rsid w:val="694E6EB2"/>
    <w:rsid w:val="6950DFA2"/>
    <w:rsid w:val="695661CC"/>
    <w:rsid w:val="69600F68"/>
    <w:rsid w:val="696164A4"/>
    <w:rsid w:val="6962310E"/>
    <w:rsid w:val="6968C17C"/>
    <w:rsid w:val="696D0194"/>
    <w:rsid w:val="6970A04C"/>
    <w:rsid w:val="69758756"/>
    <w:rsid w:val="697C08E3"/>
    <w:rsid w:val="697CDFAC"/>
    <w:rsid w:val="697E4FEE"/>
    <w:rsid w:val="698224D4"/>
    <w:rsid w:val="699043CD"/>
    <w:rsid w:val="69992AE9"/>
    <w:rsid w:val="69A88252"/>
    <w:rsid w:val="69A8D8EC"/>
    <w:rsid w:val="69AFA9BD"/>
    <w:rsid w:val="69B7AEF6"/>
    <w:rsid w:val="69B8AC43"/>
    <w:rsid w:val="69BACDB7"/>
    <w:rsid w:val="69BBDE14"/>
    <w:rsid w:val="69BF8522"/>
    <w:rsid w:val="69C58D1D"/>
    <w:rsid w:val="69C6231A"/>
    <w:rsid w:val="69CE9283"/>
    <w:rsid w:val="69CF9EE4"/>
    <w:rsid w:val="69CFA62E"/>
    <w:rsid w:val="69DE3BC0"/>
    <w:rsid w:val="69E30AD6"/>
    <w:rsid w:val="69E46C98"/>
    <w:rsid w:val="69EC9B58"/>
    <w:rsid w:val="69F0A40E"/>
    <w:rsid w:val="69F10F3D"/>
    <w:rsid w:val="69F269CB"/>
    <w:rsid w:val="69F86378"/>
    <w:rsid w:val="69FA657B"/>
    <w:rsid w:val="69FC7135"/>
    <w:rsid w:val="69FF2E8C"/>
    <w:rsid w:val="6A031B49"/>
    <w:rsid w:val="6A03A54A"/>
    <w:rsid w:val="6A053496"/>
    <w:rsid w:val="6A0714C6"/>
    <w:rsid w:val="6A097A92"/>
    <w:rsid w:val="6A11CF74"/>
    <w:rsid w:val="6A13C9CE"/>
    <w:rsid w:val="6A1506F9"/>
    <w:rsid w:val="6A162ED0"/>
    <w:rsid w:val="6A173479"/>
    <w:rsid w:val="6A1B628A"/>
    <w:rsid w:val="6A1CB0E4"/>
    <w:rsid w:val="6A1E9017"/>
    <w:rsid w:val="6A2048F3"/>
    <w:rsid w:val="6A243EE3"/>
    <w:rsid w:val="6A2666E1"/>
    <w:rsid w:val="6A266A49"/>
    <w:rsid w:val="6A278553"/>
    <w:rsid w:val="6A315F49"/>
    <w:rsid w:val="6A31BBF1"/>
    <w:rsid w:val="6A3AF64B"/>
    <w:rsid w:val="6A3C129F"/>
    <w:rsid w:val="6A409F3C"/>
    <w:rsid w:val="6A48C9B2"/>
    <w:rsid w:val="6A4C0B6A"/>
    <w:rsid w:val="6A4D101B"/>
    <w:rsid w:val="6A548B8C"/>
    <w:rsid w:val="6A68698C"/>
    <w:rsid w:val="6A6D90E1"/>
    <w:rsid w:val="6A6ED154"/>
    <w:rsid w:val="6A716060"/>
    <w:rsid w:val="6A7B3E7B"/>
    <w:rsid w:val="6A7FF4F3"/>
    <w:rsid w:val="6A81C4E4"/>
    <w:rsid w:val="6A849417"/>
    <w:rsid w:val="6A899420"/>
    <w:rsid w:val="6A94C6C7"/>
    <w:rsid w:val="6A961429"/>
    <w:rsid w:val="6A996DB9"/>
    <w:rsid w:val="6A99CE60"/>
    <w:rsid w:val="6A9AB66E"/>
    <w:rsid w:val="6A9AE966"/>
    <w:rsid w:val="6AA46FD3"/>
    <w:rsid w:val="6AA564B9"/>
    <w:rsid w:val="6AA56810"/>
    <w:rsid w:val="6AA74289"/>
    <w:rsid w:val="6AABD1E0"/>
    <w:rsid w:val="6AABDFA5"/>
    <w:rsid w:val="6AB66250"/>
    <w:rsid w:val="6ABC8B79"/>
    <w:rsid w:val="6AC7CD12"/>
    <w:rsid w:val="6AC9393B"/>
    <w:rsid w:val="6ACD2F36"/>
    <w:rsid w:val="6AD1E9BB"/>
    <w:rsid w:val="6AD53591"/>
    <w:rsid w:val="6AD8E553"/>
    <w:rsid w:val="6ADB7440"/>
    <w:rsid w:val="6ADBBAA9"/>
    <w:rsid w:val="6ADD3653"/>
    <w:rsid w:val="6ADE48F0"/>
    <w:rsid w:val="6ADF0373"/>
    <w:rsid w:val="6AE21A9C"/>
    <w:rsid w:val="6AE2BC98"/>
    <w:rsid w:val="6AE41BCE"/>
    <w:rsid w:val="6AE63BDE"/>
    <w:rsid w:val="6AE80F16"/>
    <w:rsid w:val="6AF18018"/>
    <w:rsid w:val="6AF454C1"/>
    <w:rsid w:val="6AF471E3"/>
    <w:rsid w:val="6AFDBC4E"/>
    <w:rsid w:val="6AFE2354"/>
    <w:rsid w:val="6B07A4FB"/>
    <w:rsid w:val="6B07F7B0"/>
    <w:rsid w:val="6B0B3341"/>
    <w:rsid w:val="6B0FF10E"/>
    <w:rsid w:val="6B103097"/>
    <w:rsid w:val="6B1B727E"/>
    <w:rsid w:val="6B1F9FA1"/>
    <w:rsid w:val="6B223BB6"/>
    <w:rsid w:val="6B232B58"/>
    <w:rsid w:val="6B24622B"/>
    <w:rsid w:val="6B26BEF4"/>
    <w:rsid w:val="6B2A0125"/>
    <w:rsid w:val="6B2FD111"/>
    <w:rsid w:val="6B2FFF91"/>
    <w:rsid w:val="6B32E478"/>
    <w:rsid w:val="6B339C9F"/>
    <w:rsid w:val="6B3554C5"/>
    <w:rsid w:val="6B375B12"/>
    <w:rsid w:val="6B3F349E"/>
    <w:rsid w:val="6B40140C"/>
    <w:rsid w:val="6B40C095"/>
    <w:rsid w:val="6B43F3B4"/>
    <w:rsid w:val="6B488BB5"/>
    <w:rsid w:val="6B495A54"/>
    <w:rsid w:val="6B4A63F2"/>
    <w:rsid w:val="6B4AB66C"/>
    <w:rsid w:val="6B5017A9"/>
    <w:rsid w:val="6B502420"/>
    <w:rsid w:val="6B515BE3"/>
    <w:rsid w:val="6B5184E7"/>
    <w:rsid w:val="6B5513C5"/>
    <w:rsid w:val="6B5A19D4"/>
    <w:rsid w:val="6B5FE6C1"/>
    <w:rsid w:val="6B677577"/>
    <w:rsid w:val="6B6A418E"/>
    <w:rsid w:val="6B6B02C4"/>
    <w:rsid w:val="6B7193FA"/>
    <w:rsid w:val="6B71FF6A"/>
    <w:rsid w:val="6B7CC95D"/>
    <w:rsid w:val="6B871C5E"/>
    <w:rsid w:val="6B8FD1DB"/>
    <w:rsid w:val="6B93EDE8"/>
    <w:rsid w:val="6B98C250"/>
    <w:rsid w:val="6BABCC07"/>
    <w:rsid w:val="6BB5364F"/>
    <w:rsid w:val="6BB8FD5F"/>
    <w:rsid w:val="6BC133B2"/>
    <w:rsid w:val="6BC26937"/>
    <w:rsid w:val="6BCC74F3"/>
    <w:rsid w:val="6BDB8DDC"/>
    <w:rsid w:val="6BDC26C8"/>
    <w:rsid w:val="6BDD6AB3"/>
    <w:rsid w:val="6BDF2939"/>
    <w:rsid w:val="6BE6C634"/>
    <w:rsid w:val="6BEE2BD1"/>
    <w:rsid w:val="6BF27186"/>
    <w:rsid w:val="6C0E5F37"/>
    <w:rsid w:val="6C156847"/>
    <w:rsid w:val="6C199A2A"/>
    <w:rsid w:val="6C208B56"/>
    <w:rsid w:val="6C2BBFFA"/>
    <w:rsid w:val="6C2E3937"/>
    <w:rsid w:val="6C309D7A"/>
    <w:rsid w:val="6C3652AF"/>
    <w:rsid w:val="6C39FC0F"/>
    <w:rsid w:val="6C3E75A4"/>
    <w:rsid w:val="6C5081F3"/>
    <w:rsid w:val="6C510BCF"/>
    <w:rsid w:val="6C6182F3"/>
    <w:rsid w:val="6C669394"/>
    <w:rsid w:val="6C66AF51"/>
    <w:rsid w:val="6C672A5E"/>
    <w:rsid w:val="6C68DDE6"/>
    <w:rsid w:val="6C76DF8C"/>
    <w:rsid w:val="6C7F260E"/>
    <w:rsid w:val="6C7F66C8"/>
    <w:rsid w:val="6C8064DB"/>
    <w:rsid w:val="6C8261EB"/>
    <w:rsid w:val="6C8B61E9"/>
    <w:rsid w:val="6C8E56C9"/>
    <w:rsid w:val="6C8F2476"/>
    <w:rsid w:val="6C916AEA"/>
    <w:rsid w:val="6C9289EC"/>
    <w:rsid w:val="6C9636C9"/>
    <w:rsid w:val="6CA6E4E9"/>
    <w:rsid w:val="6CAAD4A4"/>
    <w:rsid w:val="6CAAFE7E"/>
    <w:rsid w:val="6CACC207"/>
    <w:rsid w:val="6CB5AE6A"/>
    <w:rsid w:val="6CB80BB5"/>
    <w:rsid w:val="6CBB69ED"/>
    <w:rsid w:val="6CC46CA6"/>
    <w:rsid w:val="6CCEAD0F"/>
    <w:rsid w:val="6CD47050"/>
    <w:rsid w:val="6CD504A8"/>
    <w:rsid w:val="6CD9B21B"/>
    <w:rsid w:val="6CDC4EA1"/>
    <w:rsid w:val="6CE0552F"/>
    <w:rsid w:val="6CE2D1A0"/>
    <w:rsid w:val="6CE2DB88"/>
    <w:rsid w:val="6CE49F85"/>
    <w:rsid w:val="6CE5EC77"/>
    <w:rsid w:val="6CEDDFE8"/>
    <w:rsid w:val="6CEDF05E"/>
    <w:rsid w:val="6CEF1E16"/>
    <w:rsid w:val="6CF04618"/>
    <w:rsid w:val="6CF1780C"/>
    <w:rsid w:val="6CF87F91"/>
    <w:rsid w:val="6D08048F"/>
    <w:rsid w:val="6D1D17F3"/>
    <w:rsid w:val="6D1D3947"/>
    <w:rsid w:val="6D1D4649"/>
    <w:rsid w:val="6D1DD17F"/>
    <w:rsid w:val="6D1F9452"/>
    <w:rsid w:val="6D20B504"/>
    <w:rsid w:val="6D283C3B"/>
    <w:rsid w:val="6D2DEEB4"/>
    <w:rsid w:val="6D31A64D"/>
    <w:rsid w:val="6D33B102"/>
    <w:rsid w:val="6D3F8936"/>
    <w:rsid w:val="6D4E2247"/>
    <w:rsid w:val="6D501D07"/>
    <w:rsid w:val="6D508034"/>
    <w:rsid w:val="6D54F9D4"/>
    <w:rsid w:val="6D5A42B1"/>
    <w:rsid w:val="6D6028F3"/>
    <w:rsid w:val="6D602ECA"/>
    <w:rsid w:val="6D635BAC"/>
    <w:rsid w:val="6D65C920"/>
    <w:rsid w:val="6D6A6878"/>
    <w:rsid w:val="6D6F5C63"/>
    <w:rsid w:val="6D71C889"/>
    <w:rsid w:val="6D7CBD4F"/>
    <w:rsid w:val="6D7E3262"/>
    <w:rsid w:val="6D8027D9"/>
    <w:rsid w:val="6D895C6A"/>
    <w:rsid w:val="6D895FB1"/>
    <w:rsid w:val="6D95203C"/>
    <w:rsid w:val="6D9ADDF2"/>
    <w:rsid w:val="6DA3137D"/>
    <w:rsid w:val="6DAC7703"/>
    <w:rsid w:val="6DB87F17"/>
    <w:rsid w:val="6DB9BAEE"/>
    <w:rsid w:val="6DBB0E18"/>
    <w:rsid w:val="6DBCCE80"/>
    <w:rsid w:val="6DBEAA13"/>
    <w:rsid w:val="6DC47F47"/>
    <w:rsid w:val="6DCB6B83"/>
    <w:rsid w:val="6DCC25EA"/>
    <w:rsid w:val="6DCF3D5E"/>
    <w:rsid w:val="6DE76A17"/>
    <w:rsid w:val="6DEA2883"/>
    <w:rsid w:val="6DEA5E79"/>
    <w:rsid w:val="6DEAEE7D"/>
    <w:rsid w:val="6DF03FB1"/>
    <w:rsid w:val="6DFAB815"/>
    <w:rsid w:val="6E0A6572"/>
    <w:rsid w:val="6E0C16BA"/>
    <w:rsid w:val="6E167127"/>
    <w:rsid w:val="6E187C44"/>
    <w:rsid w:val="6E18B881"/>
    <w:rsid w:val="6E1D470C"/>
    <w:rsid w:val="6E28D8FA"/>
    <w:rsid w:val="6E2CCDD8"/>
    <w:rsid w:val="6E31FDAD"/>
    <w:rsid w:val="6E3408FA"/>
    <w:rsid w:val="6E344D50"/>
    <w:rsid w:val="6E3A5802"/>
    <w:rsid w:val="6E3C69B8"/>
    <w:rsid w:val="6E3CAE10"/>
    <w:rsid w:val="6E45193C"/>
    <w:rsid w:val="6E47B661"/>
    <w:rsid w:val="6E48AA7B"/>
    <w:rsid w:val="6E48D9D0"/>
    <w:rsid w:val="6E5060C2"/>
    <w:rsid w:val="6E520B26"/>
    <w:rsid w:val="6E5417B6"/>
    <w:rsid w:val="6E550C0C"/>
    <w:rsid w:val="6E57F114"/>
    <w:rsid w:val="6E5F3EF0"/>
    <w:rsid w:val="6E5F626B"/>
    <w:rsid w:val="6E60BF56"/>
    <w:rsid w:val="6E632A7B"/>
    <w:rsid w:val="6E6D1F2C"/>
    <w:rsid w:val="6E6E3BE4"/>
    <w:rsid w:val="6E71DD53"/>
    <w:rsid w:val="6E72BAFD"/>
    <w:rsid w:val="6E72C1B7"/>
    <w:rsid w:val="6E7770B7"/>
    <w:rsid w:val="6E7DBE82"/>
    <w:rsid w:val="6E7ECF22"/>
    <w:rsid w:val="6E86D01B"/>
    <w:rsid w:val="6E92ABF2"/>
    <w:rsid w:val="6E96CEEC"/>
    <w:rsid w:val="6E973D8E"/>
    <w:rsid w:val="6EA2E38D"/>
    <w:rsid w:val="6EA6533D"/>
    <w:rsid w:val="6EA701CC"/>
    <w:rsid w:val="6EA838BE"/>
    <w:rsid w:val="6EB14C15"/>
    <w:rsid w:val="6EB62676"/>
    <w:rsid w:val="6EB8591B"/>
    <w:rsid w:val="6EB9F533"/>
    <w:rsid w:val="6EBD778D"/>
    <w:rsid w:val="6EC655E4"/>
    <w:rsid w:val="6EC8CFA0"/>
    <w:rsid w:val="6ECEF700"/>
    <w:rsid w:val="6ECFC554"/>
    <w:rsid w:val="6ED245E8"/>
    <w:rsid w:val="6ED7D3F7"/>
    <w:rsid w:val="6EDC4938"/>
    <w:rsid w:val="6EE09E67"/>
    <w:rsid w:val="6EE3D91B"/>
    <w:rsid w:val="6EEA2A49"/>
    <w:rsid w:val="6EEFAB83"/>
    <w:rsid w:val="6EF352BB"/>
    <w:rsid w:val="6EFAD924"/>
    <w:rsid w:val="6EFB59AE"/>
    <w:rsid w:val="6EFE7ED2"/>
    <w:rsid w:val="6F03B010"/>
    <w:rsid w:val="6F066559"/>
    <w:rsid w:val="6F08F4E0"/>
    <w:rsid w:val="6F0916EF"/>
    <w:rsid w:val="6F0C2504"/>
    <w:rsid w:val="6F10212C"/>
    <w:rsid w:val="6F10F07E"/>
    <w:rsid w:val="6F123C1B"/>
    <w:rsid w:val="6F175A4D"/>
    <w:rsid w:val="6F1FC28F"/>
    <w:rsid w:val="6F24FACC"/>
    <w:rsid w:val="6F2EC353"/>
    <w:rsid w:val="6F366A9E"/>
    <w:rsid w:val="6F37BC5B"/>
    <w:rsid w:val="6F37C191"/>
    <w:rsid w:val="6F39499F"/>
    <w:rsid w:val="6F3B3A88"/>
    <w:rsid w:val="6F3B500D"/>
    <w:rsid w:val="6F3B8FD3"/>
    <w:rsid w:val="6F3C3297"/>
    <w:rsid w:val="6F402E58"/>
    <w:rsid w:val="6F42E5EE"/>
    <w:rsid w:val="6F44A90F"/>
    <w:rsid w:val="6F469B78"/>
    <w:rsid w:val="6F4807A4"/>
    <w:rsid w:val="6F498640"/>
    <w:rsid w:val="6F4A5C8C"/>
    <w:rsid w:val="6F4B3CBE"/>
    <w:rsid w:val="6F4E0D55"/>
    <w:rsid w:val="6F4FD38F"/>
    <w:rsid w:val="6F51AC89"/>
    <w:rsid w:val="6F523345"/>
    <w:rsid w:val="6F571D67"/>
    <w:rsid w:val="6F5F0478"/>
    <w:rsid w:val="6F6015BF"/>
    <w:rsid w:val="6F649768"/>
    <w:rsid w:val="6F67A7D6"/>
    <w:rsid w:val="6F6B3999"/>
    <w:rsid w:val="6F6F3E7B"/>
    <w:rsid w:val="6F745EB8"/>
    <w:rsid w:val="6F7A5750"/>
    <w:rsid w:val="6F7BEB78"/>
    <w:rsid w:val="6F7BF1A4"/>
    <w:rsid w:val="6F87537D"/>
    <w:rsid w:val="6F8850B2"/>
    <w:rsid w:val="6F8DECEF"/>
    <w:rsid w:val="6F93EFF0"/>
    <w:rsid w:val="6F9476A8"/>
    <w:rsid w:val="6F9701D2"/>
    <w:rsid w:val="6FA44D35"/>
    <w:rsid w:val="6FA58FE8"/>
    <w:rsid w:val="6FAEC180"/>
    <w:rsid w:val="6FB4E78F"/>
    <w:rsid w:val="6FB94F35"/>
    <w:rsid w:val="6FBC3DF9"/>
    <w:rsid w:val="6FC47EEE"/>
    <w:rsid w:val="6FCA7E78"/>
    <w:rsid w:val="6FD2806B"/>
    <w:rsid w:val="6FD301AC"/>
    <w:rsid w:val="6FD6FDE1"/>
    <w:rsid w:val="6FD84AED"/>
    <w:rsid w:val="6FE66C25"/>
    <w:rsid w:val="6FE724AB"/>
    <w:rsid w:val="6FE9B83B"/>
    <w:rsid w:val="6FEBE3CD"/>
    <w:rsid w:val="6FF4D1CC"/>
    <w:rsid w:val="6FFF594A"/>
    <w:rsid w:val="700A84DB"/>
    <w:rsid w:val="700B423E"/>
    <w:rsid w:val="700E5455"/>
    <w:rsid w:val="701331A2"/>
    <w:rsid w:val="701B024A"/>
    <w:rsid w:val="701DA921"/>
    <w:rsid w:val="701E13EC"/>
    <w:rsid w:val="702A6008"/>
    <w:rsid w:val="702EFF66"/>
    <w:rsid w:val="7037709D"/>
    <w:rsid w:val="70396A0C"/>
    <w:rsid w:val="703D6398"/>
    <w:rsid w:val="703EB0DD"/>
    <w:rsid w:val="703FBF48"/>
    <w:rsid w:val="703FCA05"/>
    <w:rsid w:val="704553AD"/>
    <w:rsid w:val="7047290B"/>
    <w:rsid w:val="7047C4DB"/>
    <w:rsid w:val="70498CCF"/>
    <w:rsid w:val="704B89CF"/>
    <w:rsid w:val="704CB2DB"/>
    <w:rsid w:val="7052D372"/>
    <w:rsid w:val="7053875E"/>
    <w:rsid w:val="7059654A"/>
    <w:rsid w:val="705C7C0E"/>
    <w:rsid w:val="705FF4E3"/>
    <w:rsid w:val="7066133D"/>
    <w:rsid w:val="706CBC69"/>
    <w:rsid w:val="706D2149"/>
    <w:rsid w:val="706FE0E9"/>
    <w:rsid w:val="7072C62C"/>
    <w:rsid w:val="70750F18"/>
    <w:rsid w:val="7079A3A2"/>
    <w:rsid w:val="70819AB2"/>
    <w:rsid w:val="708F8E8E"/>
    <w:rsid w:val="70913A45"/>
    <w:rsid w:val="7095C57B"/>
    <w:rsid w:val="70A2F9D2"/>
    <w:rsid w:val="70B0D7ED"/>
    <w:rsid w:val="70B49B12"/>
    <w:rsid w:val="70B62FC0"/>
    <w:rsid w:val="70B87D02"/>
    <w:rsid w:val="70BD322D"/>
    <w:rsid w:val="70BDBF53"/>
    <w:rsid w:val="70C30F9E"/>
    <w:rsid w:val="70C8CA9A"/>
    <w:rsid w:val="70C90560"/>
    <w:rsid w:val="70C9E296"/>
    <w:rsid w:val="70CA3DFF"/>
    <w:rsid w:val="70CF16B2"/>
    <w:rsid w:val="70CF6445"/>
    <w:rsid w:val="70D4854A"/>
    <w:rsid w:val="70DB1804"/>
    <w:rsid w:val="70DB6A18"/>
    <w:rsid w:val="70DCB5A3"/>
    <w:rsid w:val="70DD194E"/>
    <w:rsid w:val="70E2AD4B"/>
    <w:rsid w:val="70E7C04C"/>
    <w:rsid w:val="70E8C129"/>
    <w:rsid w:val="70EC4FFC"/>
    <w:rsid w:val="70FC9EE3"/>
    <w:rsid w:val="70FFE962"/>
    <w:rsid w:val="710030BF"/>
    <w:rsid w:val="7101E4FC"/>
    <w:rsid w:val="71072C9A"/>
    <w:rsid w:val="710ACCA3"/>
    <w:rsid w:val="710C5158"/>
    <w:rsid w:val="710E35CB"/>
    <w:rsid w:val="7110C6D1"/>
    <w:rsid w:val="711E0FA9"/>
    <w:rsid w:val="711E16CE"/>
    <w:rsid w:val="7123655C"/>
    <w:rsid w:val="71292FCB"/>
    <w:rsid w:val="712A38FD"/>
    <w:rsid w:val="7131DEFE"/>
    <w:rsid w:val="713858A2"/>
    <w:rsid w:val="713DCE76"/>
    <w:rsid w:val="713DFDE8"/>
    <w:rsid w:val="71445028"/>
    <w:rsid w:val="714A42C2"/>
    <w:rsid w:val="714BCE64"/>
    <w:rsid w:val="71509F74"/>
    <w:rsid w:val="71511FE6"/>
    <w:rsid w:val="715625C0"/>
    <w:rsid w:val="71582524"/>
    <w:rsid w:val="7158CAB3"/>
    <w:rsid w:val="715A5858"/>
    <w:rsid w:val="715DC4B3"/>
    <w:rsid w:val="715DDB83"/>
    <w:rsid w:val="715E8D68"/>
    <w:rsid w:val="71637F98"/>
    <w:rsid w:val="717154A2"/>
    <w:rsid w:val="717C639E"/>
    <w:rsid w:val="717E51DF"/>
    <w:rsid w:val="7180178D"/>
    <w:rsid w:val="7181C2F8"/>
    <w:rsid w:val="7192ABBD"/>
    <w:rsid w:val="7193573C"/>
    <w:rsid w:val="71988A11"/>
    <w:rsid w:val="71996A87"/>
    <w:rsid w:val="719F0B42"/>
    <w:rsid w:val="71A2315B"/>
    <w:rsid w:val="71A4157E"/>
    <w:rsid w:val="71AA144B"/>
    <w:rsid w:val="71C86F43"/>
    <w:rsid w:val="71C8FE46"/>
    <w:rsid w:val="71D7E1CB"/>
    <w:rsid w:val="71E24662"/>
    <w:rsid w:val="71E29EC7"/>
    <w:rsid w:val="71E2FD7A"/>
    <w:rsid w:val="71E84B7C"/>
    <w:rsid w:val="71E8C8F3"/>
    <w:rsid w:val="71EE3163"/>
    <w:rsid w:val="71EE7560"/>
    <w:rsid w:val="71F0D6AC"/>
    <w:rsid w:val="71F11A02"/>
    <w:rsid w:val="71F6A9AD"/>
    <w:rsid w:val="71FA1F52"/>
    <w:rsid w:val="71FC7789"/>
    <w:rsid w:val="71FD45A6"/>
    <w:rsid w:val="7209DCEA"/>
    <w:rsid w:val="7211666D"/>
    <w:rsid w:val="721454DA"/>
    <w:rsid w:val="7218D4EE"/>
    <w:rsid w:val="722125E5"/>
    <w:rsid w:val="7225774E"/>
    <w:rsid w:val="722690A0"/>
    <w:rsid w:val="722759C3"/>
    <w:rsid w:val="7233A092"/>
    <w:rsid w:val="7238B252"/>
    <w:rsid w:val="723BA418"/>
    <w:rsid w:val="723EF98E"/>
    <w:rsid w:val="7242B130"/>
    <w:rsid w:val="7242D05A"/>
    <w:rsid w:val="7244F91E"/>
    <w:rsid w:val="72583C71"/>
    <w:rsid w:val="72594C97"/>
    <w:rsid w:val="725AC194"/>
    <w:rsid w:val="7262FA69"/>
    <w:rsid w:val="72635F3B"/>
    <w:rsid w:val="72707D6E"/>
    <w:rsid w:val="727B1043"/>
    <w:rsid w:val="72857C80"/>
    <w:rsid w:val="728B4062"/>
    <w:rsid w:val="7295D37B"/>
    <w:rsid w:val="7298F519"/>
    <w:rsid w:val="729978DF"/>
    <w:rsid w:val="729B5FF5"/>
    <w:rsid w:val="729D412B"/>
    <w:rsid w:val="729FBC8A"/>
    <w:rsid w:val="72A8ACC9"/>
    <w:rsid w:val="72AA59CA"/>
    <w:rsid w:val="72B27C06"/>
    <w:rsid w:val="72B821CC"/>
    <w:rsid w:val="72BD2893"/>
    <w:rsid w:val="72BDE8FE"/>
    <w:rsid w:val="72C0AC4D"/>
    <w:rsid w:val="72C6FA2C"/>
    <w:rsid w:val="72CAC05D"/>
    <w:rsid w:val="72CBBA0A"/>
    <w:rsid w:val="72CD94AB"/>
    <w:rsid w:val="72D2040C"/>
    <w:rsid w:val="72D3D50E"/>
    <w:rsid w:val="72D9046E"/>
    <w:rsid w:val="72DE2AED"/>
    <w:rsid w:val="72E17106"/>
    <w:rsid w:val="72E36B4B"/>
    <w:rsid w:val="72E9BCD6"/>
    <w:rsid w:val="72F33CDB"/>
    <w:rsid w:val="72F4607E"/>
    <w:rsid w:val="72F56B79"/>
    <w:rsid w:val="72F5DA87"/>
    <w:rsid w:val="72FFFEEC"/>
    <w:rsid w:val="730132D7"/>
    <w:rsid w:val="7306A5E2"/>
    <w:rsid w:val="7309DAF1"/>
    <w:rsid w:val="730AA78E"/>
    <w:rsid w:val="730C9BBC"/>
    <w:rsid w:val="730E6606"/>
    <w:rsid w:val="730F893A"/>
    <w:rsid w:val="7310F4C3"/>
    <w:rsid w:val="73135D76"/>
    <w:rsid w:val="7318CAFA"/>
    <w:rsid w:val="7319CC74"/>
    <w:rsid w:val="731A3458"/>
    <w:rsid w:val="731FEF2E"/>
    <w:rsid w:val="7324E0A5"/>
    <w:rsid w:val="7336791B"/>
    <w:rsid w:val="7338681B"/>
    <w:rsid w:val="733AA93A"/>
    <w:rsid w:val="733BE892"/>
    <w:rsid w:val="7351F415"/>
    <w:rsid w:val="7352A1A6"/>
    <w:rsid w:val="7352D323"/>
    <w:rsid w:val="7355EB15"/>
    <w:rsid w:val="735D6A4F"/>
    <w:rsid w:val="7361B83E"/>
    <w:rsid w:val="7362934A"/>
    <w:rsid w:val="736CB393"/>
    <w:rsid w:val="7374A7D2"/>
    <w:rsid w:val="7379E422"/>
    <w:rsid w:val="738A20E2"/>
    <w:rsid w:val="738C2FA4"/>
    <w:rsid w:val="739754EB"/>
    <w:rsid w:val="739918A3"/>
    <w:rsid w:val="739A08D7"/>
    <w:rsid w:val="73A19EF3"/>
    <w:rsid w:val="73A61002"/>
    <w:rsid w:val="73AE18E7"/>
    <w:rsid w:val="73AFF38A"/>
    <w:rsid w:val="73B7D200"/>
    <w:rsid w:val="73BD385F"/>
    <w:rsid w:val="73C25C53"/>
    <w:rsid w:val="73C6E2D1"/>
    <w:rsid w:val="73CA1666"/>
    <w:rsid w:val="73CCBA08"/>
    <w:rsid w:val="73CE2629"/>
    <w:rsid w:val="73D3A770"/>
    <w:rsid w:val="73D63B95"/>
    <w:rsid w:val="73DA78B8"/>
    <w:rsid w:val="73DF1CAF"/>
    <w:rsid w:val="73E9CBE4"/>
    <w:rsid w:val="73E9F5F8"/>
    <w:rsid w:val="73ED5E0F"/>
    <w:rsid w:val="73EFDAC1"/>
    <w:rsid w:val="73F4AAC7"/>
    <w:rsid w:val="73F4B511"/>
    <w:rsid w:val="73F694EC"/>
    <w:rsid w:val="73F7E8C7"/>
    <w:rsid w:val="73FB81E8"/>
    <w:rsid w:val="73FE512B"/>
    <w:rsid w:val="74008289"/>
    <w:rsid w:val="74065B61"/>
    <w:rsid w:val="7409C3F8"/>
    <w:rsid w:val="7410F2DC"/>
    <w:rsid w:val="74136751"/>
    <w:rsid w:val="74141A46"/>
    <w:rsid w:val="741C47D9"/>
    <w:rsid w:val="74202E56"/>
    <w:rsid w:val="7421CB3B"/>
    <w:rsid w:val="742214C9"/>
    <w:rsid w:val="742E7E1B"/>
    <w:rsid w:val="743A84CB"/>
    <w:rsid w:val="74427DFD"/>
    <w:rsid w:val="7442CDE2"/>
    <w:rsid w:val="74449BC4"/>
    <w:rsid w:val="74506FBD"/>
    <w:rsid w:val="7453626F"/>
    <w:rsid w:val="7453ABC9"/>
    <w:rsid w:val="745C94AC"/>
    <w:rsid w:val="7460DD5F"/>
    <w:rsid w:val="7461395A"/>
    <w:rsid w:val="7468A548"/>
    <w:rsid w:val="746B9914"/>
    <w:rsid w:val="7476525D"/>
    <w:rsid w:val="74781C09"/>
    <w:rsid w:val="747A68E8"/>
    <w:rsid w:val="747A90ED"/>
    <w:rsid w:val="748C633A"/>
    <w:rsid w:val="748CDA0A"/>
    <w:rsid w:val="748D93D2"/>
    <w:rsid w:val="749FF342"/>
    <w:rsid w:val="74A6BF32"/>
    <w:rsid w:val="74AA8B3B"/>
    <w:rsid w:val="74AB38B1"/>
    <w:rsid w:val="74B1947B"/>
    <w:rsid w:val="74B9EE96"/>
    <w:rsid w:val="74BFD53D"/>
    <w:rsid w:val="74C0808A"/>
    <w:rsid w:val="74C399D2"/>
    <w:rsid w:val="74CFFC1B"/>
    <w:rsid w:val="74DC71F9"/>
    <w:rsid w:val="74DEF964"/>
    <w:rsid w:val="74E31F29"/>
    <w:rsid w:val="74ECEB43"/>
    <w:rsid w:val="74F00FAF"/>
    <w:rsid w:val="74F9B5A1"/>
    <w:rsid w:val="74FBF683"/>
    <w:rsid w:val="74FC815C"/>
    <w:rsid w:val="7502474E"/>
    <w:rsid w:val="7508F87A"/>
    <w:rsid w:val="750B8E8C"/>
    <w:rsid w:val="750F6168"/>
    <w:rsid w:val="751199A4"/>
    <w:rsid w:val="7513F460"/>
    <w:rsid w:val="7515CF76"/>
    <w:rsid w:val="75171E0F"/>
    <w:rsid w:val="751BD3F0"/>
    <w:rsid w:val="751DA760"/>
    <w:rsid w:val="751DD3B0"/>
    <w:rsid w:val="7521BACB"/>
    <w:rsid w:val="7527A526"/>
    <w:rsid w:val="752B0FC1"/>
    <w:rsid w:val="752F6C87"/>
    <w:rsid w:val="7530A020"/>
    <w:rsid w:val="75327FEE"/>
    <w:rsid w:val="753917A8"/>
    <w:rsid w:val="753939E0"/>
    <w:rsid w:val="753BB174"/>
    <w:rsid w:val="753E8F22"/>
    <w:rsid w:val="7543D3A7"/>
    <w:rsid w:val="75449BF2"/>
    <w:rsid w:val="754CA140"/>
    <w:rsid w:val="75569097"/>
    <w:rsid w:val="7557DBA6"/>
    <w:rsid w:val="7559CF63"/>
    <w:rsid w:val="755DB9BF"/>
    <w:rsid w:val="755E2659"/>
    <w:rsid w:val="755F0060"/>
    <w:rsid w:val="755F30B8"/>
    <w:rsid w:val="75625DCD"/>
    <w:rsid w:val="7564FBB2"/>
    <w:rsid w:val="756B9F1B"/>
    <w:rsid w:val="756BC679"/>
    <w:rsid w:val="7571DD8C"/>
    <w:rsid w:val="7574C2A7"/>
    <w:rsid w:val="757F08C4"/>
    <w:rsid w:val="7585D133"/>
    <w:rsid w:val="758F068F"/>
    <w:rsid w:val="759113B5"/>
    <w:rsid w:val="75924B58"/>
    <w:rsid w:val="75986F0D"/>
    <w:rsid w:val="759EA679"/>
    <w:rsid w:val="75A213B6"/>
    <w:rsid w:val="75A3FB1D"/>
    <w:rsid w:val="75A46D32"/>
    <w:rsid w:val="75AA09A4"/>
    <w:rsid w:val="75B6FA80"/>
    <w:rsid w:val="75BE14AF"/>
    <w:rsid w:val="75C72DBA"/>
    <w:rsid w:val="75CA85FA"/>
    <w:rsid w:val="75CB235E"/>
    <w:rsid w:val="75CF079A"/>
    <w:rsid w:val="75D383D0"/>
    <w:rsid w:val="75D4AF2D"/>
    <w:rsid w:val="75E6D752"/>
    <w:rsid w:val="75FA0876"/>
    <w:rsid w:val="75FBA741"/>
    <w:rsid w:val="75FCB517"/>
    <w:rsid w:val="7601DFB9"/>
    <w:rsid w:val="760A6182"/>
    <w:rsid w:val="76186976"/>
    <w:rsid w:val="761A70D6"/>
    <w:rsid w:val="761CE897"/>
    <w:rsid w:val="76265B2C"/>
    <w:rsid w:val="7627E3F4"/>
    <w:rsid w:val="76285EF3"/>
    <w:rsid w:val="762B9AA7"/>
    <w:rsid w:val="762DC8C3"/>
    <w:rsid w:val="7636B54D"/>
    <w:rsid w:val="763B6D9F"/>
    <w:rsid w:val="763C4447"/>
    <w:rsid w:val="7640990A"/>
    <w:rsid w:val="7647FAF0"/>
    <w:rsid w:val="7649A8D6"/>
    <w:rsid w:val="764D3DC4"/>
    <w:rsid w:val="765488DE"/>
    <w:rsid w:val="765C285A"/>
    <w:rsid w:val="765E0D11"/>
    <w:rsid w:val="765FC86A"/>
    <w:rsid w:val="7664C17D"/>
    <w:rsid w:val="766C88DC"/>
    <w:rsid w:val="766CB860"/>
    <w:rsid w:val="766F4C15"/>
    <w:rsid w:val="767363F8"/>
    <w:rsid w:val="7673A4C1"/>
    <w:rsid w:val="76777C08"/>
    <w:rsid w:val="767CC3E3"/>
    <w:rsid w:val="768137AC"/>
    <w:rsid w:val="76839E26"/>
    <w:rsid w:val="76888080"/>
    <w:rsid w:val="768D1F69"/>
    <w:rsid w:val="7692F671"/>
    <w:rsid w:val="7697CF75"/>
    <w:rsid w:val="769A9FC1"/>
    <w:rsid w:val="769C111E"/>
    <w:rsid w:val="769D65EB"/>
    <w:rsid w:val="769E8A77"/>
    <w:rsid w:val="769EDC08"/>
    <w:rsid w:val="769F087B"/>
    <w:rsid w:val="76A2CD52"/>
    <w:rsid w:val="76ABC29D"/>
    <w:rsid w:val="76B170E3"/>
    <w:rsid w:val="76B33C5C"/>
    <w:rsid w:val="76B671F1"/>
    <w:rsid w:val="76BB7726"/>
    <w:rsid w:val="76BD8919"/>
    <w:rsid w:val="76C506D4"/>
    <w:rsid w:val="76C64906"/>
    <w:rsid w:val="76CC8C56"/>
    <w:rsid w:val="76CD5709"/>
    <w:rsid w:val="76D17300"/>
    <w:rsid w:val="76D55EEA"/>
    <w:rsid w:val="76D737CE"/>
    <w:rsid w:val="76D8BD25"/>
    <w:rsid w:val="76DA130F"/>
    <w:rsid w:val="76DAE145"/>
    <w:rsid w:val="76DB4ED5"/>
    <w:rsid w:val="76E3F2C1"/>
    <w:rsid w:val="76E545EE"/>
    <w:rsid w:val="76E784F8"/>
    <w:rsid w:val="76EE1858"/>
    <w:rsid w:val="76EE95A5"/>
    <w:rsid w:val="76EF2A48"/>
    <w:rsid w:val="76EF4A47"/>
    <w:rsid w:val="76F3AE47"/>
    <w:rsid w:val="76F4FAEA"/>
    <w:rsid w:val="76FD90AE"/>
    <w:rsid w:val="7704247B"/>
    <w:rsid w:val="77099918"/>
    <w:rsid w:val="770E215B"/>
    <w:rsid w:val="770F321B"/>
    <w:rsid w:val="770F8F28"/>
    <w:rsid w:val="77101D17"/>
    <w:rsid w:val="77165F48"/>
    <w:rsid w:val="771D560D"/>
    <w:rsid w:val="771FB267"/>
    <w:rsid w:val="772442B9"/>
    <w:rsid w:val="7725D73F"/>
    <w:rsid w:val="7726D580"/>
    <w:rsid w:val="773594B0"/>
    <w:rsid w:val="7739876F"/>
    <w:rsid w:val="77399742"/>
    <w:rsid w:val="773E1DF2"/>
    <w:rsid w:val="77413E35"/>
    <w:rsid w:val="7746035B"/>
    <w:rsid w:val="7747E55E"/>
    <w:rsid w:val="774CA6D9"/>
    <w:rsid w:val="774FD5AA"/>
    <w:rsid w:val="7752D115"/>
    <w:rsid w:val="7768B20D"/>
    <w:rsid w:val="7770AADC"/>
    <w:rsid w:val="7778F528"/>
    <w:rsid w:val="777DD92F"/>
    <w:rsid w:val="778AEE7D"/>
    <w:rsid w:val="7790DF80"/>
    <w:rsid w:val="7790F8E6"/>
    <w:rsid w:val="7791DD67"/>
    <w:rsid w:val="7793EE23"/>
    <w:rsid w:val="779938AC"/>
    <w:rsid w:val="779F3B87"/>
    <w:rsid w:val="77B37ADA"/>
    <w:rsid w:val="77B49C8F"/>
    <w:rsid w:val="77B74208"/>
    <w:rsid w:val="77BB1F80"/>
    <w:rsid w:val="77BC5EB6"/>
    <w:rsid w:val="77BE3676"/>
    <w:rsid w:val="77BFE1B2"/>
    <w:rsid w:val="77C6952A"/>
    <w:rsid w:val="77CCCC5D"/>
    <w:rsid w:val="77CCF1ED"/>
    <w:rsid w:val="77D36600"/>
    <w:rsid w:val="77D535FD"/>
    <w:rsid w:val="77D5CFA1"/>
    <w:rsid w:val="77D6E43D"/>
    <w:rsid w:val="77DE81FE"/>
    <w:rsid w:val="77E17BB9"/>
    <w:rsid w:val="77E3C9E1"/>
    <w:rsid w:val="77E8C752"/>
    <w:rsid w:val="77E96695"/>
    <w:rsid w:val="77EC57A9"/>
    <w:rsid w:val="77ECD46D"/>
    <w:rsid w:val="77F2B204"/>
    <w:rsid w:val="78203588"/>
    <w:rsid w:val="782398A5"/>
    <w:rsid w:val="7827F6A4"/>
    <w:rsid w:val="782CDB6D"/>
    <w:rsid w:val="78340286"/>
    <w:rsid w:val="78355E8A"/>
    <w:rsid w:val="7835F1FF"/>
    <w:rsid w:val="78365B69"/>
    <w:rsid w:val="7837CABD"/>
    <w:rsid w:val="784175D4"/>
    <w:rsid w:val="784A7E9B"/>
    <w:rsid w:val="7857B774"/>
    <w:rsid w:val="785BCB62"/>
    <w:rsid w:val="78616428"/>
    <w:rsid w:val="786C9D48"/>
    <w:rsid w:val="78703C37"/>
    <w:rsid w:val="78704A2F"/>
    <w:rsid w:val="7873C7E7"/>
    <w:rsid w:val="7877212F"/>
    <w:rsid w:val="7882DC4D"/>
    <w:rsid w:val="788429A1"/>
    <w:rsid w:val="788B5C71"/>
    <w:rsid w:val="788CAAE1"/>
    <w:rsid w:val="788F5854"/>
    <w:rsid w:val="7891350C"/>
    <w:rsid w:val="7897156A"/>
    <w:rsid w:val="78990316"/>
    <w:rsid w:val="789D4DE5"/>
    <w:rsid w:val="78A184C7"/>
    <w:rsid w:val="78A2AF49"/>
    <w:rsid w:val="78A3D1D1"/>
    <w:rsid w:val="78A6E57D"/>
    <w:rsid w:val="78AB487F"/>
    <w:rsid w:val="78AEABF0"/>
    <w:rsid w:val="78B29E53"/>
    <w:rsid w:val="78B89205"/>
    <w:rsid w:val="78B8EF6E"/>
    <w:rsid w:val="78C25B69"/>
    <w:rsid w:val="78C3E068"/>
    <w:rsid w:val="78C8484C"/>
    <w:rsid w:val="78C84F0D"/>
    <w:rsid w:val="78C91D6E"/>
    <w:rsid w:val="78CB6F5F"/>
    <w:rsid w:val="78D31FE7"/>
    <w:rsid w:val="78DAAA29"/>
    <w:rsid w:val="78E18B33"/>
    <w:rsid w:val="78E2AE7D"/>
    <w:rsid w:val="78E40D05"/>
    <w:rsid w:val="78E5F78C"/>
    <w:rsid w:val="78EC835F"/>
    <w:rsid w:val="78F226AE"/>
    <w:rsid w:val="78F612BC"/>
    <w:rsid w:val="78F686A9"/>
    <w:rsid w:val="78F6A1DF"/>
    <w:rsid w:val="78F6B89C"/>
    <w:rsid w:val="78F70148"/>
    <w:rsid w:val="78FA6FFE"/>
    <w:rsid w:val="78FC5B77"/>
    <w:rsid w:val="7900A31D"/>
    <w:rsid w:val="79067F33"/>
    <w:rsid w:val="79090585"/>
    <w:rsid w:val="791570B4"/>
    <w:rsid w:val="7918858D"/>
    <w:rsid w:val="791DAC32"/>
    <w:rsid w:val="791FEC4A"/>
    <w:rsid w:val="79217402"/>
    <w:rsid w:val="792792C2"/>
    <w:rsid w:val="79286D71"/>
    <w:rsid w:val="7929D3DE"/>
    <w:rsid w:val="792BC24D"/>
    <w:rsid w:val="792F2E1D"/>
    <w:rsid w:val="7938DC3C"/>
    <w:rsid w:val="7939FA55"/>
    <w:rsid w:val="793AD487"/>
    <w:rsid w:val="79407A33"/>
    <w:rsid w:val="79415AC5"/>
    <w:rsid w:val="79485E76"/>
    <w:rsid w:val="7949509D"/>
    <w:rsid w:val="7952E94C"/>
    <w:rsid w:val="795801C6"/>
    <w:rsid w:val="7959B0B4"/>
    <w:rsid w:val="796334CF"/>
    <w:rsid w:val="796750B5"/>
    <w:rsid w:val="796C87D4"/>
    <w:rsid w:val="79764459"/>
    <w:rsid w:val="797C603B"/>
    <w:rsid w:val="7983F077"/>
    <w:rsid w:val="79874E01"/>
    <w:rsid w:val="798D7DA5"/>
    <w:rsid w:val="799100F7"/>
    <w:rsid w:val="7998FDAB"/>
    <w:rsid w:val="79999181"/>
    <w:rsid w:val="79999404"/>
    <w:rsid w:val="799EC621"/>
    <w:rsid w:val="79A02CD1"/>
    <w:rsid w:val="79A54801"/>
    <w:rsid w:val="79A7C133"/>
    <w:rsid w:val="79A7F0DC"/>
    <w:rsid w:val="79A897BA"/>
    <w:rsid w:val="79AFFABA"/>
    <w:rsid w:val="79B3DC10"/>
    <w:rsid w:val="79B8A7BA"/>
    <w:rsid w:val="79BBA33B"/>
    <w:rsid w:val="79BD281B"/>
    <w:rsid w:val="79BD2946"/>
    <w:rsid w:val="79BD4B4B"/>
    <w:rsid w:val="79BD7701"/>
    <w:rsid w:val="79BD8683"/>
    <w:rsid w:val="79BF80BD"/>
    <w:rsid w:val="79BFEB51"/>
    <w:rsid w:val="79C50D71"/>
    <w:rsid w:val="79CBDE17"/>
    <w:rsid w:val="79CD4313"/>
    <w:rsid w:val="79CE459F"/>
    <w:rsid w:val="79CF595F"/>
    <w:rsid w:val="79D1DF3C"/>
    <w:rsid w:val="79D33A93"/>
    <w:rsid w:val="79D93C01"/>
    <w:rsid w:val="79DD6583"/>
    <w:rsid w:val="79E77B8E"/>
    <w:rsid w:val="79E93E24"/>
    <w:rsid w:val="79FF5882"/>
    <w:rsid w:val="7A00EC02"/>
    <w:rsid w:val="7A08F789"/>
    <w:rsid w:val="7A09C304"/>
    <w:rsid w:val="7A0D33C9"/>
    <w:rsid w:val="7A12CA59"/>
    <w:rsid w:val="7A158EEC"/>
    <w:rsid w:val="7A1EDBC1"/>
    <w:rsid w:val="7A258084"/>
    <w:rsid w:val="7A2EB06D"/>
    <w:rsid w:val="7A2FEE34"/>
    <w:rsid w:val="7A3A2B68"/>
    <w:rsid w:val="7A428E10"/>
    <w:rsid w:val="7A468447"/>
    <w:rsid w:val="7A49E9C2"/>
    <w:rsid w:val="7A4C45A6"/>
    <w:rsid w:val="7A52160B"/>
    <w:rsid w:val="7A52988B"/>
    <w:rsid w:val="7A588063"/>
    <w:rsid w:val="7A5ADFDE"/>
    <w:rsid w:val="7A5F3953"/>
    <w:rsid w:val="7A5FFA03"/>
    <w:rsid w:val="7A61D601"/>
    <w:rsid w:val="7A644799"/>
    <w:rsid w:val="7A65B8C7"/>
    <w:rsid w:val="7A65CB9D"/>
    <w:rsid w:val="7A6EEBF6"/>
    <w:rsid w:val="7A8066E2"/>
    <w:rsid w:val="7A8242F6"/>
    <w:rsid w:val="7A8692D4"/>
    <w:rsid w:val="7A9B4295"/>
    <w:rsid w:val="7A9C25F3"/>
    <w:rsid w:val="7AA0D110"/>
    <w:rsid w:val="7AB00389"/>
    <w:rsid w:val="7AB06CEF"/>
    <w:rsid w:val="7AB2EA8A"/>
    <w:rsid w:val="7AB76549"/>
    <w:rsid w:val="7ABBF7DF"/>
    <w:rsid w:val="7AC166C5"/>
    <w:rsid w:val="7AC4DBF7"/>
    <w:rsid w:val="7AD8E94B"/>
    <w:rsid w:val="7AE630ED"/>
    <w:rsid w:val="7AE7FC9B"/>
    <w:rsid w:val="7AEA79D2"/>
    <w:rsid w:val="7AF1BCF1"/>
    <w:rsid w:val="7AF58D46"/>
    <w:rsid w:val="7AFA1E2B"/>
    <w:rsid w:val="7AFB91D1"/>
    <w:rsid w:val="7AFD5E82"/>
    <w:rsid w:val="7B018D63"/>
    <w:rsid w:val="7B03C7DD"/>
    <w:rsid w:val="7B07C3E5"/>
    <w:rsid w:val="7B09130B"/>
    <w:rsid w:val="7B0F1E4F"/>
    <w:rsid w:val="7B1589ED"/>
    <w:rsid w:val="7B200ADF"/>
    <w:rsid w:val="7B292A01"/>
    <w:rsid w:val="7B36F451"/>
    <w:rsid w:val="7B3D0B9D"/>
    <w:rsid w:val="7B3F2136"/>
    <w:rsid w:val="7B40F6F7"/>
    <w:rsid w:val="7B4738C6"/>
    <w:rsid w:val="7B4C2457"/>
    <w:rsid w:val="7B4CBCFC"/>
    <w:rsid w:val="7B4F52E4"/>
    <w:rsid w:val="7B5007E3"/>
    <w:rsid w:val="7B506683"/>
    <w:rsid w:val="7B5076EA"/>
    <w:rsid w:val="7B51F7EF"/>
    <w:rsid w:val="7B567E1F"/>
    <w:rsid w:val="7B5CFCDA"/>
    <w:rsid w:val="7B5E3E25"/>
    <w:rsid w:val="7B61729B"/>
    <w:rsid w:val="7B649575"/>
    <w:rsid w:val="7B66ADC0"/>
    <w:rsid w:val="7B67F7AD"/>
    <w:rsid w:val="7B6CA5EC"/>
    <w:rsid w:val="7B6E11B9"/>
    <w:rsid w:val="7B70AC7F"/>
    <w:rsid w:val="7B7471C1"/>
    <w:rsid w:val="7B76C5B2"/>
    <w:rsid w:val="7B77C866"/>
    <w:rsid w:val="7B820806"/>
    <w:rsid w:val="7B82DE47"/>
    <w:rsid w:val="7B86A4EA"/>
    <w:rsid w:val="7B8CF036"/>
    <w:rsid w:val="7B902F6E"/>
    <w:rsid w:val="7B99125F"/>
    <w:rsid w:val="7B9C7898"/>
    <w:rsid w:val="7BA448A0"/>
    <w:rsid w:val="7BA4D9E8"/>
    <w:rsid w:val="7BA90373"/>
    <w:rsid w:val="7BAAB77D"/>
    <w:rsid w:val="7BB1F0D2"/>
    <w:rsid w:val="7BB248DE"/>
    <w:rsid w:val="7BB39376"/>
    <w:rsid w:val="7BB46527"/>
    <w:rsid w:val="7BBF4C3B"/>
    <w:rsid w:val="7BC42EFB"/>
    <w:rsid w:val="7BC4E261"/>
    <w:rsid w:val="7BD1F08E"/>
    <w:rsid w:val="7BD57DB0"/>
    <w:rsid w:val="7BD8D72C"/>
    <w:rsid w:val="7BE05E59"/>
    <w:rsid w:val="7BE17D4D"/>
    <w:rsid w:val="7BE39055"/>
    <w:rsid w:val="7BEE3E65"/>
    <w:rsid w:val="7BF27CFD"/>
    <w:rsid w:val="7BF6C350"/>
    <w:rsid w:val="7BFDACDE"/>
    <w:rsid w:val="7C11458B"/>
    <w:rsid w:val="7C1402AC"/>
    <w:rsid w:val="7C1B7073"/>
    <w:rsid w:val="7C2CC2EF"/>
    <w:rsid w:val="7C2D0230"/>
    <w:rsid w:val="7C368EC3"/>
    <w:rsid w:val="7C3B9F86"/>
    <w:rsid w:val="7C3CE0E9"/>
    <w:rsid w:val="7C3DEE8F"/>
    <w:rsid w:val="7C409434"/>
    <w:rsid w:val="7C41FB12"/>
    <w:rsid w:val="7C429C84"/>
    <w:rsid w:val="7C481357"/>
    <w:rsid w:val="7C48D168"/>
    <w:rsid w:val="7C4F77FF"/>
    <w:rsid w:val="7C5020B3"/>
    <w:rsid w:val="7C55CDA6"/>
    <w:rsid w:val="7C59561E"/>
    <w:rsid w:val="7C5977F0"/>
    <w:rsid w:val="7C5FC843"/>
    <w:rsid w:val="7C68DBD8"/>
    <w:rsid w:val="7C781211"/>
    <w:rsid w:val="7C81A45F"/>
    <w:rsid w:val="7C89D499"/>
    <w:rsid w:val="7C89DA80"/>
    <w:rsid w:val="7C928CB4"/>
    <w:rsid w:val="7C9910BB"/>
    <w:rsid w:val="7C9AEBB9"/>
    <w:rsid w:val="7C9C97E2"/>
    <w:rsid w:val="7CA610B3"/>
    <w:rsid w:val="7CA922D6"/>
    <w:rsid w:val="7CAD18CE"/>
    <w:rsid w:val="7CB43D75"/>
    <w:rsid w:val="7CB52B60"/>
    <w:rsid w:val="7CB5735F"/>
    <w:rsid w:val="7CB6E271"/>
    <w:rsid w:val="7CBBBE86"/>
    <w:rsid w:val="7CBC5C50"/>
    <w:rsid w:val="7CC0AF33"/>
    <w:rsid w:val="7CC44CB4"/>
    <w:rsid w:val="7CC59F83"/>
    <w:rsid w:val="7CC9768B"/>
    <w:rsid w:val="7CC9FF46"/>
    <w:rsid w:val="7CCA0983"/>
    <w:rsid w:val="7CD1633F"/>
    <w:rsid w:val="7CD256FE"/>
    <w:rsid w:val="7CD75C16"/>
    <w:rsid w:val="7CE46D97"/>
    <w:rsid w:val="7CE5AD06"/>
    <w:rsid w:val="7CEDF2D3"/>
    <w:rsid w:val="7CEEC8C3"/>
    <w:rsid w:val="7CF5D68E"/>
    <w:rsid w:val="7CF977B7"/>
    <w:rsid w:val="7CFC3F4E"/>
    <w:rsid w:val="7CFEF5B3"/>
    <w:rsid w:val="7D046CE2"/>
    <w:rsid w:val="7D092814"/>
    <w:rsid w:val="7D0D2F6B"/>
    <w:rsid w:val="7D0D7569"/>
    <w:rsid w:val="7D0E6659"/>
    <w:rsid w:val="7D0F7E31"/>
    <w:rsid w:val="7D172FE4"/>
    <w:rsid w:val="7D1AACF7"/>
    <w:rsid w:val="7D1BD2FA"/>
    <w:rsid w:val="7D2613B9"/>
    <w:rsid w:val="7D274DF9"/>
    <w:rsid w:val="7D2D1254"/>
    <w:rsid w:val="7D324DED"/>
    <w:rsid w:val="7D353B1D"/>
    <w:rsid w:val="7D388841"/>
    <w:rsid w:val="7D3922A4"/>
    <w:rsid w:val="7D495A5D"/>
    <w:rsid w:val="7D49E2B8"/>
    <w:rsid w:val="7D500DEF"/>
    <w:rsid w:val="7D534F93"/>
    <w:rsid w:val="7D60551A"/>
    <w:rsid w:val="7D682B05"/>
    <w:rsid w:val="7D68563F"/>
    <w:rsid w:val="7D6D66E2"/>
    <w:rsid w:val="7D77438A"/>
    <w:rsid w:val="7D7BB2A3"/>
    <w:rsid w:val="7D8086E0"/>
    <w:rsid w:val="7D841A56"/>
    <w:rsid w:val="7D87480E"/>
    <w:rsid w:val="7D8E2E4E"/>
    <w:rsid w:val="7D8F7378"/>
    <w:rsid w:val="7D9A0BD4"/>
    <w:rsid w:val="7DA62A93"/>
    <w:rsid w:val="7DA87266"/>
    <w:rsid w:val="7DA8732D"/>
    <w:rsid w:val="7DB0A1CC"/>
    <w:rsid w:val="7DC90647"/>
    <w:rsid w:val="7DCA8197"/>
    <w:rsid w:val="7DCF07D0"/>
    <w:rsid w:val="7DD0CC5E"/>
    <w:rsid w:val="7DD3F048"/>
    <w:rsid w:val="7DDE528A"/>
    <w:rsid w:val="7DDE7754"/>
    <w:rsid w:val="7DE430EB"/>
    <w:rsid w:val="7DE898BF"/>
    <w:rsid w:val="7DEF9C8A"/>
    <w:rsid w:val="7DF15E64"/>
    <w:rsid w:val="7DF1B684"/>
    <w:rsid w:val="7DF3BD29"/>
    <w:rsid w:val="7DF485F6"/>
    <w:rsid w:val="7DF5BDFA"/>
    <w:rsid w:val="7DF790B2"/>
    <w:rsid w:val="7DFA0061"/>
    <w:rsid w:val="7DFA31EF"/>
    <w:rsid w:val="7DFF3C35"/>
    <w:rsid w:val="7E0008F1"/>
    <w:rsid w:val="7E0A5274"/>
    <w:rsid w:val="7E0E54D5"/>
    <w:rsid w:val="7E16E7D2"/>
    <w:rsid w:val="7E1FED8E"/>
    <w:rsid w:val="7E257414"/>
    <w:rsid w:val="7E3052DF"/>
    <w:rsid w:val="7E388105"/>
    <w:rsid w:val="7E3E657E"/>
    <w:rsid w:val="7E41BD3C"/>
    <w:rsid w:val="7E44D405"/>
    <w:rsid w:val="7E49FFDA"/>
    <w:rsid w:val="7E504655"/>
    <w:rsid w:val="7E553BBC"/>
    <w:rsid w:val="7E554312"/>
    <w:rsid w:val="7E73F1FC"/>
    <w:rsid w:val="7E7CF5E6"/>
    <w:rsid w:val="7E7D5547"/>
    <w:rsid w:val="7E81F878"/>
    <w:rsid w:val="7E8AB614"/>
    <w:rsid w:val="7E95F1F3"/>
    <w:rsid w:val="7E9A1B54"/>
    <w:rsid w:val="7E9A3C93"/>
    <w:rsid w:val="7E9A579C"/>
    <w:rsid w:val="7E9AF6C3"/>
    <w:rsid w:val="7E9B4CFA"/>
    <w:rsid w:val="7E9C11F0"/>
    <w:rsid w:val="7E9D5B2D"/>
    <w:rsid w:val="7EA35F6C"/>
    <w:rsid w:val="7EACD53F"/>
    <w:rsid w:val="7EB261D0"/>
    <w:rsid w:val="7EB2EA28"/>
    <w:rsid w:val="7EB35121"/>
    <w:rsid w:val="7EB4BE20"/>
    <w:rsid w:val="7EB86352"/>
    <w:rsid w:val="7EB97B83"/>
    <w:rsid w:val="7EBA49BE"/>
    <w:rsid w:val="7ECD6B23"/>
    <w:rsid w:val="7ECE7618"/>
    <w:rsid w:val="7ED1007B"/>
    <w:rsid w:val="7ED36345"/>
    <w:rsid w:val="7ED81EF2"/>
    <w:rsid w:val="7EDD936C"/>
    <w:rsid w:val="7EE16138"/>
    <w:rsid w:val="7EE2C288"/>
    <w:rsid w:val="7EEB8A9F"/>
    <w:rsid w:val="7EEC00CB"/>
    <w:rsid w:val="7EED5416"/>
    <w:rsid w:val="7EF21C64"/>
    <w:rsid w:val="7EF366F3"/>
    <w:rsid w:val="7EF61E21"/>
    <w:rsid w:val="7EF79E96"/>
    <w:rsid w:val="7EFA3521"/>
    <w:rsid w:val="7EFCC5F7"/>
    <w:rsid w:val="7F001AEA"/>
    <w:rsid w:val="7F0EA12A"/>
    <w:rsid w:val="7F0F13EC"/>
    <w:rsid w:val="7F17CFD4"/>
    <w:rsid w:val="7F1CE66F"/>
    <w:rsid w:val="7F2309A7"/>
    <w:rsid w:val="7F28191A"/>
    <w:rsid w:val="7F2C5CA9"/>
    <w:rsid w:val="7F2E71DB"/>
    <w:rsid w:val="7F32D0A6"/>
    <w:rsid w:val="7F3E4930"/>
    <w:rsid w:val="7F3F978D"/>
    <w:rsid w:val="7F40ABF1"/>
    <w:rsid w:val="7F456D44"/>
    <w:rsid w:val="7F470047"/>
    <w:rsid w:val="7F487886"/>
    <w:rsid w:val="7F5912F4"/>
    <w:rsid w:val="7F6A6630"/>
    <w:rsid w:val="7F6BF6B7"/>
    <w:rsid w:val="7F6C3A0D"/>
    <w:rsid w:val="7F6E277C"/>
    <w:rsid w:val="7F6EEF65"/>
    <w:rsid w:val="7F7057B9"/>
    <w:rsid w:val="7F721536"/>
    <w:rsid w:val="7F73A382"/>
    <w:rsid w:val="7F73AE4E"/>
    <w:rsid w:val="7F74CF2C"/>
    <w:rsid w:val="7F80A836"/>
    <w:rsid w:val="7F81E642"/>
    <w:rsid w:val="7F820915"/>
    <w:rsid w:val="7F86DAB7"/>
    <w:rsid w:val="7F87C17A"/>
    <w:rsid w:val="7F87E455"/>
    <w:rsid w:val="7F8C3CE4"/>
    <w:rsid w:val="7F9350EA"/>
    <w:rsid w:val="7F9DBD00"/>
    <w:rsid w:val="7F9DD03F"/>
    <w:rsid w:val="7F9E5DBE"/>
    <w:rsid w:val="7F9E81A7"/>
    <w:rsid w:val="7F9FFC0B"/>
    <w:rsid w:val="7FA24EA7"/>
    <w:rsid w:val="7FA88954"/>
    <w:rsid w:val="7FAE68E3"/>
    <w:rsid w:val="7FAF11B1"/>
    <w:rsid w:val="7FB1AB42"/>
    <w:rsid w:val="7FB4B356"/>
    <w:rsid w:val="7FB5699F"/>
    <w:rsid w:val="7FB93331"/>
    <w:rsid w:val="7FBC3949"/>
    <w:rsid w:val="7FBCF227"/>
    <w:rsid w:val="7FC7AFF5"/>
    <w:rsid w:val="7FC99DB2"/>
    <w:rsid w:val="7FCCFDEB"/>
    <w:rsid w:val="7FD127F3"/>
    <w:rsid w:val="7FD50DA0"/>
    <w:rsid w:val="7FDA8A16"/>
    <w:rsid w:val="7FE10636"/>
    <w:rsid w:val="7FE95DF6"/>
    <w:rsid w:val="7FF12663"/>
    <w:rsid w:val="7FF23484"/>
    <w:rsid w:val="7FF5699F"/>
    <w:rsid w:val="7FF89862"/>
    <w:rsid w:val="7FF8D733"/>
    <w:rsid w:val="7FFD991C"/>
    <w:rsid w:val="7FFE48B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0B77AFC"/>
  <w15:chartTrackingRefBased/>
  <w15:docId w15:val="{C1714154-1021-46BB-98C1-8587AEC6B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63D"/>
  </w:style>
  <w:style w:type="paragraph" w:styleId="Heading1">
    <w:name w:val="heading 1"/>
    <w:basedOn w:val="Normal"/>
    <w:next w:val="Normal"/>
    <w:link w:val="Heading1Char"/>
    <w:uiPriority w:val="9"/>
    <w:qFormat/>
    <w:rsid w:val="00077B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77B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77B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77B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7B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7B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7B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7B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7B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7B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77B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77B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77B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7B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7B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7B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7B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7B3A"/>
    <w:rPr>
      <w:rFonts w:eastAsiaTheme="majorEastAsia" w:cstheme="majorBidi"/>
      <w:color w:val="272727" w:themeColor="text1" w:themeTint="D8"/>
    </w:rPr>
  </w:style>
  <w:style w:type="paragraph" w:styleId="Title">
    <w:name w:val="Title"/>
    <w:basedOn w:val="Normal"/>
    <w:next w:val="Normal"/>
    <w:link w:val="TitleChar"/>
    <w:uiPriority w:val="10"/>
    <w:qFormat/>
    <w:rsid w:val="00077B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7B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7B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7B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7B3A"/>
    <w:pPr>
      <w:spacing w:before="160"/>
      <w:jc w:val="center"/>
    </w:pPr>
    <w:rPr>
      <w:i/>
      <w:iCs/>
      <w:color w:val="404040" w:themeColor="text1" w:themeTint="BF"/>
    </w:rPr>
  </w:style>
  <w:style w:type="character" w:customStyle="1" w:styleId="QuoteChar">
    <w:name w:val="Quote Char"/>
    <w:basedOn w:val="DefaultParagraphFont"/>
    <w:link w:val="Quote"/>
    <w:uiPriority w:val="29"/>
    <w:rsid w:val="00077B3A"/>
    <w:rPr>
      <w:i/>
      <w:iCs/>
      <w:color w:val="404040" w:themeColor="text1" w:themeTint="BF"/>
    </w:rPr>
  </w:style>
  <w:style w:type="paragraph" w:styleId="ListParagraph">
    <w:name w:val="List Paragraph"/>
    <w:basedOn w:val="Normal"/>
    <w:uiPriority w:val="34"/>
    <w:qFormat/>
    <w:rsid w:val="00077B3A"/>
    <w:pPr>
      <w:ind w:left="720"/>
      <w:contextualSpacing/>
    </w:pPr>
  </w:style>
  <w:style w:type="character" w:styleId="IntenseEmphasis">
    <w:name w:val="Intense Emphasis"/>
    <w:basedOn w:val="DefaultParagraphFont"/>
    <w:uiPriority w:val="21"/>
    <w:qFormat/>
    <w:rsid w:val="00077B3A"/>
    <w:rPr>
      <w:i/>
      <w:iCs/>
      <w:color w:val="0F4761" w:themeColor="accent1" w:themeShade="BF"/>
    </w:rPr>
  </w:style>
  <w:style w:type="paragraph" w:styleId="IntenseQuote">
    <w:name w:val="Intense Quote"/>
    <w:basedOn w:val="Normal"/>
    <w:next w:val="Normal"/>
    <w:link w:val="IntenseQuoteChar"/>
    <w:uiPriority w:val="30"/>
    <w:qFormat/>
    <w:rsid w:val="00077B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7B3A"/>
    <w:rPr>
      <w:i/>
      <w:iCs/>
      <w:color w:val="0F4761" w:themeColor="accent1" w:themeShade="BF"/>
    </w:rPr>
  </w:style>
  <w:style w:type="character" w:styleId="IntenseReference">
    <w:name w:val="Intense Reference"/>
    <w:basedOn w:val="DefaultParagraphFont"/>
    <w:uiPriority w:val="32"/>
    <w:qFormat/>
    <w:rsid w:val="00077B3A"/>
    <w:rPr>
      <w:b/>
      <w:bCs/>
      <w:smallCaps/>
      <w:color w:val="0F4761" w:themeColor="accent1" w:themeShade="BF"/>
      <w:spacing w:val="5"/>
    </w:rPr>
  </w:style>
  <w:style w:type="paragraph" w:styleId="Revision">
    <w:name w:val="Revision"/>
    <w:hidden/>
    <w:uiPriority w:val="99"/>
    <w:semiHidden/>
    <w:rsid w:val="004E7F76"/>
    <w:pPr>
      <w:spacing w:after="0" w:line="240" w:lineRule="auto"/>
    </w:pPr>
  </w:style>
  <w:style w:type="character" w:styleId="CommentReference">
    <w:name w:val="annotation reference"/>
    <w:basedOn w:val="DefaultParagraphFont"/>
    <w:uiPriority w:val="99"/>
    <w:semiHidden/>
    <w:unhideWhenUsed/>
    <w:rsid w:val="004E7F76"/>
    <w:rPr>
      <w:sz w:val="16"/>
      <w:szCs w:val="16"/>
    </w:rPr>
  </w:style>
  <w:style w:type="paragraph" w:styleId="CommentText">
    <w:name w:val="annotation text"/>
    <w:basedOn w:val="Normal"/>
    <w:link w:val="CommentTextChar"/>
    <w:uiPriority w:val="99"/>
    <w:unhideWhenUsed/>
    <w:rsid w:val="004E7F76"/>
    <w:pPr>
      <w:spacing w:line="240" w:lineRule="auto"/>
    </w:pPr>
    <w:rPr>
      <w:sz w:val="20"/>
      <w:szCs w:val="20"/>
    </w:rPr>
  </w:style>
  <w:style w:type="character" w:customStyle="1" w:styleId="CommentTextChar">
    <w:name w:val="Comment Text Char"/>
    <w:basedOn w:val="DefaultParagraphFont"/>
    <w:link w:val="CommentText"/>
    <w:uiPriority w:val="99"/>
    <w:rsid w:val="004E7F76"/>
    <w:rPr>
      <w:sz w:val="20"/>
      <w:szCs w:val="20"/>
    </w:rPr>
  </w:style>
  <w:style w:type="paragraph" w:styleId="CommentSubject">
    <w:name w:val="annotation subject"/>
    <w:basedOn w:val="CommentText"/>
    <w:next w:val="CommentText"/>
    <w:link w:val="CommentSubjectChar"/>
    <w:uiPriority w:val="99"/>
    <w:semiHidden/>
    <w:unhideWhenUsed/>
    <w:rsid w:val="004E7F76"/>
    <w:rPr>
      <w:b/>
      <w:bCs/>
    </w:rPr>
  </w:style>
  <w:style w:type="character" w:customStyle="1" w:styleId="CommentSubjectChar">
    <w:name w:val="Comment Subject Char"/>
    <w:basedOn w:val="CommentTextChar"/>
    <w:link w:val="CommentSubject"/>
    <w:uiPriority w:val="99"/>
    <w:semiHidden/>
    <w:rsid w:val="004E7F76"/>
    <w:rPr>
      <w:b/>
      <w:bCs/>
      <w:sz w:val="20"/>
      <w:szCs w:val="20"/>
    </w:rPr>
  </w:style>
  <w:style w:type="paragraph" w:styleId="FootnoteText">
    <w:name w:val="footnote text"/>
    <w:aliases w:val="Footnote Text Char Char,DTE-Voetnoottekst Char1 Char,DTE-Voetnoottekst Char Char Char,fn Char Char,footnote text Char Char,Footnotes Char Char,Footnote ak Char Char,Footnote Text Char1 Char Char,DTE-Voetnoottekst,fn,ft,Footnote Text Char1"/>
    <w:basedOn w:val="Normal"/>
    <w:link w:val="FootnoteTextChar"/>
    <w:uiPriority w:val="99"/>
    <w:unhideWhenUsed/>
    <w:qFormat/>
    <w:rsid w:val="00216675"/>
    <w:pPr>
      <w:spacing w:after="0" w:line="240" w:lineRule="auto"/>
    </w:pPr>
    <w:rPr>
      <w:sz w:val="20"/>
      <w:szCs w:val="20"/>
    </w:rPr>
  </w:style>
  <w:style w:type="character" w:customStyle="1" w:styleId="FootnoteTextChar">
    <w:name w:val="Footnote Text Char"/>
    <w:aliases w:val="Footnote Text Char Char Char,DTE-Voetnoottekst Char1 Char Char,DTE-Voetnoottekst Char Char Char Char,fn Char Char Char,footnote text Char Char Char,Footnotes Char Char Char,Footnote ak Char Char Char,Footnote Text Char1 Char Char Char"/>
    <w:basedOn w:val="DefaultParagraphFont"/>
    <w:link w:val="FootnoteText"/>
    <w:uiPriority w:val="99"/>
    <w:rsid w:val="00216675"/>
    <w:rPr>
      <w:sz w:val="20"/>
      <w:szCs w:val="20"/>
    </w:rPr>
  </w:style>
  <w:style w:type="character" w:styleId="FootnoteReference">
    <w:name w:val="footnote reference"/>
    <w:aliases w:val="Footnote Reference_LVL6,Footnote Reference_LVL61,Footnote Reference_LVL62,Footnote Reference_LVL63,Footnote Reference_LVL64,Footnote Reference Number,normal,Fußnotenzeichen3,Normal1,fr,SUPERS,EN Footnote Reference,number,ftref,16 Poin"/>
    <w:basedOn w:val="DefaultParagraphFont"/>
    <w:link w:val="16Point"/>
    <w:uiPriority w:val="99"/>
    <w:unhideWhenUsed/>
    <w:qFormat/>
    <w:rsid w:val="00216675"/>
    <w:rPr>
      <w:vertAlign w:val="superscript"/>
    </w:rPr>
  </w:style>
  <w:style w:type="paragraph" w:styleId="Header">
    <w:name w:val="header"/>
    <w:basedOn w:val="Normal"/>
    <w:link w:val="HeaderChar"/>
    <w:uiPriority w:val="99"/>
    <w:unhideWhenUsed/>
    <w:rsid w:val="00395D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5D97"/>
  </w:style>
  <w:style w:type="paragraph" w:styleId="Footer">
    <w:name w:val="footer"/>
    <w:basedOn w:val="Normal"/>
    <w:link w:val="FooterChar"/>
    <w:uiPriority w:val="99"/>
    <w:unhideWhenUsed/>
    <w:rsid w:val="00395D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5D97"/>
  </w:style>
  <w:style w:type="paragraph" w:styleId="Caption">
    <w:name w:val="caption"/>
    <w:aliases w:val="Tabelkop,Caption-tables,Table legend,Tab_Überschrift,Figure reference,TR-Caption,Inscription,Beschriftung Char Char Char,Beschriftung Char Char,Caption1 Char Char Char Char Char Char Char Char,Char Car,Title table,Caption PSP,C,Char Char"/>
    <w:basedOn w:val="Normal"/>
    <w:next w:val="Normal"/>
    <w:link w:val="CaptionChar"/>
    <w:uiPriority w:val="35"/>
    <w:unhideWhenUsed/>
    <w:qFormat/>
    <w:rsid w:val="009756D7"/>
    <w:pPr>
      <w:spacing w:after="200" w:line="240" w:lineRule="auto"/>
    </w:pPr>
    <w:rPr>
      <w:i/>
      <w:iCs/>
      <w:color w:val="0E2841" w:themeColor="text2"/>
      <w:sz w:val="18"/>
      <w:szCs w:val="18"/>
    </w:rPr>
  </w:style>
  <w:style w:type="character" w:styleId="Hyperlink">
    <w:name w:val="Hyperlink"/>
    <w:basedOn w:val="DefaultParagraphFont"/>
    <w:uiPriority w:val="99"/>
    <w:unhideWhenUsed/>
    <w:rsid w:val="00F95437"/>
    <w:rPr>
      <w:color w:val="467886" w:themeColor="hyperlink"/>
      <w:u w:val="single"/>
    </w:rPr>
  </w:style>
  <w:style w:type="character" w:customStyle="1" w:styleId="UnresolvedMention">
    <w:name w:val="Unresolved Mention"/>
    <w:basedOn w:val="DefaultParagraphFont"/>
    <w:uiPriority w:val="99"/>
    <w:semiHidden/>
    <w:unhideWhenUsed/>
    <w:rsid w:val="00F95437"/>
    <w:rPr>
      <w:color w:val="605E5C"/>
      <w:shd w:val="clear" w:color="auto" w:fill="E1DFDD"/>
    </w:rPr>
  </w:style>
  <w:style w:type="table" w:styleId="TableGrid">
    <w:name w:val="Table Grid"/>
    <w:basedOn w:val="TableNormal"/>
    <w:uiPriority w:val="39"/>
    <w:rsid w:val="004C50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
    <w:name w:val="Mention"/>
    <w:basedOn w:val="DefaultParagraphFont"/>
    <w:uiPriority w:val="99"/>
    <w:unhideWhenUsed/>
    <w:rsid w:val="00A3502C"/>
    <w:rPr>
      <w:color w:val="2B579A"/>
      <w:shd w:val="clear" w:color="auto" w:fill="E1DFDD"/>
    </w:rPr>
  </w:style>
  <w:style w:type="paragraph" w:styleId="NormalWeb">
    <w:name w:val="Normal (Web)"/>
    <w:basedOn w:val="Normal"/>
    <w:uiPriority w:val="99"/>
    <w:semiHidden/>
    <w:unhideWhenUsed/>
    <w:rsid w:val="003C66D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Marker">
    <w:name w:val="Marker"/>
    <w:basedOn w:val="DefaultParagraphFont"/>
    <w:rsid w:val="000C0DE3"/>
    <w:rPr>
      <w:color w:val="0000FF"/>
      <w:shd w:val="clear" w:color="auto" w:fill="auto"/>
    </w:rPr>
  </w:style>
  <w:style w:type="paragraph" w:customStyle="1" w:styleId="Pagedecouverture">
    <w:name w:val="Page de couverture"/>
    <w:basedOn w:val="Normal"/>
    <w:next w:val="Normal"/>
    <w:rsid w:val="005C41C1"/>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7432C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7432CC"/>
    <w:rPr>
      <w:rFonts w:ascii="Times New Roman" w:hAnsi="Times New Roman" w:cs="Times New Roman"/>
      <w:sz w:val="24"/>
    </w:rPr>
  </w:style>
  <w:style w:type="paragraph" w:customStyle="1" w:styleId="FooterSensitivity">
    <w:name w:val="Footer Sensitivity"/>
    <w:basedOn w:val="Normal"/>
    <w:link w:val="FooterSensitivityChar"/>
    <w:rsid w:val="007432C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7432CC"/>
    <w:rPr>
      <w:rFonts w:ascii="Times New Roman" w:hAnsi="Times New Roman" w:cs="Times New Roman"/>
      <w:b/>
      <w:sz w:val="32"/>
    </w:rPr>
  </w:style>
  <w:style w:type="paragraph" w:customStyle="1" w:styleId="HeaderCoverPage">
    <w:name w:val="Header Cover Page"/>
    <w:basedOn w:val="Normal"/>
    <w:link w:val="HeaderCoverPageChar"/>
    <w:rsid w:val="007432CC"/>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7432CC"/>
    <w:rPr>
      <w:rFonts w:ascii="Times New Roman" w:hAnsi="Times New Roman" w:cs="Times New Roman"/>
      <w:sz w:val="24"/>
    </w:rPr>
  </w:style>
  <w:style w:type="paragraph" w:customStyle="1" w:styleId="HeaderSensitivity">
    <w:name w:val="Header Sensitivity"/>
    <w:basedOn w:val="Normal"/>
    <w:link w:val="HeaderSensitivityChar"/>
    <w:rsid w:val="007432C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7432CC"/>
    <w:rPr>
      <w:rFonts w:ascii="Times New Roman" w:hAnsi="Times New Roman" w:cs="Times New Roman"/>
      <w:b/>
      <w:sz w:val="32"/>
    </w:rPr>
  </w:style>
  <w:style w:type="paragraph" w:customStyle="1" w:styleId="HeaderSensitivityRight">
    <w:name w:val="Header Sensitivity Right"/>
    <w:basedOn w:val="Normal"/>
    <w:link w:val="HeaderSensitivityRightChar"/>
    <w:rsid w:val="00FA722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7432CC"/>
    <w:rPr>
      <w:rFonts w:ascii="Times New Roman" w:hAnsi="Times New Roman" w:cs="Times New Roman"/>
      <w:sz w:val="28"/>
    </w:rPr>
  </w:style>
  <w:style w:type="character" w:styleId="FollowedHyperlink">
    <w:name w:val="FollowedHyperlink"/>
    <w:basedOn w:val="DefaultParagraphFont"/>
    <w:uiPriority w:val="99"/>
    <w:semiHidden/>
    <w:unhideWhenUsed/>
    <w:rsid w:val="003E113B"/>
    <w:rPr>
      <w:color w:val="96607D" w:themeColor="followedHyperlink"/>
      <w:u w:val="single"/>
    </w:rPr>
  </w:style>
  <w:style w:type="paragraph" w:customStyle="1" w:styleId="16Point">
    <w:name w:val="16 Point"/>
    <w:aliases w:val="Superscript 6 Point,Times 10 Point,Exposant 3 Point,Odwołanie przypisu,Ref,de nota al pie,footnote ref,2001+ Fußnotenzeichen,Footnote reference number, Exposant 3 Point"/>
    <w:basedOn w:val="Normal"/>
    <w:link w:val="FootnoteReference"/>
    <w:autoRedefine/>
    <w:uiPriority w:val="99"/>
    <w:rsid w:val="002978A4"/>
    <w:pPr>
      <w:spacing w:after="0" w:line="240" w:lineRule="auto"/>
      <w:jc w:val="both"/>
    </w:pPr>
    <w:rPr>
      <w:vertAlign w:val="superscript"/>
    </w:rPr>
  </w:style>
  <w:style w:type="paragraph" w:styleId="TOCHeading">
    <w:name w:val="TOC Heading"/>
    <w:basedOn w:val="Heading1"/>
    <w:next w:val="Normal"/>
    <w:uiPriority w:val="39"/>
    <w:unhideWhenUsed/>
    <w:qFormat/>
    <w:rsid w:val="00147DA4"/>
    <w:pPr>
      <w:spacing w:before="240" w:after="0"/>
      <w:outlineLvl w:val="9"/>
    </w:pPr>
    <w:rPr>
      <w:sz w:val="32"/>
      <w:szCs w:val="32"/>
      <w:lang w:val="en-US"/>
    </w:rPr>
  </w:style>
  <w:style w:type="paragraph" w:styleId="TOC1">
    <w:name w:val="toc 1"/>
    <w:basedOn w:val="Normal"/>
    <w:next w:val="Normal"/>
    <w:autoRedefine/>
    <w:uiPriority w:val="39"/>
    <w:unhideWhenUsed/>
    <w:rsid w:val="00147DA4"/>
    <w:pPr>
      <w:spacing w:after="100"/>
    </w:pPr>
  </w:style>
  <w:style w:type="paragraph" w:styleId="TOC2">
    <w:name w:val="toc 2"/>
    <w:basedOn w:val="Normal"/>
    <w:next w:val="Normal"/>
    <w:autoRedefine/>
    <w:uiPriority w:val="39"/>
    <w:unhideWhenUsed/>
    <w:rsid w:val="00147DA4"/>
    <w:pPr>
      <w:spacing w:after="100"/>
      <w:ind w:left="220"/>
    </w:pPr>
  </w:style>
  <w:style w:type="character" w:customStyle="1" w:styleId="normaltextrun">
    <w:name w:val="normaltextrun"/>
    <w:basedOn w:val="DefaultParagraphFont"/>
    <w:rsid w:val="00FE18EC"/>
  </w:style>
  <w:style w:type="table" w:customStyle="1" w:styleId="TableGrid51">
    <w:name w:val="Table Grid51"/>
    <w:basedOn w:val="TableNormal"/>
    <w:next w:val="TableGrid"/>
    <w:uiPriority w:val="59"/>
    <w:rsid w:val="00382D8A"/>
    <w:pPr>
      <w:spacing w:after="0" w:line="240" w:lineRule="auto"/>
    </w:pPr>
    <w:rPr>
      <w:lang w:val="en-US"/>
    </w:rPr>
    <w:tblPr/>
  </w:style>
  <w:style w:type="paragraph" w:customStyle="1" w:styleId="EFSIRChartTitle">
    <w:name w:val="EFSIR Chart Title"/>
    <w:basedOn w:val="Normal"/>
    <w:link w:val="EFSIRChartTitleChar"/>
    <w:qFormat/>
    <w:rsid w:val="00382D8A"/>
    <w:pPr>
      <w:keepNext/>
      <w:spacing w:after="30" w:line="240" w:lineRule="auto"/>
      <w:ind w:left="964" w:hanging="964"/>
    </w:pPr>
    <w:rPr>
      <w:rFonts w:ascii="Times New Roman" w:eastAsia="Calibri" w:hAnsi="Times New Roman" w:cs="Times New Roman"/>
      <w:b/>
      <w:color w:val="000000" w:themeColor="text1"/>
      <w:sz w:val="20"/>
      <w:szCs w:val="24"/>
      <w:lang w:val="en-US" w:eastAsia="en-GB"/>
    </w:rPr>
  </w:style>
  <w:style w:type="paragraph" w:customStyle="1" w:styleId="EFSIRChartNotes">
    <w:name w:val="EFSIR Chart Notes"/>
    <w:basedOn w:val="Normal"/>
    <w:link w:val="EFSIRChartNotesChar"/>
    <w:qFormat/>
    <w:rsid w:val="00382D8A"/>
    <w:pPr>
      <w:spacing w:after="240" w:line="240" w:lineRule="auto"/>
      <w:contextualSpacing/>
    </w:pPr>
    <w:rPr>
      <w:rFonts w:ascii="Times New Roman" w:eastAsia="Calibri" w:hAnsi="Times New Roman" w:cs="Times New Roman"/>
      <w:sz w:val="17"/>
      <w:szCs w:val="18"/>
      <w:lang w:val="fr-BE"/>
    </w:rPr>
  </w:style>
  <w:style w:type="character" w:customStyle="1" w:styleId="EFSIRChartTitleChar">
    <w:name w:val="EFSIR Chart Title Char"/>
    <w:basedOn w:val="DefaultParagraphFont"/>
    <w:link w:val="EFSIRChartTitle"/>
    <w:rsid w:val="00382D8A"/>
    <w:rPr>
      <w:rFonts w:ascii="Times New Roman" w:eastAsia="Calibri" w:hAnsi="Times New Roman" w:cs="Times New Roman"/>
      <w:b/>
      <w:color w:val="000000" w:themeColor="text1"/>
      <w:sz w:val="20"/>
      <w:szCs w:val="24"/>
      <w:lang w:val="en-US" w:eastAsia="en-GB"/>
    </w:rPr>
  </w:style>
  <w:style w:type="character" w:customStyle="1" w:styleId="EFSIRChartNotesChar">
    <w:name w:val="EFSIR Chart Notes Char"/>
    <w:basedOn w:val="DefaultParagraphFont"/>
    <w:link w:val="EFSIRChartNotes"/>
    <w:rsid w:val="00382D8A"/>
    <w:rPr>
      <w:rFonts w:ascii="Times New Roman" w:eastAsia="Calibri" w:hAnsi="Times New Roman" w:cs="Times New Roman"/>
      <w:sz w:val="17"/>
      <w:szCs w:val="18"/>
      <w:lang w:val="fr-BE"/>
    </w:rPr>
  </w:style>
  <w:style w:type="character" w:customStyle="1" w:styleId="CaptionChar">
    <w:name w:val="Caption Char"/>
    <w:aliases w:val="Tabelkop Char,Caption-tables Char,Table legend Char,Tab_Überschrift Char,Figure reference Char,TR-Caption Char,Inscription Char,Beschriftung Char Char Char Char,Beschriftung Char Char Char1,Char Car Char,Title table Char,Caption PSP Char"/>
    <w:link w:val="Caption"/>
    <w:uiPriority w:val="35"/>
    <w:rsid w:val="00382D8A"/>
    <w:rPr>
      <w:i/>
      <w:iCs/>
      <w:color w:val="0E2841" w:themeColor="text2"/>
      <w:sz w:val="18"/>
      <w:szCs w:val="18"/>
    </w:rPr>
  </w:style>
  <w:style w:type="table" w:styleId="PlainTable1">
    <w:name w:val="Plain Table 1"/>
    <w:basedOn w:val="TableNormal"/>
    <w:uiPriority w:val="41"/>
    <w:rsid w:val="007928A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3">
    <w:name w:val="toc 3"/>
    <w:basedOn w:val="Normal"/>
    <w:next w:val="Normal"/>
    <w:autoRedefine/>
    <w:uiPriority w:val="39"/>
    <w:unhideWhenUsed/>
    <w:rsid w:val="003A1697"/>
    <w:pPr>
      <w:spacing w:after="100"/>
      <w:ind w:left="440"/>
    </w:pPr>
    <w:rPr>
      <w:rFonts w:eastAsiaTheme="minorEastAsia" w:cs="Times New Roman"/>
      <w:lang w:val="en-US"/>
    </w:rPr>
  </w:style>
  <w:style w:type="paragraph" w:customStyle="1" w:styleId="Disclaimer">
    <w:name w:val="Disclaimer"/>
    <w:basedOn w:val="Normal"/>
    <w:rsid w:val="00FA722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FA7225"/>
    <w:pPr>
      <w:spacing w:after="0" w:line="276" w:lineRule="auto"/>
      <w:ind w:left="5103"/>
    </w:pPr>
    <w:rPr>
      <w:rFonts w:ascii="Times New Roman" w:hAnsi="Times New Roman" w:cs="Times New Roman"/>
      <w:sz w:val="28"/>
    </w:rPr>
  </w:style>
  <w:style w:type="paragraph" w:customStyle="1" w:styleId="DateMarking">
    <w:name w:val="DateMarking"/>
    <w:basedOn w:val="Normal"/>
    <w:rsid w:val="00FA7225"/>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FA7225"/>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54861">
      <w:bodyDiv w:val="1"/>
      <w:marLeft w:val="0"/>
      <w:marRight w:val="0"/>
      <w:marTop w:val="0"/>
      <w:marBottom w:val="0"/>
      <w:divBdr>
        <w:top w:val="none" w:sz="0" w:space="0" w:color="auto"/>
        <w:left w:val="none" w:sz="0" w:space="0" w:color="auto"/>
        <w:bottom w:val="none" w:sz="0" w:space="0" w:color="auto"/>
        <w:right w:val="none" w:sz="0" w:space="0" w:color="auto"/>
      </w:divBdr>
    </w:div>
    <w:div w:id="30418982">
      <w:bodyDiv w:val="1"/>
      <w:marLeft w:val="0"/>
      <w:marRight w:val="0"/>
      <w:marTop w:val="0"/>
      <w:marBottom w:val="0"/>
      <w:divBdr>
        <w:top w:val="none" w:sz="0" w:space="0" w:color="auto"/>
        <w:left w:val="none" w:sz="0" w:space="0" w:color="auto"/>
        <w:bottom w:val="none" w:sz="0" w:space="0" w:color="auto"/>
        <w:right w:val="none" w:sz="0" w:space="0" w:color="auto"/>
      </w:divBdr>
    </w:div>
    <w:div w:id="62073132">
      <w:bodyDiv w:val="1"/>
      <w:marLeft w:val="0"/>
      <w:marRight w:val="0"/>
      <w:marTop w:val="0"/>
      <w:marBottom w:val="0"/>
      <w:divBdr>
        <w:top w:val="none" w:sz="0" w:space="0" w:color="auto"/>
        <w:left w:val="none" w:sz="0" w:space="0" w:color="auto"/>
        <w:bottom w:val="none" w:sz="0" w:space="0" w:color="auto"/>
        <w:right w:val="none" w:sz="0" w:space="0" w:color="auto"/>
      </w:divBdr>
    </w:div>
    <w:div w:id="74740451">
      <w:bodyDiv w:val="1"/>
      <w:marLeft w:val="0"/>
      <w:marRight w:val="0"/>
      <w:marTop w:val="0"/>
      <w:marBottom w:val="0"/>
      <w:divBdr>
        <w:top w:val="none" w:sz="0" w:space="0" w:color="auto"/>
        <w:left w:val="none" w:sz="0" w:space="0" w:color="auto"/>
        <w:bottom w:val="none" w:sz="0" w:space="0" w:color="auto"/>
        <w:right w:val="none" w:sz="0" w:space="0" w:color="auto"/>
      </w:divBdr>
    </w:div>
    <w:div w:id="77560906">
      <w:bodyDiv w:val="1"/>
      <w:marLeft w:val="0"/>
      <w:marRight w:val="0"/>
      <w:marTop w:val="0"/>
      <w:marBottom w:val="0"/>
      <w:divBdr>
        <w:top w:val="none" w:sz="0" w:space="0" w:color="auto"/>
        <w:left w:val="none" w:sz="0" w:space="0" w:color="auto"/>
        <w:bottom w:val="none" w:sz="0" w:space="0" w:color="auto"/>
        <w:right w:val="none" w:sz="0" w:space="0" w:color="auto"/>
      </w:divBdr>
    </w:div>
    <w:div w:id="93744434">
      <w:bodyDiv w:val="1"/>
      <w:marLeft w:val="0"/>
      <w:marRight w:val="0"/>
      <w:marTop w:val="0"/>
      <w:marBottom w:val="0"/>
      <w:divBdr>
        <w:top w:val="none" w:sz="0" w:space="0" w:color="auto"/>
        <w:left w:val="none" w:sz="0" w:space="0" w:color="auto"/>
        <w:bottom w:val="none" w:sz="0" w:space="0" w:color="auto"/>
        <w:right w:val="none" w:sz="0" w:space="0" w:color="auto"/>
      </w:divBdr>
    </w:div>
    <w:div w:id="99841295">
      <w:bodyDiv w:val="1"/>
      <w:marLeft w:val="0"/>
      <w:marRight w:val="0"/>
      <w:marTop w:val="0"/>
      <w:marBottom w:val="0"/>
      <w:divBdr>
        <w:top w:val="none" w:sz="0" w:space="0" w:color="auto"/>
        <w:left w:val="none" w:sz="0" w:space="0" w:color="auto"/>
        <w:bottom w:val="none" w:sz="0" w:space="0" w:color="auto"/>
        <w:right w:val="none" w:sz="0" w:space="0" w:color="auto"/>
      </w:divBdr>
      <w:divsChild>
        <w:div w:id="779645461">
          <w:marLeft w:val="0"/>
          <w:marRight w:val="0"/>
          <w:marTop w:val="0"/>
          <w:marBottom w:val="0"/>
          <w:divBdr>
            <w:top w:val="none" w:sz="0" w:space="0" w:color="auto"/>
            <w:left w:val="none" w:sz="0" w:space="0" w:color="auto"/>
            <w:bottom w:val="none" w:sz="0" w:space="0" w:color="auto"/>
            <w:right w:val="none" w:sz="0" w:space="0" w:color="auto"/>
          </w:divBdr>
        </w:div>
        <w:div w:id="960840642">
          <w:marLeft w:val="0"/>
          <w:marRight w:val="0"/>
          <w:marTop w:val="0"/>
          <w:marBottom w:val="0"/>
          <w:divBdr>
            <w:top w:val="none" w:sz="0" w:space="0" w:color="auto"/>
            <w:left w:val="none" w:sz="0" w:space="0" w:color="auto"/>
            <w:bottom w:val="none" w:sz="0" w:space="0" w:color="auto"/>
            <w:right w:val="none" w:sz="0" w:space="0" w:color="auto"/>
          </w:divBdr>
        </w:div>
        <w:div w:id="1089735232">
          <w:marLeft w:val="0"/>
          <w:marRight w:val="0"/>
          <w:marTop w:val="0"/>
          <w:marBottom w:val="0"/>
          <w:divBdr>
            <w:top w:val="none" w:sz="0" w:space="0" w:color="auto"/>
            <w:left w:val="none" w:sz="0" w:space="0" w:color="auto"/>
            <w:bottom w:val="none" w:sz="0" w:space="0" w:color="auto"/>
            <w:right w:val="none" w:sz="0" w:space="0" w:color="auto"/>
          </w:divBdr>
        </w:div>
        <w:div w:id="1326129075">
          <w:marLeft w:val="0"/>
          <w:marRight w:val="0"/>
          <w:marTop w:val="0"/>
          <w:marBottom w:val="0"/>
          <w:divBdr>
            <w:top w:val="none" w:sz="0" w:space="0" w:color="auto"/>
            <w:left w:val="none" w:sz="0" w:space="0" w:color="auto"/>
            <w:bottom w:val="none" w:sz="0" w:space="0" w:color="auto"/>
            <w:right w:val="none" w:sz="0" w:space="0" w:color="auto"/>
          </w:divBdr>
        </w:div>
        <w:div w:id="1903442718">
          <w:marLeft w:val="0"/>
          <w:marRight w:val="0"/>
          <w:marTop w:val="0"/>
          <w:marBottom w:val="0"/>
          <w:divBdr>
            <w:top w:val="none" w:sz="0" w:space="0" w:color="auto"/>
            <w:left w:val="none" w:sz="0" w:space="0" w:color="auto"/>
            <w:bottom w:val="none" w:sz="0" w:space="0" w:color="auto"/>
            <w:right w:val="none" w:sz="0" w:space="0" w:color="auto"/>
          </w:divBdr>
        </w:div>
        <w:div w:id="2036148722">
          <w:marLeft w:val="0"/>
          <w:marRight w:val="0"/>
          <w:marTop w:val="0"/>
          <w:marBottom w:val="0"/>
          <w:divBdr>
            <w:top w:val="none" w:sz="0" w:space="0" w:color="auto"/>
            <w:left w:val="none" w:sz="0" w:space="0" w:color="auto"/>
            <w:bottom w:val="none" w:sz="0" w:space="0" w:color="auto"/>
            <w:right w:val="none" w:sz="0" w:space="0" w:color="auto"/>
          </w:divBdr>
        </w:div>
      </w:divsChild>
    </w:div>
    <w:div w:id="113208136">
      <w:bodyDiv w:val="1"/>
      <w:marLeft w:val="0"/>
      <w:marRight w:val="0"/>
      <w:marTop w:val="0"/>
      <w:marBottom w:val="0"/>
      <w:divBdr>
        <w:top w:val="none" w:sz="0" w:space="0" w:color="auto"/>
        <w:left w:val="none" w:sz="0" w:space="0" w:color="auto"/>
        <w:bottom w:val="none" w:sz="0" w:space="0" w:color="auto"/>
        <w:right w:val="none" w:sz="0" w:space="0" w:color="auto"/>
      </w:divBdr>
      <w:divsChild>
        <w:div w:id="1120077764">
          <w:marLeft w:val="634"/>
          <w:marRight w:val="0"/>
          <w:marTop w:val="0"/>
          <w:marBottom w:val="0"/>
          <w:divBdr>
            <w:top w:val="none" w:sz="0" w:space="0" w:color="auto"/>
            <w:left w:val="none" w:sz="0" w:space="0" w:color="auto"/>
            <w:bottom w:val="none" w:sz="0" w:space="0" w:color="auto"/>
            <w:right w:val="none" w:sz="0" w:space="0" w:color="auto"/>
          </w:divBdr>
        </w:div>
        <w:div w:id="1940481676">
          <w:marLeft w:val="634"/>
          <w:marRight w:val="0"/>
          <w:marTop w:val="0"/>
          <w:marBottom w:val="0"/>
          <w:divBdr>
            <w:top w:val="none" w:sz="0" w:space="0" w:color="auto"/>
            <w:left w:val="none" w:sz="0" w:space="0" w:color="auto"/>
            <w:bottom w:val="none" w:sz="0" w:space="0" w:color="auto"/>
            <w:right w:val="none" w:sz="0" w:space="0" w:color="auto"/>
          </w:divBdr>
        </w:div>
      </w:divsChild>
    </w:div>
    <w:div w:id="121001522">
      <w:bodyDiv w:val="1"/>
      <w:marLeft w:val="0"/>
      <w:marRight w:val="0"/>
      <w:marTop w:val="0"/>
      <w:marBottom w:val="0"/>
      <w:divBdr>
        <w:top w:val="none" w:sz="0" w:space="0" w:color="auto"/>
        <w:left w:val="none" w:sz="0" w:space="0" w:color="auto"/>
        <w:bottom w:val="none" w:sz="0" w:space="0" w:color="auto"/>
        <w:right w:val="none" w:sz="0" w:space="0" w:color="auto"/>
      </w:divBdr>
    </w:div>
    <w:div w:id="121730215">
      <w:bodyDiv w:val="1"/>
      <w:marLeft w:val="0"/>
      <w:marRight w:val="0"/>
      <w:marTop w:val="0"/>
      <w:marBottom w:val="0"/>
      <w:divBdr>
        <w:top w:val="none" w:sz="0" w:space="0" w:color="auto"/>
        <w:left w:val="none" w:sz="0" w:space="0" w:color="auto"/>
        <w:bottom w:val="none" w:sz="0" w:space="0" w:color="auto"/>
        <w:right w:val="none" w:sz="0" w:space="0" w:color="auto"/>
      </w:divBdr>
    </w:div>
    <w:div w:id="122046906">
      <w:bodyDiv w:val="1"/>
      <w:marLeft w:val="0"/>
      <w:marRight w:val="0"/>
      <w:marTop w:val="0"/>
      <w:marBottom w:val="0"/>
      <w:divBdr>
        <w:top w:val="none" w:sz="0" w:space="0" w:color="auto"/>
        <w:left w:val="none" w:sz="0" w:space="0" w:color="auto"/>
        <w:bottom w:val="none" w:sz="0" w:space="0" w:color="auto"/>
        <w:right w:val="none" w:sz="0" w:space="0" w:color="auto"/>
      </w:divBdr>
    </w:div>
    <w:div w:id="187451046">
      <w:bodyDiv w:val="1"/>
      <w:marLeft w:val="0"/>
      <w:marRight w:val="0"/>
      <w:marTop w:val="0"/>
      <w:marBottom w:val="0"/>
      <w:divBdr>
        <w:top w:val="none" w:sz="0" w:space="0" w:color="auto"/>
        <w:left w:val="none" w:sz="0" w:space="0" w:color="auto"/>
        <w:bottom w:val="none" w:sz="0" w:space="0" w:color="auto"/>
        <w:right w:val="none" w:sz="0" w:space="0" w:color="auto"/>
      </w:divBdr>
    </w:div>
    <w:div w:id="222764219">
      <w:bodyDiv w:val="1"/>
      <w:marLeft w:val="0"/>
      <w:marRight w:val="0"/>
      <w:marTop w:val="0"/>
      <w:marBottom w:val="0"/>
      <w:divBdr>
        <w:top w:val="none" w:sz="0" w:space="0" w:color="auto"/>
        <w:left w:val="none" w:sz="0" w:space="0" w:color="auto"/>
        <w:bottom w:val="none" w:sz="0" w:space="0" w:color="auto"/>
        <w:right w:val="none" w:sz="0" w:space="0" w:color="auto"/>
      </w:divBdr>
    </w:div>
    <w:div w:id="237911055">
      <w:bodyDiv w:val="1"/>
      <w:marLeft w:val="0"/>
      <w:marRight w:val="0"/>
      <w:marTop w:val="0"/>
      <w:marBottom w:val="0"/>
      <w:divBdr>
        <w:top w:val="none" w:sz="0" w:space="0" w:color="auto"/>
        <w:left w:val="none" w:sz="0" w:space="0" w:color="auto"/>
        <w:bottom w:val="none" w:sz="0" w:space="0" w:color="auto"/>
        <w:right w:val="none" w:sz="0" w:space="0" w:color="auto"/>
      </w:divBdr>
    </w:div>
    <w:div w:id="252973959">
      <w:bodyDiv w:val="1"/>
      <w:marLeft w:val="0"/>
      <w:marRight w:val="0"/>
      <w:marTop w:val="0"/>
      <w:marBottom w:val="0"/>
      <w:divBdr>
        <w:top w:val="none" w:sz="0" w:space="0" w:color="auto"/>
        <w:left w:val="none" w:sz="0" w:space="0" w:color="auto"/>
        <w:bottom w:val="none" w:sz="0" w:space="0" w:color="auto"/>
        <w:right w:val="none" w:sz="0" w:space="0" w:color="auto"/>
      </w:divBdr>
    </w:div>
    <w:div w:id="267545516">
      <w:bodyDiv w:val="1"/>
      <w:marLeft w:val="0"/>
      <w:marRight w:val="0"/>
      <w:marTop w:val="0"/>
      <w:marBottom w:val="0"/>
      <w:divBdr>
        <w:top w:val="none" w:sz="0" w:space="0" w:color="auto"/>
        <w:left w:val="none" w:sz="0" w:space="0" w:color="auto"/>
        <w:bottom w:val="none" w:sz="0" w:space="0" w:color="auto"/>
        <w:right w:val="none" w:sz="0" w:space="0" w:color="auto"/>
      </w:divBdr>
    </w:div>
    <w:div w:id="275063357">
      <w:bodyDiv w:val="1"/>
      <w:marLeft w:val="0"/>
      <w:marRight w:val="0"/>
      <w:marTop w:val="0"/>
      <w:marBottom w:val="0"/>
      <w:divBdr>
        <w:top w:val="none" w:sz="0" w:space="0" w:color="auto"/>
        <w:left w:val="none" w:sz="0" w:space="0" w:color="auto"/>
        <w:bottom w:val="none" w:sz="0" w:space="0" w:color="auto"/>
        <w:right w:val="none" w:sz="0" w:space="0" w:color="auto"/>
      </w:divBdr>
    </w:div>
    <w:div w:id="280765606">
      <w:bodyDiv w:val="1"/>
      <w:marLeft w:val="0"/>
      <w:marRight w:val="0"/>
      <w:marTop w:val="0"/>
      <w:marBottom w:val="0"/>
      <w:divBdr>
        <w:top w:val="none" w:sz="0" w:space="0" w:color="auto"/>
        <w:left w:val="none" w:sz="0" w:space="0" w:color="auto"/>
        <w:bottom w:val="none" w:sz="0" w:space="0" w:color="auto"/>
        <w:right w:val="none" w:sz="0" w:space="0" w:color="auto"/>
      </w:divBdr>
    </w:div>
    <w:div w:id="304429327">
      <w:bodyDiv w:val="1"/>
      <w:marLeft w:val="0"/>
      <w:marRight w:val="0"/>
      <w:marTop w:val="0"/>
      <w:marBottom w:val="0"/>
      <w:divBdr>
        <w:top w:val="none" w:sz="0" w:space="0" w:color="auto"/>
        <w:left w:val="none" w:sz="0" w:space="0" w:color="auto"/>
        <w:bottom w:val="none" w:sz="0" w:space="0" w:color="auto"/>
        <w:right w:val="none" w:sz="0" w:space="0" w:color="auto"/>
      </w:divBdr>
      <w:divsChild>
        <w:div w:id="974065395">
          <w:marLeft w:val="0"/>
          <w:marRight w:val="0"/>
          <w:marTop w:val="0"/>
          <w:marBottom w:val="0"/>
          <w:divBdr>
            <w:top w:val="none" w:sz="0" w:space="0" w:color="auto"/>
            <w:left w:val="none" w:sz="0" w:space="0" w:color="auto"/>
            <w:bottom w:val="none" w:sz="0" w:space="0" w:color="auto"/>
            <w:right w:val="none" w:sz="0" w:space="0" w:color="auto"/>
          </w:divBdr>
        </w:div>
        <w:div w:id="1547788616">
          <w:marLeft w:val="0"/>
          <w:marRight w:val="0"/>
          <w:marTop w:val="0"/>
          <w:marBottom w:val="0"/>
          <w:divBdr>
            <w:top w:val="none" w:sz="0" w:space="0" w:color="auto"/>
            <w:left w:val="none" w:sz="0" w:space="0" w:color="auto"/>
            <w:bottom w:val="none" w:sz="0" w:space="0" w:color="auto"/>
            <w:right w:val="none" w:sz="0" w:space="0" w:color="auto"/>
          </w:divBdr>
        </w:div>
      </w:divsChild>
    </w:div>
    <w:div w:id="311562687">
      <w:bodyDiv w:val="1"/>
      <w:marLeft w:val="0"/>
      <w:marRight w:val="0"/>
      <w:marTop w:val="0"/>
      <w:marBottom w:val="0"/>
      <w:divBdr>
        <w:top w:val="none" w:sz="0" w:space="0" w:color="auto"/>
        <w:left w:val="none" w:sz="0" w:space="0" w:color="auto"/>
        <w:bottom w:val="none" w:sz="0" w:space="0" w:color="auto"/>
        <w:right w:val="none" w:sz="0" w:space="0" w:color="auto"/>
      </w:divBdr>
    </w:div>
    <w:div w:id="313679941">
      <w:bodyDiv w:val="1"/>
      <w:marLeft w:val="0"/>
      <w:marRight w:val="0"/>
      <w:marTop w:val="0"/>
      <w:marBottom w:val="0"/>
      <w:divBdr>
        <w:top w:val="none" w:sz="0" w:space="0" w:color="auto"/>
        <w:left w:val="none" w:sz="0" w:space="0" w:color="auto"/>
        <w:bottom w:val="none" w:sz="0" w:space="0" w:color="auto"/>
        <w:right w:val="none" w:sz="0" w:space="0" w:color="auto"/>
      </w:divBdr>
    </w:div>
    <w:div w:id="387189593">
      <w:bodyDiv w:val="1"/>
      <w:marLeft w:val="0"/>
      <w:marRight w:val="0"/>
      <w:marTop w:val="0"/>
      <w:marBottom w:val="0"/>
      <w:divBdr>
        <w:top w:val="none" w:sz="0" w:space="0" w:color="auto"/>
        <w:left w:val="none" w:sz="0" w:space="0" w:color="auto"/>
        <w:bottom w:val="none" w:sz="0" w:space="0" w:color="auto"/>
        <w:right w:val="none" w:sz="0" w:space="0" w:color="auto"/>
      </w:divBdr>
      <w:divsChild>
        <w:div w:id="48194097">
          <w:marLeft w:val="0"/>
          <w:marRight w:val="0"/>
          <w:marTop w:val="0"/>
          <w:marBottom w:val="0"/>
          <w:divBdr>
            <w:top w:val="none" w:sz="0" w:space="0" w:color="auto"/>
            <w:left w:val="none" w:sz="0" w:space="0" w:color="auto"/>
            <w:bottom w:val="none" w:sz="0" w:space="0" w:color="auto"/>
            <w:right w:val="none" w:sz="0" w:space="0" w:color="auto"/>
          </w:divBdr>
        </w:div>
        <w:div w:id="174005794">
          <w:marLeft w:val="0"/>
          <w:marRight w:val="0"/>
          <w:marTop w:val="0"/>
          <w:marBottom w:val="0"/>
          <w:divBdr>
            <w:top w:val="none" w:sz="0" w:space="0" w:color="auto"/>
            <w:left w:val="none" w:sz="0" w:space="0" w:color="auto"/>
            <w:bottom w:val="none" w:sz="0" w:space="0" w:color="auto"/>
            <w:right w:val="none" w:sz="0" w:space="0" w:color="auto"/>
          </w:divBdr>
        </w:div>
        <w:div w:id="280311307">
          <w:marLeft w:val="0"/>
          <w:marRight w:val="0"/>
          <w:marTop w:val="0"/>
          <w:marBottom w:val="0"/>
          <w:divBdr>
            <w:top w:val="none" w:sz="0" w:space="0" w:color="auto"/>
            <w:left w:val="none" w:sz="0" w:space="0" w:color="auto"/>
            <w:bottom w:val="none" w:sz="0" w:space="0" w:color="auto"/>
            <w:right w:val="none" w:sz="0" w:space="0" w:color="auto"/>
          </w:divBdr>
        </w:div>
        <w:div w:id="981078694">
          <w:marLeft w:val="0"/>
          <w:marRight w:val="0"/>
          <w:marTop w:val="0"/>
          <w:marBottom w:val="0"/>
          <w:divBdr>
            <w:top w:val="none" w:sz="0" w:space="0" w:color="auto"/>
            <w:left w:val="none" w:sz="0" w:space="0" w:color="auto"/>
            <w:bottom w:val="none" w:sz="0" w:space="0" w:color="auto"/>
            <w:right w:val="none" w:sz="0" w:space="0" w:color="auto"/>
          </w:divBdr>
        </w:div>
        <w:div w:id="1702395290">
          <w:marLeft w:val="0"/>
          <w:marRight w:val="0"/>
          <w:marTop w:val="0"/>
          <w:marBottom w:val="0"/>
          <w:divBdr>
            <w:top w:val="none" w:sz="0" w:space="0" w:color="auto"/>
            <w:left w:val="none" w:sz="0" w:space="0" w:color="auto"/>
            <w:bottom w:val="none" w:sz="0" w:space="0" w:color="auto"/>
            <w:right w:val="none" w:sz="0" w:space="0" w:color="auto"/>
          </w:divBdr>
        </w:div>
        <w:div w:id="1769160091">
          <w:marLeft w:val="0"/>
          <w:marRight w:val="0"/>
          <w:marTop w:val="0"/>
          <w:marBottom w:val="0"/>
          <w:divBdr>
            <w:top w:val="none" w:sz="0" w:space="0" w:color="auto"/>
            <w:left w:val="none" w:sz="0" w:space="0" w:color="auto"/>
            <w:bottom w:val="none" w:sz="0" w:space="0" w:color="auto"/>
            <w:right w:val="none" w:sz="0" w:space="0" w:color="auto"/>
          </w:divBdr>
        </w:div>
      </w:divsChild>
    </w:div>
    <w:div w:id="502816336">
      <w:bodyDiv w:val="1"/>
      <w:marLeft w:val="0"/>
      <w:marRight w:val="0"/>
      <w:marTop w:val="0"/>
      <w:marBottom w:val="0"/>
      <w:divBdr>
        <w:top w:val="none" w:sz="0" w:space="0" w:color="auto"/>
        <w:left w:val="none" w:sz="0" w:space="0" w:color="auto"/>
        <w:bottom w:val="none" w:sz="0" w:space="0" w:color="auto"/>
        <w:right w:val="none" w:sz="0" w:space="0" w:color="auto"/>
      </w:divBdr>
    </w:div>
    <w:div w:id="529033434">
      <w:bodyDiv w:val="1"/>
      <w:marLeft w:val="0"/>
      <w:marRight w:val="0"/>
      <w:marTop w:val="0"/>
      <w:marBottom w:val="0"/>
      <w:divBdr>
        <w:top w:val="none" w:sz="0" w:space="0" w:color="auto"/>
        <w:left w:val="none" w:sz="0" w:space="0" w:color="auto"/>
        <w:bottom w:val="none" w:sz="0" w:space="0" w:color="auto"/>
        <w:right w:val="none" w:sz="0" w:space="0" w:color="auto"/>
      </w:divBdr>
      <w:divsChild>
        <w:div w:id="855120888">
          <w:marLeft w:val="0"/>
          <w:marRight w:val="0"/>
          <w:marTop w:val="0"/>
          <w:marBottom w:val="240"/>
          <w:divBdr>
            <w:top w:val="none" w:sz="0" w:space="0" w:color="auto"/>
            <w:left w:val="none" w:sz="0" w:space="0" w:color="auto"/>
            <w:bottom w:val="none" w:sz="0" w:space="0" w:color="auto"/>
            <w:right w:val="none" w:sz="0" w:space="0" w:color="auto"/>
          </w:divBdr>
          <w:divsChild>
            <w:div w:id="1435175314">
              <w:marLeft w:val="0"/>
              <w:marRight w:val="0"/>
              <w:marTop w:val="0"/>
              <w:marBottom w:val="0"/>
              <w:divBdr>
                <w:top w:val="none" w:sz="0" w:space="0" w:color="auto"/>
                <w:left w:val="none" w:sz="0" w:space="0" w:color="auto"/>
                <w:bottom w:val="none" w:sz="0" w:space="0" w:color="auto"/>
                <w:right w:val="none" w:sz="0" w:space="0" w:color="auto"/>
              </w:divBdr>
            </w:div>
          </w:divsChild>
        </w:div>
        <w:div w:id="1161585508">
          <w:marLeft w:val="0"/>
          <w:marRight w:val="0"/>
          <w:marTop w:val="0"/>
          <w:marBottom w:val="0"/>
          <w:divBdr>
            <w:top w:val="none" w:sz="0" w:space="0" w:color="auto"/>
            <w:left w:val="none" w:sz="0" w:space="0" w:color="auto"/>
            <w:bottom w:val="none" w:sz="0" w:space="0" w:color="auto"/>
            <w:right w:val="none" w:sz="0" w:space="0" w:color="auto"/>
          </w:divBdr>
          <w:divsChild>
            <w:div w:id="1929993931">
              <w:marLeft w:val="0"/>
              <w:marRight w:val="0"/>
              <w:marTop w:val="0"/>
              <w:marBottom w:val="0"/>
              <w:divBdr>
                <w:top w:val="none" w:sz="0" w:space="0" w:color="auto"/>
                <w:left w:val="none" w:sz="0" w:space="0" w:color="auto"/>
                <w:bottom w:val="none" w:sz="0" w:space="0" w:color="auto"/>
                <w:right w:val="none" w:sz="0" w:space="0" w:color="auto"/>
              </w:divBdr>
              <w:divsChild>
                <w:div w:id="372777936">
                  <w:marLeft w:val="0"/>
                  <w:marRight w:val="0"/>
                  <w:marTop w:val="0"/>
                  <w:marBottom w:val="0"/>
                  <w:divBdr>
                    <w:top w:val="none" w:sz="0" w:space="0" w:color="auto"/>
                    <w:left w:val="none" w:sz="0" w:space="0" w:color="auto"/>
                    <w:bottom w:val="none" w:sz="0" w:space="0" w:color="auto"/>
                    <w:right w:val="none" w:sz="0" w:space="0" w:color="auto"/>
                  </w:divBdr>
                  <w:divsChild>
                    <w:div w:id="535435713">
                      <w:marLeft w:val="0"/>
                      <w:marRight w:val="0"/>
                      <w:marTop w:val="0"/>
                      <w:marBottom w:val="0"/>
                      <w:divBdr>
                        <w:top w:val="none" w:sz="0" w:space="0" w:color="auto"/>
                        <w:left w:val="none" w:sz="0" w:space="0" w:color="auto"/>
                        <w:bottom w:val="none" w:sz="0" w:space="0" w:color="auto"/>
                        <w:right w:val="none" w:sz="0" w:space="0" w:color="auto"/>
                      </w:divBdr>
                      <w:divsChild>
                        <w:div w:id="14123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6429491">
      <w:bodyDiv w:val="1"/>
      <w:marLeft w:val="0"/>
      <w:marRight w:val="0"/>
      <w:marTop w:val="0"/>
      <w:marBottom w:val="0"/>
      <w:divBdr>
        <w:top w:val="none" w:sz="0" w:space="0" w:color="auto"/>
        <w:left w:val="none" w:sz="0" w:space="0" w:color="auto"/>
        <w:bottom w:val="none" w:sz="0" w:space="0" w:color="auto"/>
        <w:right w:val="none" w:sz="0" w:space="0" w:color="auto"/>
      </w:divBdr>
    </w:div>
    <w:div w:id="547647779">
      <w:bodyDiv w:val="1"/>
      <w:marLeft w:val="0"/>
      <w:marRight w:val="0"/>
      <w:marTop w:val="0"/>
      <w:marBottom w:val="0"/>
      <w:divBdr>
        <w:top w:val="none" w:sz="0" w:space="0" w:color="auto"/>
        <w:left w:val="none" w:sz="0" w:space="0" w:color="auto"/>
        <w:bottom w:val="none" w:sz="0" w:space="0" w:color="auto"/>
        <w:right w:val="none" w:sz="0" w:space="0" w:color="auto"/>
      </w:divBdr>
    </w:div>
    <w:div w:id="596788347">
      <w:bodyDiv w:val="1"/>
      <w:marLeft w:val="0"/>
      <w:marRight w:val="0"/>
      <w:marTop w:val="0"/>
      <w:marBottom w:val="0"/>
      <w:divBdr>
        <w:top w:val="none" w:sz="0" w:space="0" w:color="auto"/>
        <w:left w:val="none" w:sz="0" w:space="0" w:color="auto"/>
        <w:bottom w:val="none" w:sz="0" w:space="0" w:color="auto"/>
        <w:right w:val="none" w:sz="0" w:space="0" w:color="auto"/>
      </w:divBdr>
    </w:div>
    <w:div w:id="600067839">
      <w:bodyDiv w:val="1"/>
      <w:marLeft w:val="0"/>
      <w:marRight w:val="0"/>
      <w:marTop w:val="0"/>
      <w:marBottom w:val="0"/>
      <w:divBdr>
        <w:top w:val="none" w:sz="0" w:space="0" w:color="auto"/>
        <w:left w:val="none" w:sz="0" w:space="0" w:color="auto"/>
        <w:bottom w:val="none" w:sz="0" w:space="0" w:color="auto"/>
        <w:right w:val="none" w:sz="0" w:space="0" w:color="auto"/>
      </w:divBdr>
    </w:div>
    <w:div w:id="602880914">
      <w:bodyDiv w:val="1"/>
      <w:marLeft w:val="0"/>
      <w:marRight w:val="0"/>
      <w:marTop w:val="0"/>
      <w:marBottom w:val="0"/>
      <w:divBdr>
        <w:top w:val="none" w:sz="0" w:space="0" w:color="auto"/>
        <w:left w:val="none" w:sz="0" w:space="0" w:color="auto"/>
        <w:bottom w:val="none" w:sz="0" w:space="0" w:color="auto"/>
        <w:right w:val="none" w:sz="0" w:space="0" w:color="auto"/>
      </w:divBdr>
    </w:div>
    <w:div w:id="603221872">
      <w:bodyDiv w:val="1"/>
      <w:marLeft w:val="0"/>
      <w:marRight w:val="0"/>
      <w:marTop w:val="0"/>
      <w:marBottom w:val="0"/>
      <w:divBdr>
        <w:top w:val="none" w:sz="0" w:space="0" w:color="auto"/>
        <w:left w:val="none" w:sz="0" w:space="0" w:color="auto"/>
        <w:bottom w:val="none" w:sz="0" w:space="0" w:color="auto"/>
        <w:right w:val="none" w:sz="0" w:space="0" w:color="auto"/>
      </w:divBdr>
    </w:div>
    <w:div w:id="619184709">
      <w:bodyDiv w:val="1"/>
      <w:marLeft w:val="0"/>
      <w:marRight w:val="0"/>
      <w:marTop w:val="0"/>
      <w:marBottom w:val="0"/>
      <w:divBdr>
        <w:top w:val="none" w:sz="0" w:space="0" w:color="auto"/>
        <w:left w:val="none" w:sz="0" w:space="0" w:color="auto"/>
        <w:bottom w:val="none" w:sz="0" w:space="0" w:color="auto"/>
        <w:right w:val="none" w:sz="0" w:space="0" w:color="auto"/>
      </w:divBdr>
    </w:div>
    <w:div w:id="624699794">
      <w:bodyDiv w:val="1"/>
      <w:marLeft w:val="0"/>
      <w:marRight w:val="0"/>
      <w:marTop w:val="0"/>
      <w:marBottom w:val="0"/>
      <w:divBdr>
        <w:top w:val="none" w:sz="0" w:space="0" w:color="auto"/>
        <w:left w:val="none" w:sz="0" w:space="0" w:color="auto"/>
        <w:bottom w:val="none" w:sz="0" w:space="0" w:color="auto"/>
        <w:right w:val="none" w:sz="0" w:space="0" w:color="auto"/>
      </w:divBdr>
    </w:div>
    <w:div w:id="672417801">
      <w:bodyDiv w:val="1"/>
      <w:marLeft w:val="0"/>
      <w:marRight w:val="0"/>
      <w:marTop w:val="0"/>
      <w:marBottom w:val="0"/>
      <w:divBdr>
        <w:top w:val="none" w:sz="0" w:space="0" w:color="auto"/>
        <w:left w:val="none" w:sz="0" w:space="0" w:color="auto"/>
        <w:bottom w:val="none" w:sz="0" w:space="0" w:color="auto"/>
        <w:right w:val="none" w:sz="0" w:space="0" w:color="auto"/>
      </w:divBdr>
    </w:div>
    <w:div w:id="674649163">
      <w:bodyDiv w:val="1"/>
      <w:marLeft w:val="0"/>
      <w:marRight w:val="0"/>
      <w:marTop w:val="0"/>
      <w:marBottom w:val="0"/>
      <w:divBdr>
        <w:top w:val="none" w:sz="0" w:space="0" w:color="auto"/>
        <w:left w:val="none" w:sz="0" w:space="0" w:color="auto"/>
        <w:bottom w:val="none" w:sz="0" w:space="0" w:color="auto"/>
        <w:right w:val="none" w:sz="0" w:space="0" w:color="auto"/>
      </w:divBdr>
    </w:div>
    <w:div w:id="727917469">
      <w:bodyDiv w:val="1"/>
      <w:marLeft w:val="0"/>
      <w:marRight w:val="0"/>
      <w:marTop w:val="0"/>
      <w:marBottom w:val="0"/>
      <w:divBdr>
        <w:top w:val="none" w:sz="0" w:space="0" w:color="auto"/>
        <w:left w:val="none" w:sz="0" w:space="0" w:color="auto"/>
        <w:bottom w:val="none" w:sz="0" w:space="0" w:color="auto"/>
        <w:right w:val="none" w:sz="0" w:space="0" w:color="auto"/>
      </w:divBdr>
    </w:div>
    <w:div w:id="733242037">
      <w:bodyDiv w:val="1"/>
      <w:marLeft w:val="0"/>
      <w:marRight w:val="0"/>
      <w:marTop w:val="0"/>
      <w:marBottom w:val="0"/>
      <w:divBdr>
        <w:top w:val="none" w:sz="0" w:space="0" w:color="auto"/>
        <w:left w:val="none" w:sz="0" w:space="0" w:color="auto"/>
        <w:bottom w:val="none" w:sz="0" w:space="0" w:color="auto"/>
        <w:right w:val="none" w:sz="0" w:space="0" w:color="auto"/>
      </w:divBdr>
    </w:div>
    <w:div w:id="775101077">
      <w:bodyDiv w:val="1"/>
      <w:marLeft w:val="0"/>
      <w:marRight w:val="0"/>
      <w:marTop w:val="0"/>
      <w:marBottom w:val="0"/>
      <w:divBdr>
        <w:top w:val="none" w:sz="0" w:space="0" w:color="auto"/>
        <w:left w:val="none" w:sz="0" w:space="0" w:color="auto"/>
        <w:bottom w:val="none" w:sz="0" w:space="0" w:color="auto"/>
        <w:right w:val="none" w:sz="0" w:space="0" w:color="auto"/>
      </w:divBdr>
    </w:div>
    <w:div w:id="784352140">
      <w:bodyDiv w:val="1"/>
      <w:marLeft w:val="0"/>
      <w:marRight w:val="0"/>
      <w:marTop w:val="0"/>
      <w:marBottom w:val="0"/>
      <w:divBdr>
        <w:top w:val="none" w:sz="0" w:space="0" w:color="auto"/>
        <w:left w:val="none" w:sz="0" w:space="0" w:color="auto"/>
        <w:bottom w:val="none" w:sz="0" w:space="0" w:color="auto"/>
        <w:right w:val="none" w:sz="0" w:space="0" w:color="auto"/>
      </w:divBdr>
    </w:div>
    <w:div w:id="789665168">
      <w:bodyDiv w:val="1"/>
      <w:marLeft w:val="0"/>
      <w:marRight w:val="0"/>
      <w:marTop w:val="0"/>
      <w:marBottom w:val="0"/>
      <w:divBdr>
        <w:top w:val="none" w:sz="0" w:space="0" w:color="auto"/>
        <w:left w:val="none" w:sz="0" w:space="0" w:color="auto"/>
        <w:bottom w:val="none" w:sz="0" w:space="0" w:color="auto"/>
        <w:right w:val="none" w:sz="0" w:space="0" w:color="auto"/>
      </w:divBdr>
    </w:div>
    <w:div w:id="808784056">
      <w:bodyDiv w:val="1"/>
      <w:marLeft w:val="0"/>
      <w:marRight w:val="0"/>
      <w:marTop w:val="0"/>
      <w:marBottom w:val="0"/>
      <w:divBdr>
        <w:top w:val="none" w:sz="0" w:space="0" w:color="auto"/>
        <w:left w:val="none" w:sz="0" w:space="0" w:color="auto"/>
        <w:bottom w:val="none" w:sz="0" w:space="0" w:color="auto"/>
        <w:right w:val="none" w:sz="0" w:space="0" w:color="auto"/>
      </w:divBdr>
      <w:divsChild>
        <w:div w:id="249389357">
          <w:marLeft w:val="0"/>
          <w:marRight w:val="0"/>
          <w:marTop w:val="0"/>
          <w:marBottom w:val="240"/>
          <w:divBdr>
            <w:top w:val="none" w:sz="0" w:space="0" w:color="auto"/>
            <w:left w:val="none" w:sz="0" w:space="0" w:color="auto"/>
            <w:bottom w:val="none" w:sz="0" w:space="0" w:color="auto"/>
            <w:right w:val="none" w:sz="0" w:space="0" w:color="auto"/>
          </w:divBdr>
          <w:divsChild>
            <w:div w:id="993147418">
              <w:marLeft w:val="0"/>
              <w:marRight w:val="0"/>
              <w:marTop w:val="0"/>
              <w:marBottom w:val="0"/>
              <w:divBdr>
                <w:top w:val="none" w:sz="0" w:space="0" w:color="auto"/>
                <w:left w:val="none" w:sz="0" w:space="0" w:color="auto"/>
                <w:bottom w:val="none" w:sz="0" w:space="0" w:color="auto"/>
                <w:right w:val="none" w:sz="0" w:space="0" w:color="auto"/>
              </w:divBdr>
            </w:div>
          </w:divsChild>
        </w:div>
        <w:div w:id="1539199326">
          <w:marLeft w:val="0"/>
          <w:marRight w:val="0"/>
          <w:marTop w:val="0"/>
          <w:marBottom w:val="0"/>
          <w:divBdr>
            <w:top w:val="none" w:sz="0" w:space="0" w:color="auto"/>
            <w:left w:val="none" w:sz="0" w:space="0" w:color="auto"/>
            <w:bottom w:val="none" w:sz="0" w:space="0" w:color="auto"/>
            <w:right w:val="none" w:sz="0" w:space="0" w:color="auto"/>
          </w:divBdr>
          <w:divsChild>
            <w:div w:id="150634274">
              <w:marLeft w:val="0"/>
              <w:marRight w:val="0"/>
              <w:marTop w:val="0"/>
              <w:marBottom w:val="0"/>
              <w:divBdr>
                <w:top w:val="none" w:sz="0" w:space="0" w:color="auto"/>
                <w:left w:val="none" w:sz="0" w:space="0" w:color="auto"/>
                <w:bottom w:val="none" w:sz="0" w:space="0" w:color="auto"/>
                <w:right w:val="none" w:sz="0" w:space="0" w:color="auto"/>
              </w:divBdr>
              <w:divsChild>
                <w:div w:id="3897489">
                  <w:marLeft w:val="0"/>
                  <w:marRight w:val="0"/>
                  <w:marTop w:val="0"/>
                  <w:marBottom w:val="0"/>
                  <w:divBdr>
                    <w:top w:val="none" w:sz="0" w:space="0" w:color="auto"/>
                    <w:left w:val="none" w:sz="0" w:space="0" w:color="auto"/>
                    <w:bottom w:val="none" w:sz="0" w:space="0" w:color="auto"/>
                    <w:right w:val="none" w:sz="0" w:space="0" w:color="auto"/>
                  </w:divBdr>
                  <w:divsChild>
                    <w:div w:id="2070031266">
                      <w:marLeft w:val="0"/>
                      <w:marRight w:val="0"/>
                      <w:marTop w:val="0"/>
                      <w:marBottom w:val="0"/>
                      <w:divBdr>
                        <w:top w:val="none" w:sz="0" w:space="0" w:color="auto"/>
                        <w:left w:val="none" w:sz="0" w:space="0" w:color="auto"/>
                        <w:bottom w:val="none" w:sz="0" w:space="0" w:color="auto"/>
                        <w:right w:val="none" w:sz="0" w:space="0" w:color="auto"/>
                      </w:divBdr>
                      <w:divsChild>
                        <w:div w:id="68841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4535858">
      <w:bodyDiv w:val="1"/>
      <w:marLeft w:val="0"/>
      <w:marRight w:val="0"/>
      <w:marTop w:val="0"/>
      <w:marBottom w:val="0"/>
      <w:divBdr>
        <w:top w:val="none" w:sz="0" w:space="0" w:color="auto"/>
        <w:left w:val="none" w:sz="0" w:space="0" w:color="auto"/>
        <w:bottom w:val="none" w:sz="0" w:space="0" w:color="auto"/>
        <w:right w:val="none" w:sz="0" w:space="0" w:color="auto"/>
      </w:divBdr>
    </w:div>
    <w:div w:id="885022692">
      <w:bodyDiv w:val="1"/>
      <w:marLeft w:val="0"/>
      <w:marRight w:val="0"/>
      <w:marTop w:val="0"/>
      <w:marBottom w:val="0"/>
      <w:divBdr>
        <w:top w:val="none" w:sz="0" w:space="0" w:color="auto"/>
        <w:left w:val="none" w:sz="0" w:space="0" w:color="auto"/>
        <w:bottom w:val="none" w:sz="0" w:space="0" w:color="auto"/>
        <w:right w:val="none" w:sz="0" w:space="0" w:color="auto"/>
      </w:divBdr>
    </w:div>
    <w:div w:id="893007347">
      <w:bodyDiv w:val="1"/>
      <w:marLeft w:val="0"/>
      <w:marRight w:val="0"/>
      <w:marTop w:val="0"/>
      <w:marBottom w:val="0"/>
      <w:divBdr>
        <w:top w:val="none" w:sz="0" w:space="0" w:color="auto"/>
        <w:left w:val="none" w:sz="0" w:space="0" w:color="auto"/>
        <w:bottom w:val="none" w:sz="0" w:space="0" w:color="auto"/>
        <w:right w:val="none" w:sz="0" w:space="0" w:color="auto"/>
      </w:divBdr>
    </w:div>
    <w:div w:id="917667480">
      <w:bodyDiv w:val="1"/>
      <w:marLeft w:val="0"/>
      <w:marRight w:val="0"/>
      <w:marTop w:val="0"/>
      <w:marBottom w:val="0"/>
      <w:divBdr>
        <w:top w:val="none" w:sz="0" w:space="0" w:color="auto"/>
        <w:left w:val="none" w:sz="0" w:space="0" w:color="auto"/>
        <w:bottom w:val="none" w:sz="0" w:space="0" w:color="auto"/>
        <w:right w:val="none" w:sz="0" w:space="0" w:color="auto"/>
      </w:divBdr>
    </w:div>
    <w:div w:id="942735541">
      <w:bodyDiv w:val="1"/>
      <w:marLeft w:val="0"/>
      <w:marRight w:val="0"/>
      <w:marTop w:val="0"/>
      <w:marBottom w:val="0"/>
      <w:divBdr>
        <w:top w:val="none" w:sz="0" w:space="0" w:color="auto"/>
        <w:left w:val="none" w:sz="0" w:space="0" w:color="auto"/>
        <w:bottom w:val="none" w:sz="0" w:space="0" w:color="auto"/>
        <w:right w:val="none" w:sz="0" w:space="0" w:color="auto"/>
      </w:divBdr>
    </w:div>
    <w:div w:id="959796775">
      <w:bodyDiv w:val="1"/>
      <w:marLeft w:val="0"/>
      <w:marRight w:val="0"/>
      <w:marTop w:val="0"/>
      <w:marBottom w:val="0"/>
      <w:divBdr>
        <w:top w:val="none" w:sz="0" w:space="0" w:color="auto"/>
        <w:left w:val="none" w:sz="0" w:space="0" w:color="auto"/>
        <w:bottom w:val="none" w:sz="0" w:space="0" w:color="auto"/>
        <w:right w:val="none" w:sz="0" w:space="0" w:color="auto"/>
      </w:divBdr>
    </w:div>
    <w:div w:id="979917953">
      <w:bodyDiv w:val="1"/>
      <w:marLeft w:val="0"/>
      <w:marRight w:val="0"/>
      <w:marTop w:val="0"/>
      <w:marBottom w:val="0"/>
      <w:divBdr>
        <w:top w:val="none" w:sz="0" w:space="0" w:color="auto"/>
        <w:left w:val="none" w:sz="0" w:space="0" w:color="auto"/>
        <w:bottom w:val="none" w:sz="0" w:space="0" w:color="auto"/>
        <w:right w:val="none" w:sz="0" w:space="0" w:color="auto"/>
      </w:divBdr>
    </w:div>
    <w:div w:id="997417634">
      <w:bodyDiv w:val="1"/>
      <w:marLeft w:val="0"/>
      <w:marRight w:val="0"/>
      <w:marTop w:val="0"/>
      <w:marBottom w:val="0"/>
      <w:divBdr>
        <w:top w:val="none" w:sz="0" w:space="0" w:color="auto"/>
        <w:left w:val="none" w:sz="0" w:space="0" w:color="auto"/>
        <w:bottom w:val="none" w:sz="0" w:space="0" w:color="auto"/>
        <w:right w:val="none" w:sz="0" w:space="0" w:color="auto"/>
      </w:divBdr>
    </w:div>
    <w:div w:id="1007825354">
      <w:bodyDiv w:val="1"/>
      <w:marLeft w:val="0"/>
      <w:marRight w:val="0"/>
      <w:marTop w:val="0"/>
      <w:marBottom w:val="0"/>
      <w:divBdr>
        <w:top w:val="none" w:sz="0" w:space="0" w:color="auto"/>
        <w:left w:val="none" w:sz="0" w:space="0" w:color="auto"/>
        <w:bottom w:val="none" w:sz="0" w:space="0" w:color="auto"/>
        <w:right w:val="none" w:sz="0" w:space="0" w:color="auto"/>
      </w:divBdr>
    </w:div>
    <w:div w:id="1009675030">
      <w:bodyDiv w:val="1"/>
      <w:marLeft w:val="0"/>
      <w:marRight w:val="0"/>
      <w:marTop w:val="0"/>
      <w:marBottom w:val="0"/>
      <w:divBdr>
        <w:top w:val="none" w:sz="0" w:space="0" w:color="auto"/>
        <w:left w:val="none" w:sz="0" w:space="0" w:color="auto"/>
        <w:bottom w:val="none" w:sz="0" w:space="0" w:color="auto"/>
        <w:right w:val="none" w:sz="0" w:space="0" w:color="auto"/>
      </w:divBdr>
    </w:div>
    <w:div w:id="1050375367">
      <w:bodyDiv w:val="1"/>
      <w:marLeft w:val="0"/>
      <w:marRight w:val="0"/>
      <w:marTop w:val="0"/>
      <w:marBottom w:val="0"/>
      <w:divBdr>
        <w:top w:val="none" w:sz="0" w:space="0" w:color="auto"/>
        <w:left w:val="none" w:sz="0" w:space="0" w:color="auto"/>
        <w:bottom w:val="none" w:sz="0" w:space="0" w:color="auto"/>
        <w:right w:val="none" w:sz="0" w:space="0" w:color="auto"/>
      </w:divBdr>
    </w:div>
    <w:div w:id="1069108987">
      <w:bodyDiv w:val="1"/>
      <w:marLeft w:val="0"/>
      <w:marRight w:val="0"/>
      <w:marTop w:val="0"/>
      <w:marBottom w:val="0"/>
      <w:divBdr>
        <w:top w:val="none" w:sz="0" w:space="0" w:color="auto"/>
        <w:left w:val="none" w:sz="0" w:space="0" w:color="auto"/>
        <w:bottom w:val="none" w:sz="0" w:space="0" w:color="auto"/>
        <w:right w:val="none" w:sz="0" w:space="0" w:color="auto"/>
      </w:divBdr>
    </w:div>
    <w:div w:id="1101493315">
      <w:bodyDiv w:val="1"/>
      <w:marLeft w:val="0"/>
      <w:marRight w:val="0"/>
      <w:marTop w:val="0"/>
      <w:marBottom w:val="0"/>
      <w:divBdr>
        <w:top w:val="none" w:sz="0" w:space="0" w:color="auto"/>
        <w:left w:val="none" w:sz="0" w:space="0" w:color="auto"/>
        <w:bottom w:val="none" w:sz="0" w:space="0" w:color="auto"/>
        <w:right w:val="none" w:sz="0" w:space="0" w:color="auto"/>
      </w:divBdr>
    </w:div>
    <w:div w:id="1127043657">
      <w:bodyDiv w:val="1"/>
      <w:marLeft w:val="0"/>
      <w:marRight w:val="0"/>
      <w:marTop w:val="0"/>
      <w:marBottom w:val="0"/>
      <w:divBdr>
        <w:top w:val="none" w:sz="0" w:space="0" w:color="auto"/>
        <w:left w:val="none" w:sz="0" w:space="0" w:color="auto"/>
        <w:bottom w:val="none" w:sz="0" w:space="0" w:color="auto"/>
        <w:right w:val="none" w:sz="0" w:space="0" w:color="auto"/>
      </w:divBdr>
      <w:divsChild>
        <w:div w:id="632910908">
          <w:marLeft w:val="0"/>
          <w:marRight w:val="0"/>
          <w:marTop w:val="0"/>
          <w:marBottom w:val="0"/>
          <w:divBdr>
            <w:top w:val="none" w:sz="0" w:space="0" w:color="auto"/>
            <w:left w:val="none" w:sz="0" w:space="0" w:color="auto"/>
            <w:bottom w:val="none" w:sz="0" w:space="0" w:color="auto"/>
            <w:right w:val="none" w:sz="0" w:space="0" w:color="auto"/>
          </w:divBdr>
          <w:divsChild>
            <w:div w:id="668604492">
              <w:marLeft w:val="0"/>
              <w:marRight w:val="0"/>
              <w:marTop w:val="0"/>
              <w:marBottom w:val="0"/>
              <w:divBdr>
                <w:top w:val="none" w:sz="0" w:space="0" w:color="auto"/>
                <w:left w:val="none" w:sz="0" w:space="0" w:color="auto"/>
                <w:bottom w:val="none" w:sz="0" w:space="0" w:color="auto"/>
                <w:right w:val="none" w:sz="0" w:space="0" w:color="auto"/>
              </w:divBdr>
            </w:div>
            <w:div w:id="672152231">
              <w:marLeft w:val="0"/>
              <w:marRight w:val="0"/>
              <w:marTop w:val="0"/>
              <w:marBottom w:val="0"/>
              <w:divBdr>
                <w:top w:val="none" w:sz="0" w:space="0" w:color="auto"/>
                <w:left w:val="none" w:sz="0" w:space="0" w:color="auto"/>
                <w:bottom w:val="none" w:sz="0" w:space="0" w:color="auto"/>
                <w:right w:val="none" w:sz="0" w:space="0" w:color="auto"/>
              </w:divBdr>
            </w:div>
            <w:div w:id="712076050">
              <w:marLeft w:val="0"/>
              <w:marRight w:val="0"/>
              <w:marTop w:val="0"/>
              <w:marBottom w:val="0"/>
              <w:divBdr>
                <w:top w:val="none" w:sz="0" w:space="0" w:color="auto"/>
                <w:left w:val="none" w:sz="0" w:space="0" w:color="auto"/>
                <w:bottom w:val="none" w:sz="0" w:space="0" w:color="auto"/>
                <w:right w:val="none" w:sz="0" w:space="0" w:color="auto"/>
              </w:divBdr>
            </w:div>
            <w:div w:id="943920039">
              <w:marLeft w:val="0"/>
              <w:marRight w:val="0"/>
              <w:marTop w:val="0"/>
              <w:marBottom w:val="0"/>
              <w:divBdr>
                <w:top w:val="none" w:sz="0" w:space="0" w:color="auto"/>
                <w:left w:val="none" w:sz="0" w:space="0" w:color="auto"/>
                <w:bottom w:val="none" w:sz="0" w:space="0" w:color="auto"/>
                <w:right w:val="none" w:sz="0" w:space="0" w:color="auto"/>
              </w:divBdr>
            </w:div>
            <w:div w:id="1437679830">
              <w:marLeft w:val="0"/>
              <w:marRight w:val="0"/>
              <w:marTop w:val="0"/>
              <w:marBottom w:val="0"/>
              <w:divBdr>
                <w:top w:val="none" w:sz="0" w:space="0" w:color="auto"/>
                <w:left w:val="none" w:sz="0" w:space="0" w:color="auto"/>
                <w:bottom w:val="none" w:sz="0" w:space="0" w:color="auto"/>
                <w:right w:val="none" w:sz="0" w:space="0" w:color="auto"/>
              </w:divBdr>
            </w:div>
            <w:div w:id="1722558178">
              <w:marLeft w:val="0"/>
              <w:marRight w:val="0"/>
              <w:marTop w:val="0"/>
              <w:marBottom w:val="0"/>
              <w:divBdr>
                <w:top w:val="none" w:sz="0" w:space="0" w:color="auto"/>
                <w:left w:val="none" w:sz="0" w:space="0" w:color="auto"/>
                <w:bottom w:val="none" w:sz="0" w:space="0" w:color="auto"/>
                <w:right w:val="none" w:sz="0" w:space="0" w:color="auto"/>
              </w:divBdr>
            </w:div>
            <w:div w:id="2052726684">
              <w:marLeft w:val="0"/>
              <w:marRight w:val="0"/>
              <w:marTop w:val="0"/>
              <w:marBottom w:val="0"/>
              <w:divBdr>
                <w:top w:val="none" w:sz="0" w:space="0" w:color="auto"/>
                <w:left w:val="none" w:sz="0" w:space="0" w:color="auto"/>
                <w:bottom w:val="none" w:sz="0" w:space="0" w:color="auto"/>
                <w:right w:val="none" w:sz="0" w:space="0" w:color="auto"/>
              </w:divBdr>
            </w:div>
          </w:divsChild>
        </w:div>
        <w:div w:id="714281797">
          <w:marLeft w:val="0"/>
          <w:marRight w:val="0"/>
          <w:marTop w:val="0"/>
          <w:marBottom w:val="0"/>
          <w:divBdr>
            <w:top w:val="none" w:sz="0" w:space="0" w:color="auto"/>
            <w:left w:val="none" w:sz="0" w:space="0" w:color="auto"/>
            <w:bottom w:val="none" w:sz="0" w:space="0" w:color="auto"/>
            <w:right w:val="none" w:sz="0" w:space="0" w:color="auto"/>
          </w:divBdr>
          <w:divsChild>
            <w:div w:id="165246117">
              <w:marLeft w:val="0"/>
              <w:marRight w:val="0"/>
              <w:marTop w:val="0"/>
              <w:marBottom w:val="0"/>
              <w:divBdr>
                <w:top w:val="none" w:sz="0" w:space="0" w:color="auto"/>
                <w:left w:val="none" w:sz="0" w:space="0" w:color="auto"/>
                <w:bottom w:val="none" w:sz="0" w:space="0" w:color="auto"/>
                <w:right w:val="none" w:sz="0" w:space="0" w:color="auto"/>
              </w:divBdr>
            </w:div>
            <w:div w:id="184026463">
              <w:marLeft w:val="0"/>
              <w:marRight w:val="0"/>
              <w:marTop w:val="0"/>
              <w:marBottom w:val="0"/>
              <w:divBdr>
                <w:top w:val="none" w:sz="0" w:space="0" w:color="auto"/>
                <w:left w:val="none" w:sz="0" w:space="0" w:color="auto"/>
                <w:bottom w:val="none" w:sz="0" w:space="0" w:color="auto"/>
                <w:right w:val="none" w:sz="0" w:space="0" w:color="auto"/>
              </w:divBdr>
            </w:div>
            <w:div w:id="502160265">
              <w:marLeft w:val="0"/>
              <w:marRight w:val="0"/>
              <w:marTop w:val="0"/>
              <w:marBottom w:val="0"/>
              <w:divBdr>
                <w:top w:val="none" w:sz="0" w:space="0" w:color="auto"/>
                <w:left w:val="none" w:sz="0" w:space="0" w:color="auto"/>
                <w:bottom w:val="none" w:sz="0" w:space="0" w:color="auto"/>
                <w:right w:val="none" w:sz="0" w:space="0" w:color="auto"/>
              </w:divBdr>
            </w:div>
            <w:div w:id="598103179">
              <w:marLeft w:val="0"/>
              <w:marRight w:val="0"/>
              <w:marTop w:val="0"/>
              <w:marBottom w:val="0"/>
              <w:divBdr>
                <w:top w:val="none" w:sz="0" w:space="0" w:color="auto"/>
                <w:left w:val="none" w:sz="0" w:space="0" w:color="auto"/>
                <w:bottom w:val="none" w:sz="0" w:space="0" w:color="auto"/>
                <w:right w:val="none" w:sz="0" w:space="0" w:color="auto"/>
              </w:divBdr>
            </w:div>
            <w:div w:id="185869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300891">
      <w:bodyDiv w:val="1"/>
      <w:marLeft w:val="0"/>
      <w:marRight w:val="0"/>
      <w:marTop w:val="0"/>
      <w:marBottom w:val="0"/>
      <w:divBdr>
        <w:top w:val="none" w:sz="0" w:space="0" w:color="auto"/>
        <w:left w:val="none" w:sz="0" w:space="0" w:color="auto"/>
        <w:bottom w:val="none" w:sz="0" w:space="0" w:color="auto"/>
        <w:right w:val="none" w:sz="0" w:space="0" w:color="auto"/>
      </w:divBdr>
    </w:div>
    <w:div w:id="1190801688">
      <w:bodyDiv w:val="1"/>
      <w:marLeft w:val="0"/>
      <w:marRight w:val="0"/>
      <w:marTop w:val="0"/>
      <w:marBottom w:val="0"/>
      <w:divBdr>
        <w:top w:val="none" w:sz="0" w:space="0" w:color="auto"/>
        <w:left w:val="none" w:sz="0" w:space="0" w:color="auto"/>
        <w:bottom w:val="none" w:sz="0" w:space="0" w:color="auto"/>
        <w:right w:val="none" w:sz="0" w:space="0" w:color="auto"/>
      </w:divBdr>
    </w:div>
    <w:div w:id="1209995221">
      <w:bodyDiv w:val="1"/>
      <w:marLeft w:val="0"/>
      <w:marRight w:val="0"/>
      <w:marTop w:val="0"/>
      <w:marBottom w:val="0"/>
      <w:divBdr>
        <w:top w:val="none" w:sz="0" w:space="0" w:color="auto"/>
        <w:left w:val="none" w:sz="0" w:space="0" w:color="auto"/>
        <w:bottom w:val="none" w:sz="0" w:space="0" w:color="auto"/>
        <w:right w:val="none" w:sz="0" w:space="0" w:color="auto"/>
      </w:divBdr>
    </w:div>
    <w:div w:id="1239050610">
      <w:bodyDiv w:val="1"/>
      <w:marLeft w:val="0"/>
      <w:marRight w:val="0"/>
      <w:marTop w:val="0"/>
      <w:marBottom w:val="0"/>
      <w:divBdr>
        <w:top w:val="none" w:sz="0" w:space="0" w:color="auto"/>
        <w:left w:val="none" w:sz="0" w:space="0" w:color="auto"/>
        <w:bottom w:val="none" w:sz="0" w:space="0" w:color="auto"/>
        <w:right w:val="none" w:sz="0" w:space="0" w:color="auto"/>
      </w:divBdr>
    </w:div>
    <w:div w:id="1278633778">
      <w:bodyDiv w:val="1"/>
      <w:marLeft w:val="0"/>
      <w:marRight w:val="0"/>
      <w:marTop w:val="0"/>
      <w:marBottom w:val="0"/>
      <w:divBdr>
        <w:top w:val="none" w:sz="0" w:space="0" w:color="auto"/>
        <w:left w:val="none" w:sz="0" w:space="0" w:color="auto"/>
        <w:bottom w:val="none" w:sz="0" w:space="0" w:color="auto"/>
        <w:right w:val="none" w:sz="0" w:space="0" w:color="auto"/>
      </w:divBdr>
    </w:div>
    <w:div w:id="1316059625">
      <w:bodyDiv w:val="1"/>
      <w:marLeft w:val="0"/>
      <w:marRight w:val="0"/>
      <w:marTop w:val="0"/>
      <w:marBottom w:val="0"/>
      <w:divBdr>
        <w:top w:val="none" w:sz="0" w:space="0" w:color="auto"/>
        <w:left w:val="none" w:sz="0" w:space="0" w:color="auto"/>
        <w:bottom w:val="none" w:sz="0" w:space="0" w:color="auto"/>
        <w:right w:val="none" w:sz="0" w:space="0" w:color="auto"/>
      </w:divBdr>
      <w:divsChild>
        <w:div w:id="172653572">
          <w:marLeft w:val="0"/>
          <w:marRight w:val="0"/>
          <w:marTop w:val="0"/>
          <w:marBottom w:val="0"/>
          <w:divBdr>
            <w:top w:val="none" w:sz="0" w:space="0" w:color="auto"/>
            <w:left w:val="none" w:sz="0" w:space="0" w:color="auto"/>
            <w:bottom w:val="none" w:sz="0" w:space="0" w:color="auto"/>
            <w:right w:val="none" w:sz="0" w:space="0" w:color="auto"/>
          </w:divBdr>
          <w:divsChild>
            <w:div w:id="2102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634883">
      <w:bodyDiv w:val="1"/>
      <w:marLeft w:val="0"/>
      <w:marRight w:val="0"/>
      <w:marTop w:val="0"/>
      <w:marBottom w:val="0"/>
      <w:divBdr>
        <w:top w:val="none" w:sz="0" w:space="0" w:color="auto"/>
        <w:left w:val="none" w:sz="0" w:space="0" w:color="auto"/>
        <w:bottom w:val="none" w:sz="0" w:space="0" w:color="auto"/>
        <w:right w:val="none" w:sz="0" w:space="0" w:color="auto"/>
      </w:divBdr>
      <w:divsChild>
        <w:div w:id="1818690936">
          <w:marLeft w:val="634"/>
          <w:marRight w:val="0"/>
          <w:marTop w:val="0"/>
          <w:marBottom w:val="0"/>
          <w:divBdr>
            <w:top w:val="none" w:sz="0" w:space="0" w:color="auto"/>
            <w:left w:val="none" w:sz="0" w:space="0" w:color="auto"/>
            <w:bottom w:val="none" w:sz="0" w:space="0" w:color="auto"/>
            <w:right w:val="none" w:sz="0" w:space="0" w:color="auto"/>
          </w:divBdr>
        </w:div>
        <w:div w:id="2046564090">
          <w:marLeft w:val="634"/>
          <w:marRight w:val="0"/>
          <w:marTop w:val="0"/>
          <w:marBottom w:val="0"/>
          <w:divBdr>
            <w:top w:val="none" w:sz="0" w:space="0" w:color="auto"/>
            <w:left w:val="none" w:sz="0" w:space="0" w:color="auto"/>
            <w:bottom w:val="none" w:sz="0" w:space="0" w:color="auto"/>
            <w:right w:val="none" w:sz="0" w:space="0" w:color="auto"/>
          </w:divBdr>
        </w:div>
      </w:divsChild>
    </w:div>
    <w:div w:id="1347488096">
      <w:bodyDiv w:val="1"/>
      <w:marLeft w:val="0"/>
      <w:marRight w:val="0"/>
      <w:marTop w:val="0"/>
      <w:marBottom w:val="0"/>
      <w:divBdr>
        <w:top w:val="none" w:sz="0" w:space="0" w:color="auto"/>
        <w:left w:val="none" w:sz="0" w:space="0" w:color="auto"/>
        <w:bottom w:val="none" w:sz="0" w:space="0" w:color="auto"/>
        <w:right w:val="none" w:sz="0" w:space="0" w:color="auto"/>
      </w:divBdr>
      <w:divsChild>
        <w:div w:id="534972589">
          <w:marLeft w:val="547"/>
          <w:marRight w:val="0"/>
          <w:marTop w:val="200"/>
          <w:marBottom w:val="0"/>
          <w:divBdr>
            <w:top w:val="none" w:sz="0" w:space="0" w:color="auto"/>
            <w:left w:val="none" w:sz="0" w:space="0" w:color="auto"/>
            <w:bottom w:val="none" w:sz="0" w:space="0" w:color="auto"/>
            <w:right w:val="none" w:sz="0" w:space="0" w:color="auto"/>
          </w:divBdr>
        </w:div>
      </w:divsChild>
    </w:div>
    <w:div w:id="1375420949">
      <w:bodyDiv w:val="1"/>
      <w:marLeft w:val="0"/>
      <w:marRight w:val="0"/>
      <w:marTop w:val="0"/>
      <w:marBottom w:val="0"/>
      <w:divBdr>
        <w:top w:val="none" w:sz="0" w:space="0" w:color="auto"/>
        <w:left w:val="none" w:sz="0" w:space="0" w:color="auto"/>
        <w:bottom w:val="none" w:sz="0" w:space="0" w:color="auto"/>
        <w:right w:val="none" w:sz="0" w:space="0" w:color="auto"/>
      </w:divBdr>
    </w:div>
    <w:div w:id="1404640259">
      <w:bodyDiv w:val="1"/>
      <w:marLeft w:val="0"/>
      <w:marRight w:val="0"/>
      <w:marTop w:val="0"/>
      <w:marBottom w:val="0"/>
      <w:divBdr>
        <w:top w:val="none" w:sz="0" w:space="0" w:color="auto"/>
        <w:left w:val="none" w:sz="0" w:space="0" w:color="auto"/>
        <w:bottom w:val="none" w:sz="0" w:space="0" w:color="auto"/>
        <w:right w:val="none" w:sz="0" w:space="0" w:color="auto"/>
      </w:divBdr>
    </w:div>
    <w:div w:id="1415663213">
      <w:bodyDiv w:val="1"/>
      <w:marLeft w:val="0"/>
      <w:marRight w:val="0"/>
      <w:marTop w:val="0"/>
      <w:marBottom w:val="0"/>
      <w:divBdr>
        <w:top w:val="none" w:sz="0" w:space="0" w:color="auto"/>
        <w:left w:val="none" w:sz="0" w:space="0" w:color="auto"/>
        <w:bottom w:val="none" w:sz="0" w:space="0" w:color="auto"/>
        <w:right w:val="none" w:sz="0" w:space="0" w:color="auto"/>
      </w:divBdr>
      <w:divsChild>
        <w:div w:id="590628985">
          <w:marLeft w:val="0"/>
          <w:marRight w:val="0"/>
          <w:marTop w:val="0"/>
          <w:marBottom w:val="0"/>
          <w:divBdr>
            <w:top w:val="none" w:sz="0" w:space="0" w:color="auto"/>
            <w:left w:val="none" w:sz="0" w:space="0" w:color="auto"/>
            <w:bottom w:val="none" w:sz="0" w:space="0" w:color="auto"/>
            <w:right w:val="none" w:sz="0" w:space="0" w:color="auto"/>
          </w:divBdr>
          <w:divsChild>
            <w:div w:id="155982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418217">
      <w:bodyDiv w:val="1"/>
      <w:marLeft w:val="0"/>
      <w:marRight w:val="0"/>
      <w:marTop w:val="0"/>
      <w:marBottom w:val="0"/>
      <w:divBdr>
        <w:top w:val="none" w:sz="0" w:space="0" w:color="auto"/>
        <w:left w:val="none" w:sz="0" w:space="0" w:color="auto"/>
        <w:bottom w:val="none" w:sz="0" w:space="0" w:color="auto"/>
        <w:right w:val="none" w:sz="0" w:space="0" w:color="auto"/>
      </w:divBdr>
    </w:div>
    <w:div w:id="1438065796">
      <w:bodyDiv w:val="1"/>
      <w:marLeft w:val="0"/>
      <w:marRight w:val="0"/>
      <w:marTop w:val="0"/>
      <w:marBottom w:val="0"/>
      <w:divBdr>
        <w:top w:val="none" w:sz="0" w:space="0" w:color="auto"/>
        <w:left w:val="none" w:sz="0" w:space="0" w:color="auto"/>
        <w:bottom w:val="none" w:sz="0" w:space="0" w:color="auto"/>
        <w:right w:val="none" w:sz="0" w:space="0" w:color="auto"/>
      </w:divBdr>
    </w:div>
    <w:div w:id="1449741595">
      <w:bodyDiv w:val="1"/>
      <w:marLeft w:val="0"/>
      <w:marRight w:val="0"/>
      <w:marTop w:val="0"/>
      <w:marBottom w:val="0"/>
      <w:divBdr>
        <w:top w:val="none" w:sz="0" w:space="0" w:color="auto"/>
        <w:left w:val="none" w:sz="0" w:space="0" w:color="auto"/>
        <w:bottom w:val="none" w:sz="0" w:space="0" w:color="auto"/>
        <w:right w:val="none" w:sz="0" w:space="0" w:color="auto"/>
      </w:divBdr>
      <w:divsChild>
        <w:div w:id="467741434">
          <w:marLeft w:val="0"/>
          <w:marRight w:val="0"/>
          <w:marTop w:val="0"/>
          <w:marBottom w:val="0"/>
          <w:divBdr>
            <w:top w:val="none" w:sz="0" w:space="0" w:color="auto"/>
            <w:left w:val="none" w:sz="0" w:space="0" w:color="auto"/>
            <w:bottom w:val="none" w:sz="0" w:space="0" w:color="auto"/>
            <w:right w:val="none" w:sz="0" w:space="0" w:color="auto"/>
          </w:divBdr>
          <w:divsChild>
            <w:div w:id="781415559">
              <w:marLeft w:val="0"/>
              <w:marRight w:val="0"/>
              <w:marTop w:val="0"/>
              <w:marBottom w:val="0"/>
              <w:divBdr>
                <w:top w:val="none" w:sz="0" w:space="0" w:color="auto"/>
                <w:left w:val="none" w:sz="0" w:space="0" w:color="auto"/>
                <w:bottom w:val="none" w:sz="0" w:space="0" w:color="auto"/>
                <w:right w:val="none" w:sz="0" w:space="0" w:color="auto"/>
              </w:divBdr>
            </w:div>
            <w:div w:id="866021590">
              <w:marLeft w:val="0"/>
              <w:marRight w:val="0"/>
              <w:marTop w:val="0"/>
              <w:marBottom w:val="0"/>
              <w:divBdr>
                <w:top w:val="none" w:sz="0" w:space="0" w:color="auto"/>
                <w:left w:val="none" w:sz="0" w:space="0" w:color="auto"/>
                <w:bottom w:val="none" w:sz="0" w:space="0" w:color="auto"/>
                <w:right w:val="none" w:sz="0" w:space="0" w:color="auto"/>
              </w:divBdr>
            </w:div>
            <w:div w:id="994063653">
              <w:marLeft w:val="0"/>
              <w:marRight w:val="0"/>
              <w:marTop w:val="0"/>
              <w:marBottom w:val="0"/>
              <w:divBdr>
                <w:top w:val="none" w:sz="0" w:space="0" w:color="auto"/>
                <w:left w:val="none" w:sz="0" w:space="0" w:color="auto"/>
                <w:bottom w:val="none" w:sz="0" w:space="0" w:color="auto"/>
                <w:right w:val="none" w:sz="0" w:space="0" w:color="auto"/>
              </w:divBdr>
            </w:div>
            <w:div w:id="1159732914">
              <w:marLeft w:val="0"/>
              <w:marRight w:val="0"/>
              <w:marTop w:val="0"/>
              <w:marBottom w:val="0"/>
              <w:divBdr>
                <w:top w:val="none" w:sz="0" w:space="0" w:color="auto"/>
                <w:left w:val="none" w:sz="0" w:space="0" w:color="auto"/>
                <w:bottom w:val="none" w:sz="0" w:space="0" w:color="auto"/>
                <w:right w:val="none" w:sz="0" w:space="0" w:color="auto"/>
              </w:divBdr>
            </w:div>
            <w:div w:id="1488202538">
              <w:marLeft w:val="0"/>
              <w:marRight w:val="0"/>
              <w:marTop w:val="0"/>
              <w:marBottom w:val="0"/>
              <w:divBdr>
                <w:top w:val="none" w:sz="0" w:space="0" w:color="auto"/>
                <w:left w:val="none" w:sz="0" w:space="0" w:color="auto"/>
                <w:bottom w:val="none" w:sz="0" w:space="0" w:color="auto"/>
                <w:right w:val="none" w:sz="0" w:space="0" w:color="auto"/>
              </w:divBdr>
            </w:div>
            <w:div w:id="1619291275">
              <w:marLeft w:val="0"/>
              <w:marRight w:val="0"/>
              <w:marTop w:val="0"/>
              <w:marBottom w:val="0"/>
              <w:divBdr>
                <w:top w:val="none" w:sz="0" w:space="0" w:color="auto"/>
                <w:left w:val="none" w:sz="0" w:space="0" w:color="auto"/>
                <w:bottom w:val="none" w:sz="0" w:space="0" w:color="auto"/>
                <w:right w:val="none" w:sz="0" w:space="0" w:color="auto"/>
              </w:divBdr>
            </w:div>
            <w:div w:id="1850176805">
              <w:marLeft w:val="0"/>
              <w:marRight w:val="0"/>
              <w:marTop w:val="0"/>
              <w:marBottom w:val="0"/>
              <w:divBdr>
                <w:top w:val="none" w:sz="0" w:space="0" w:color="auto"/>
                <w:left w:val="none" w:sz="0" w:space="0" w:color="auto"/>
                <w:bottom w:val="none" w:sz="0" w:space="0" w:color="auto"/>
                <w:right w:val="none" w:sz="0" w:space="0" w:color="auto"/>
              </w:divBdr>
            </w:div>
          </w:divsChild>
        </w:div>
        <w:div w:id="687876378">
          <w:marLeft w:val="0"/>
          <w:marRight w:val="0"/>
          <w:marTop w:val="0"/>
          <w:marBottom w:val="0"/>
          <w:divBdr>
            <w:top w:val="none" w:sz="0" w:space="0" w:color="auto"/>
            <w:left w:val="none" w:sz="0" w:space="0" w:color="auto"/>
            <w:bottom w:val="none" w:sz="0" w:space="0" w:color="auto"/>
            <w:right w:val="none" w:sz="0" w:space="0" w:color="auto"/>
          </w:divBdr>
          <w:divsChild>
            <w:div w:id="1083835895">
              <w:marLeft w:val="0"/>
              <w:marRight w:val="0"/>
              <w:marTop w:val="0"/>
              <w:marBottom w:val="0"/>
              <w:divBdr>
                <w:top w:val="none" w:sz="0" w:space="0" w:color="auto"/>
                <w:left w:val="none" w:sz="0" w:space="0" w:color="auto"/>
                <w:bottom w:val="none" w:sz="0" w:space="0" w:color="auto"/>
                <w:right w:val="none" w:sz="0" w:space="0" w:color="auto"/>
              </w:divBdr>
            </w:div>
            <w:div w:id="1444183451">
              <w:marLeft w:val="0"/>
              <w:marRight w:val="0"/>
              <w:marTop w:val="0"/>
              <w:marBottom w:val="0"/>
              <w:divBdr>
                <w:top w:val="none" w:sz="0" w:space="0" w:color="auto"/>
                <w:left w:val="none" w:sz="0" w:space="0" w:color="auto"/>
                <w:bottom w:val="none" w:sz="0" w:space="0" w:color="auto"/>
                <w:right w:val="none" w:sz="0" w:space="0" w:color="auto"/>
              </w:divBdr>
            </w:div>
            <w:div w:id="1542479082">
              <w:marLeft w:val="0"/>
              <w:marRight w:val="0"/>
              <w:marTop w:val="0"/>
              <w:marBottom w:val="0"/>
              <w:divBdr>
                <w:top w:val="none" w:sz="0" w:space="0" w:color="auto"/>
                <w:left w:val="none" w:sz="0" w:space="0" w:color="auto"/>
                <w:bottom w:val="none" w:sz="0" w:space="0" w:color="auto"/>
                <w:right w:val="none" w:sz="0" w:space="0" w:color="auto"/>
              </w:divBdr>
            </w:div>
            <w:div w:id="1833057880">
              <w:marLeft w:val="0"/>
              <w:marRight w:val="0"/>
              <w:marTop w:val="0"/>
              <w:marBottom w:val="0"/>
              <w:divBdr>
                <w:top w:val="none" w:sz="0" w:space="0" w:color="auto"/>
                <w:left w:val="none" w:sz="0" w:space="0" w:color="auto"/>
                <w:bottom w:val="none" w:sz="0" w:space="0" w:color="auto"/>
                <w:right w:val="none" w:sz="0" w:space="0" w:color="auto"/>
              </w:divBdr>
            </w:div>
            <w:div w:id="187356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54588">
      <w:bodyDiv w:val="1"/>
      <w:marLeft w:val="0"/>
      <w:marRight w:val="0"/>
      <w:marTop w:val="0"/>
      <w:marBottom w:val="0"/>
      <w:divBdr>
        <w:top w:val="none" w:sz="0" w:space="0" w:color="auto"/>
        <w:left w:val="none" w:sz="0" w:space="0" w:color="auto"/>
        <w:bottom w:val="none" w:sz="0" w:space="0" w:color="auto"/>
        <w:right w:val="none" w:sz="0" w:space="0" w:color="auto"/>
      </w:divBdr>
    </w:div>
    <w:div w:id="1514299738">
      <w:bodyDiv w:val="1"/>
      <w:marLeft w:val="0"/>
      <w:marRight w:val="0"/>
      <w:marTop w:val="0"/>
      <w:marBottom w:val="0"/>
      <w:divBdr>
        <w:top w:val="none" w:sz="0" w:space="0" w:color="auto"/>
        <w:left w:val="none" w:sz="0" w:space="0" w:color="auto"/>
        <w:bottom w:val="none" w:sz="0" w:space="0" w:color="auto"/>
        <w:right w:val="none" w:sz="0" w:space="0" w:color="auto"/>
      </w:divBdr>
    </w:div>
    <w:div w:id="1588882826">
      <w:bodyDiv w:val="1"/>
      <w:marLeft w:val="0"/>
      <w:marRight w:val="0"/>
      <w:marTop w:val="0"/>
      <w:marBottom w:val="0"/>
      <w:divBdr>
        <w:top w:val="none" w:sz="0" w:space="0" w:color="auto"/>
        <w:left w:val="none" w:sz="0" w:space="0" w:color="auto"/>
        <w:bottom w:val="none" w:sz="0" w:space="0" w:color="auto"/>
        <w:right w:val="none" w:sz="0" w:space="0" w:color="auto"/>
      </w:divBdr>
    </w:div>
    <w:div w:id="1597637046">
      <w:bodyDiv w:val="1"/>
      <w:marLeft w:val="0"/>
      <w:marRight w:val="0"/>
      <w:marTop w:val="0"/>
      <w:marBottom w:val="0"/>
      <w:divBdr>
        <w:top w:val="none" w:sz="0" w:space="0" w:color="auto"/>
        <w:left w:val="none" w:sz="0" w:space="0" w:color="auto"/>
        <w:bottom w:val="none" w:sz="0" w:space="0" w:color="auto"/>
        <w:right w:val="none" w:sz="0" w:space="0" w:color="auto"/>
      </w:divBdr>
    </w:div>
    <w:div w:id="1633517324">
      <w:bodyDiv w:val="1"/>
      <w:marLeft w:val="0"/>
      <w:marRight w:val="0"/>
      <w:marTop w:val="0"/>
      <w:marBottom w:val="0"/>
      <w:divBdr>
        <w:top w:val="none" w:sz="0" w:space="0" w:color="auto"/>
        <w:left w:val="none" w:sz="0" w:space="0" w:color="auto"/>
        <w:bottom w:val="none" w:sz="0" w:space="0" w:color="auto"/>
        <w:right w:val="none" w:sz="0" w:space="0" w:color="auto"/>
      </w:divBdr>
    </w:div>
    <w:div w:id="1656833724">
      <w:bodyDiv w:val="1"/>
      <w:marLeft w:val="0"/>
      <w:marRight w:val="0"/>
      <w:marTop w:val="0"/>
      <w:marBottom w:val="0"/>
      <w:divBdr>
        <w:top w:val="none" w:sz="0" w:space="0" w:color="auto"/>
        <w:left w:val="none" w:sz="0" w:space="0" w:color="auto"/>
        <w:bottom w:val="none" w:sz="0" w:space="0" w:color="auto"/>
        <w:right w:val="none" w:sz="0" w:space="0" w:color="auto"/>
      </w:divBdr>
    </w:div>
    <w:div w:id="1671522913">
      <w:bodyDiv w:val="1"/>
      <w:marLeft w:val="0"/>
      <w:marRight w:val="0"/>
      <w:marTop w:val="0"/>
      <w:marBottom w:val="0"/>
      <w:divBdr>
        <w:top w:val="none" w:sz="0" w:space="0" w:color="auto"/>
        <w:left w:val="none" w:sz="0" w:space="0" w:color="auto"/>
        <w:bottom w:val="none" w:sz="0" w:space="0" w:color="auto"/>
        <w:right w:val="none" w:sz="0" w:space="0" w:color="auto"/>
      </w:divBdr>
      <w:divsChild>
        <w:div w:id="614559950">
          <w:marLeft w:val="0"/>
          <w:marRight w:val="0"/>
          <w:marTop w:val="0"/>
          <w:marBottom w:val="0"/>
          <w:divBdr>
            <w:top w:val="none" w:sz="0" w:space="0" w:color="auto"/>
            <w:left w:val="none" w:sz="0" w:space="0" w:color="auto"/>
            <w:bottom w:val="none" w:sz="0" w:space="0" w:color="auto"/>
            <w:right w:val="none" w:sz="0" w:space="0" w:color="auto"/>
          </w:divBdr>
        </w:div>
        <w:div w:id="981346386">
          <w:marLeft w:val="0"/>
          <w:marRight w:val="0"/>
          <w:marTop w:val="0"/>
          <w:marBottom w:val="0"/>
          <w:divBdr>
            <w:top w:val="none" w:sz="0" w:space="0" w:color="auto"/>
            <w:left w:val="none" w:sz="0" w:space="0" w:color="auto"/>
            <w:bottom w:val="none" w:sz="0" w:space="0" w:color="auto"/>
            <w:right w:val="none" w:sz="0" w:space="0" w:color="auto"/>
          </w:divBdr>
        </w:div>
      </w:divsChild>
    </w:div>
    <w:div w:id="1679384689">
      <w:bodyDiv w:val="1"/>
      <w:marLeft w:val="0"/>
      <w:marRight w:val="0"/>
      <w:marTop w:val="0"/>
      <w:marBottom w:val="0"/>
      <w:divBdr>
        <w:top w:val="none" w:sz="0" w:space="0" w:color="auto"/>
        <w:left w:val="none" w:sz="0" w:space="0" w:color="auto"/>
        <w:bottom w:val="none" w:sz="0" w:space="0" w:color="auto"/>
        <w:right w:val="none" w:sz="0" w:space="0" w:color="auto"/>
      </w:divBdr>
    </w:div>
    <w:div w:id="1711687835">
      <w:bodyDiv w:val="1"/>
      <w:marLeft w:val="0"/>
      <w:marRight w:val="0"/>
      <w:marTop w:val="0"/>
      <w:marBottom w:val="0"/>
      <w:divBdr>
        <w:top w:val="none" w:sz="0" w:space="0" w:color="auto"/>
        <w:left w:val="none" w:sz="0" w:space="0" w:color="auto"/>
        <w:bottom w:val="none" w:sz="0" w:space="0" w:color="auto"/>
        <w:right w:val="none" w:sz="0" w:space="0" w:color="auto"/>
      </w:divBdr>
    </w:div>
    <w:div w:id="1719012780">
      <w:bodyDiv w:val="1"/>
      <w:marLeft w:val="0"/>
      <w:marRight w:val="0"/>
      <w:marTop w:val="0"/>
      <w:marBottom w:val="0"/>
      <w:divBdr>
        <w:top w:val="none" w:sz="0" w:space="0" w:color="auto"/>
        <w:left w:val="none" w:sz="0" w:space="0" w:color="auto"/>
        <w:bottom w:val="none" w:sz="0" w:space="0" w:color="auto"/>
        <w:right w:val="none" w:sz="0" w:space="0" w:color="auto"/>
      </w:divBdr>
    </w:div>
    <w:div w:id="1739523341">
      <w:bodyDiv w:val="1"/>
      <w:marLeft w:val="0"/>
      <w:marRight w:val="0"/>
      <w:marTop w:val="0"/>
      <w:marBottom w:val="0"/>
      <w:divBdr>
        <w:top w:val="none" w:sz="0" w:space="0" w:color="auto"/>
        <w:left w:val="none" w:sz="0" w:space="0" w:color="auto"/>
        <w:bottom w:val="none" w:sz="0" w:space="0" w:color="auto"/>
        <w:right w:val="none" w:sz="0" w:space="0" w:color="auto"/>
      </w:divBdr>
    </w:div>
    <w:div w:id="1785230665">
      <w:bodyDiv w:val="1"/>
      <w:marLeft w:val="0"/>
      <w:marRight w:val="0"/>
      <w:marTop w:val="0"/>
      <w:marBottom w:val="0"/>
      <w:divBdr>
        <w:top w:val="none" w:sz="0" w:space="0" w:color="auto"/>
        <w:left w:val="none" w:sz="0" w:space="0" w:color="auto"/>
        <w:bottom w:val="none" w:sz="0" w:space="0" w:color="auto"/>
        <w:right w:val="none" w:sz="0" w:space="0" w:color="auto"/>
      </w:divBdr>
    </w:div>
    <w:div w:id="1821538188">
      <w:bodyDiv w:val="1"/>
      <w:marLeft w:val="0"/>
      <w:marRight w:val="0"/>
      <w:marTop w:val="0"/>
      <w:marBottom w:val="0"/>
      <w:divBdr>
        <w:top w:val="none" w:sz="0" w:space="0" w:color="auto"/>
        <w:left w:val="none" w:sz="0" w:space="0" w:color="auto"/>
        <w:bottom w:val="none" w:sz="0" w:space="0" w:color="auto"/>
        <w:right w:val="none" w:sz="0" w:space="0" w:color="auto"/>
      </w:divBdr>
      <w:divsChild>
        <w:div w:id="432433970">
          <w:marLeft w:val="1714"/>
          <w:marRight w:val="0"/>
          <w:marTop w:val="100"/>
          <w:marBottom w:val="0"/>
          <w:divBdr>
            <w:top w:val="none" w:sz="0" w:space="0" w:color="auto"/>
            <w:left w:val="none" w:sz="0" w:space="0" w:color="auto"/>
            <w:bottom w:val="none" w:sz="0" w:space="0" w:color="auto"/>
            <w:right w:val="none" w:sz="0" w:space="0" w:color="auto"/>
          </w:divBdr>
        </w:div>
        <w:div w:id="581764406">
          <w:marLeft w:val="1714"/>
          <w:marRight w:val="0"/>
          <w:marTop w:val="100"/>
          <w:marBottom w:val="0"/>
          <w:divBdr>
            <w:top w:val="none" w:sz="0" w:space="0" w:color="auto"/>
            <w:left w:val="none" w:sz="0" w:space="0" w:color="auto"/>
            <w:bottom w:val="none" w:sz="0" w:space="0" w:color="auto"/>
            <w:right w:val="none" w:sz="0" w:space="0" w:color="auto"/>
          </w:divBdr>
        </w:div>
        <w:div w:id="615448864">
          <w:marLeft w:val="1714"/>
          <w:marRight w:val="0"/>
          <w:marTop w:val="100"/>
          <w:marBottom w:val="0"/>
          <w:divBdr>
            <w:top w:val="none" w:sz="0" w:space="0" w:color="auto"/>
            <w:left w:val="none" w:sz="0" w:space="0" w:color="auto"/>
            <w:bottom w:val="none" w:sz="0" w:space="0" w:color="auto"/>
            <w:right w:val="none" w:sz="0" w:space="0" w:color="auto"/>
          </w:divBdr>
        </w:div>
        <w:div w:id="806356269">
          <w:marLeft w:val="547"/>
          <w:marRight w:val="0"/>
          <w:marTop w:val="200"/>
          <w:marBottom w:val="0"/>
          <w:divBdr>
            <w:top w:val="none" w:sz="0" w:space="0" w:color="auto"/>
            <w:left w:val="none" w:sz="0" w:space="0" w:color="auto"/>
            <w:bottom w:val="none" w:sz="0" w:space="0" w:color="auto"/>
            <w:right w:val="none" w:sz="0" w:space="0" w:color="auto"/>
          </w:divBdr>
        </w:div>
        <w:div w:id="1522473817">
          <w:marLeft w:val="1714"/>
          <w:marRight w:val="0"/>
          <w:marTop w:val="100"/>
          <w:marBottom w:val="0"/>
          <w:divBdr>
            <w:top w:val="none" w:sz="0" w:space="0" w:color="auto"/>
            <w:left w:val="none" w:sz="0" w:space="0" w:color="auto"/>
            <w:bottom w:val="none" w:sz="0" w:space="0" w:color="auto"/>
            <w:right w:val="none" w:sz="0" w:space="0" w:color="auto"/>
          </w:divBdr>
        </w:div>
        <w:div w:id="1804420415">
          <w:marLeft w:val="547"/>
          <w:marRight w:val="0"/>
          <w:marTop w:val="200"/>
          <w:marBottom w:val="0"/>
          <w:divBdr>
            <w:top w:val="none" w:sz="0" w:space="0" w:color="auto"/>
            <w:left w:val="none" w:sz="0" w:space="0" w:color="auto"/>
            <w:bottom w:val="none" w:sz="0" w:space="0" w:color="auto"/>
            <w:right w:val="none" w:sz="0" w:space="0" w:color="auto"/>
          </w:divBdr>
        </w:div>
      </w:divsChild>
    </w:div>
    <w:div w:id="1849253856">
      <w:bodyDiv w:val="1"/>
      <w:marLeft w:val="0"/>
      <w:marRight w:val="0"/>
      <w:marTop w:val="0"/>
      <w:marBottom w:val="0"/>
      <w:divBdr>
        <w:top w:val="none" w:sz="0" w:space="0" w:color="auto"/>
        <w:left w:val="none" w:sz="0" w:space="0" w:color="auto"/>
        <w:bottom w:val="none" w:sz="0" w:space="0" w:color="auto"/>
        <w:right w:val="none" w:sz="0" w:space="0" w:color="auto"/>
      </w:divBdr>
    </w:div>
    <w:div w:id="1866214418">
      <w:bodyDiv w:val="1"/>
      <w:marLeft w:val="0"/>
      <w:marRight w:val="0"/>
      <w:marTop w:val="0"/>
      <w:marBottom w:val="0"/>
      <w:divBdr>
        <w:top w:val="none" w:sz="0" w:space="0" w:color="auto"/>
        <w:left w:val="none" w:sz="0" w:space="0" w:color="auto"/>
        <w:bottom w:val="none" w:sz="0" w:space="0" w:color="auto"/>
        <w:right w:val="none" w:sz="0" w:space="0" w:color="auto"/>
      </w:divBdr>
    </w:div>
    <w:div w:id="1898932475">
      <w:bodyDiv w:val="1"/>
      <w:marLeft w:val="0"/>
      <w:marRight w:val="0"/>
      <w:marTop w:val="0"/>
      <w:marBottom w:val="0"/>
      <w:divBdr>
        <w:top w:val="none" w:sz="0" w:space="0" w:color="auto"/>
        <w:left w:val="none" w:sz="0" w:space="0" w:color="auto"/>
        <w:bottom w:val="none" w:sz="0" w:space="0" w:color="auto"/>
        <w:right w:val="none" w:sz="0" w:space="0" w:color="auto"/>
      </w:divBdr>
    </w:div>
    <w:div w:id="1902985104">
      <w:bodyDiv w:val="1"/>
      <w:marLeft w:val="0"/>
      <w:marRight w:val="0"/>
      <w:marTop w:val="0"/>
      <w:marBottom w:val="0"/>
      <w:divBdr>
        <w:top w:val="none" w:sz="0" w:space="0" w:color="auto"/>
        <w:left w:val="none" w:sz="0" w:space="0" w:color="auto"/>
        <w:bottom w:val="none" w:sz="0" w:space="0" w:color="auto"/>
        <w:right w:val="none" w:sz="0" w:space="0" w:color="auto"/>
      </w:divBdr>
    </w:div>
    <w:div w:id="2000423792">
      <w:bodyDiv w:val="1"/>
      <w:marLeft w:val="0"/>
      <w:marRight w:val="0"/>
      <w:marTop w:val="0"/>
      <w:marBottom w:val="0"/>
      <w:divBdr>
        <w:top w:val="none" w:sz="0" w:space="0" w:color="auto"/>
        <w:left w:val="none" w:sz="0" w:space="0" w:color="auto"/>
        <w:bottom w:val="none" w:sz="0" w:space="0" w:color="auto"/>
        <w:right w:val="none" w:sz="0" w:space="0" w:color="auto"/>
      </w:divBdr>
    </w:div>
    <w:div w:id="2035690585">
      <w:bodyDiv w:val="1"/>
      <w:marLeft w:val="0"/>
      <w:marRight w:val="0"/>
      <w:marTop w:val="0"/>
      <w:marBottom w:val="0"/>
      <w:divBdr>
        <w:top w:val="none" w:sz="0" w:space="0" w:color="auto"/>
        <w:left w:val="none" w:sz="0" w:space="0" w:color="auto"/>
        <w:bottom w:val="none" w:sz="0" w:space="0" w:color="auto"/>
        <w:right w:val="none" w:sz="0" w:space="0" w:color="auto"/>
      </w:divBdr>
    </w:div>
    <w:div w:id="2041785723">
      <w:bodyDiv w:val="1"/>
      <w:marLeft w:val="0"/>
      <w:marRight w:val="0"/>
      <w:marTop w:val="0"/>
      <w:marBottom w:val="0"/>
      <w:divBdr>
        <w:top w:val="none" w:sz="0" w:space="0" w:color="auto"/>
        <w:left w:val="none" w:sz="0" w:space="0" w:color="auto"/>
        <w:bottom w:val="none" w:sz="0" w:space="0" w:color="auto"/>
        <w:right w:val="none" w:sz="0" w:space="0" w:color="auto"/>
      </w:divBdr>
    </w:div>
    <w:div w:id="2043817603">
      <w:bodyDiv w:val="1"/>
      <w:marLeft w:val="0"/>
      <w:marRight w:val="0"/>
      <w:marTop w:val="0"/>
      <w:marBottom w:val="0"/>
      <w:divBdr>
        <w:top w:val="none" w:sz="0" w:space="0" w:color="auto"/>
        <w:left w:val="none" w:sz="0" w:space="0" w:color="auto"/>
        <w:bottom w:val="none" w:sz="0" w:space="0" w:color="auto"/>
        <w:right w:val="none" w:sz="0" w:space="0" w:color="auto"/>
      </w:divBdr>
    </w:div>
    <w:div w:id="2046632265">
      <w:bodyDiv w:val="1"/>
      <w:marLeft w:val="0"/>
      <w:marRight w:val="0"/>
      <w:marTop w:val="0"/>
      <w:marBottom w:val="0"/>
      <w:divBdr>
        <w:top w:val="none" w:sz="0" w:space="0" w:color="auto"/>
        <w:left w:val="none" w:sz="0" w:space="0" w:color="auto"/>
        <w:bottom w:val="none" w:sz="0" w:space="0" w:color="auto"/>
        <w:right w:val="none" w:sz="0" w:space="0" w:color="auto"/>
      </w:divBdr>
    </w:div>
    <w:div w:id="2051756548">
      <w:bodyDiv w:val="1"/>
      <w:marLeft w:val="0"/>
      <w:marRight w:val="0"/>
      <w:marTop w:val="0"/>
      <w:marBottom w:val="0"/>
      <w:divBdr>
        <w:top w:val="none" w:sz="0" w:space="0" w:color="auto"/>
        <w:left w:val="none" w:sz="0" w:space="0" w:color="auto"/>
        <w:bottom w:val="none" w:sz="0" w:space="0" w:color="auto"/>
        <w:right w:val="none" w:sz="0" w:space="0" w:color="auto"/>
      </w:divBdr>
    </w:div>
    <w:div w:id="2065760772">
      <w:bodyDiv w:val="1"/>
      <w:marLeft w:val="0"/>
      <w:marRight w:val="0"/>
      <w:marTop w:val="0"/>
      <w:marBottom w:val="0"/>
      <w:divBdr>
        <w:top w:val="none" w:sz="0" w:space="0" w:color="auto"/>
        <w:left w:val="none" w:sz="0" w:space="0" w:color="auto"/>
        <w:bottom w:val="none" w:sz="0" w:space="0" w:color="auto"/>
        <w:right w:val="none" w:sz="0" w:space="0" w:color="auto"/>
      </w:divBdr>
    </w:div>
    <w:div w:id="2107073023">
      <w:bodyDiv w:val="1"/>
      <w:marLeft w:val="0"/>
      <w:marRight w:val="0"/>
      <w:marTop w:val="0"/>
      <w:marBottom w:val="0"/>
      <w:divBdr>
        <w:top w:val="none" w:sz="0" w:space="0" w:color="auto"/>
        <w:left w:val="none" w:sz="0" w:space="0" w:color="auto"/>
        <w:bottom w:val="none" w:sz="0" w:space="0" w:color="auto"/>
        <w:right w:val="none" w:sz="0" w:space="0" w:color="auto"/>
      </w:divBdr>
    </w:div>
    <w:div w:id="2135322797">
      <w:bodyDiv w:val="1"/>
      <w:marLeft w:val="0"/>
      <w:marRight w:val="0"/>
      <w:marTop w:val="0"/>
      <w:marBottom w:val="0"/>
      <w:divBdr>
        <w:top w:val="none" w:sz="0" w:space="0" w:color="auto"/>
        <w:left w:val="none" w:sz="0" w:space="0" w:color="auto"/>
        <w:bottom w:val="none" w:sz="0" w:space="0" w:color="auto"/>
        <w:right w:val="none" w:sz="0" w:space="0" w:color="auto"/>
      </w:divBdr>
    </w:div>
    <w:div w:id="2139569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7.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hyperlink" Target="https://www.ecb.europa.eu/stats/ecb_statistics/reporting/jbrc/html/index.en.html" TargetMode="External"/><Relationship Id="rId50" Type="http://schemas.openxmlformats.org/officeDocument/2006/relationships/image" Target="media/image31.png"/><Relationship Id="rId55"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hyperlink" Target="https://www.bankingsupervision.europa.eu/press/speeches/date/2026/html/ssm.sp260519~eb90c081f4.en.html"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www.ecb.europa.eu/press/key/date/2025/html/ecb.sp251021~a757abf975.en.html" TargetMode="External"/><Relationship Id="rId29" Type="http://schemas.openxmlformats.org/officeDocument/2006/relationships/image" Target="media/image14.png"/><Relationship Id="rId41" Type="http://schemas.openxmlformats.org/officeDocument/2006/relationships/image" Target="media/image26.png"/><Relationship Id="rId54"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28.png"/><Relationship Id="rId53" Type="http://schemas.openxmlformats.org/officeDocument/2006/relationships/footer" Target="footer4.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www.ecb.europa.eu/press/financial-stability-publications/fsr/special/html/ecb.fsrart202411_02~4161cc6124.en.html" TargetMode="External"/><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0.png"/><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image" Target="media/image16.png"/><Relationship Id="rId44" Type="http://schemas.openxmlformats.org/officeDocument/2006/relationships/hyperlink" Target="https://www.ecb.europa.eu/press/financial-stability-publications/fsr/html/ecb.fsr202505~0cde5244f6.en.html" TargetMode="External"/><Relationship Id="rId52"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hyperlink" Target="https://tools.eba.europa.eu/interactive-tools/2025/powerbi/883401/tr25_sovereign.html" TargetMode="External"/><Relationship Id="rId48" Type="http://schemas.openxmlformats.org/officeDocument/2006/relationships/image" Target="media/image29.png"/><Relationship Id="rId56" Type="http://schemas.openxmlformats.org/officeDocument/2006/relationships/footer" Target="footer6.xml"/><Relationship Id="rId8" Type="http://schemas.openxmlformats.org/officeDocument/2006/relationships/image" Target="media/image1.emf"/><Relationship Id="rId51" Type="http://schemas.openxmlformats.org/officeDocument/2006/relationships/header" Target="header4.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3" Type="http://schemas.openxmlformats.org/officeDocument/2006/relationships/hyperlink" Target="https://www.ecb.europa.eu/stats/ecb_surveys/safe/html/index.en.html" TargetMode="External"/><Relationship Id="rId18" Type="http://schemas.openxmlformats.org/officeDocument/2006/relationships/hyperlink" Target="https://www.ecb.europa.eu/press/pr/date/2026/html/ecb.pr260212~fe37ff4ed0.en.html" TargetMode="External"/><Relationship Id="rId26" Type="http://schemas.openxmlformats.org/officeDocument/2006/relationships/hyperlink" Target="https://data.worldbank.org/indicator/CM.MKT.LCAP.CD" TargetMode="External"/><Relationship Id="rId39" Type="http://schemas.openxmlformats.org/officeDocument/2006/relationships/hyperlink" Target="https://www.cnb.cz/export/sites/cnb/en/economic-research/.galleries/research_publications/cnb_wp/cnbwp_2018_13.pdf" TargetMode="External"/><Relationship Id="rId21" Type="http://schemas.openxmlformats.org/officeDocument/2006/relationships/hyperlink" Target="https://www.bankingsupervision.europa.eu/press/speeches/date/2023/html/ssm.sp230321.en.html" TargetMode="External"/><Relationship Id="rId34" Type="http://schemas.openxmlformats.org/officeDocument/2006/relationships/hyperlink" Target="https://www.econstor.eu/bitstream/10419/203322/1/safe-wp-246_2.pdf" TargetMode="External"/><Relationship Id="rId42" Type="http://schemas.openxmlformats.org/officeDocument/2006/relationships/hyperlink" Target="https://www.eba.europa.eu/sites/default/files/document_library/844126/Potential%20obstacles%20M&amp;A.pdf" TargetMode="External"/><Relationship Id="rId47" Type="http://schemas.openxmlformats.org/officeDocument/2006/relationships/hyperlink" Target="https://www.fsb.org/uploads/P051224.pdf" TargetMode="External"/><Relationship Id="rId50" Type="http://schemas.openxmlformats.org/officeDocument/2006/relationships/hyperlink" Target="https://www.bankingsupervision.europa.eu/activities/internal_models/omm/html/index.en.html" TargetMode="External"/><Relationship Id="rId55" Type="http://schemas.openxmlformats.org/officeDocument/2006/relationships/hyperlink" Target="https://finance.ec.europa.eu/publications/de-prioritisation-level-2-acts-financial-services-legislation_en" TargetMode="External"/><Relationship Id="rId63" Type="http://schemas.openxmlformats.org/officeDocument/2006/relationships/hyperlink" Target="https://www.ecb.europa.eu/press/financial-stability-publications/macroprudential-bulletin/html/ecb.mpbu202010_1~01c4f1a5f4.en.html" TargetMode="External"/><Relationship Id="rId68" Type="http://schemas.openxmlformats.org/officeDocument/2006/relationships/hyperlink" Target="https://www.ecb.europa.eu/press/pubbydate/2025/html/ecb.simplification_supervisory_reporting_framework202512.en.html" TargetMode="External"/><Relationship Id="rId76" Type="http://schemas.openxmlformats.org/officeDocument/2006/relationships/hyperlink" Target="https://www.ecb.europa.eu/stats/ecb_statistics/reporting/IReF/html/index.en.html" TargetMode="External"/><Relationship Id="rId7" Type="http://schemas.openxmlformats.org/officeDocument/2006/relationships/hyperlink" Target="https://www.eba.europa.eu/sites/default/files/2026-03/f99324ee-6d5c-451f-9cfa-5b58a908c18d/EBA%20Risk%20Dashboard%20-%20Q4%202025.pdf" TargetMode="External"/><Relationship Id="rId71" Type="http://schemas.openxmlformats.org/officeDocument/2006/relationships/hyperlink" Target="https://www.eba.europa.eu/sites/default/files/2025-10/b8e0ef8e-2d49-43fc-b917-dbca3423588c/Report%20on%20the%20efficiency%20of%20the%20regulatory%20and%20supervisory%20framework.pdf" TargetMode="External"/><Relationship Id="rId2" Type="http://schemas.openxmlformats.org/officeDocument/2006/relationships/hyperlink" Target="https://finance.ec.europa.eu/events/single-market-banking-workshop-2025-09-19_en" TargetMode="External"/><Relationship Id="rId16" Type="http://schemas.openxmlformats.org/officeDocument/2006/relationships/hyperlink" Target="https://www.ecb.europa.eu/pub/pdf/scpwps/ecb.wp2937~7e22f4dc25.de.pdf" TargetMode="External"/><Relationship Id="rId29" Type="http://schemas.openxmlformats.org/officeDocument/2006/relationships/hyperlink" Target="https://www.imf.org/-/media/files/publications/reo/eur/2024/october/english/reoeurnote1.pdf" TargetMode="External"/><Relationship Id="rId11" Type="http://schemas.openxmlformats.org/officeDocument/2006/relationships/hyperlink" Target="https://www.consilium.europa.eu/media/ny3j24sm/much-more-than-a-market-report-by-enrico-letta.pdf" TargetMode="External"/><Relationship Id="rId24" Type="http://schemas.openxmlformats.org/officeDocument/2006/relationships/hyperlink" Target="https://www.srb.europa.eu/system/files/media/document/2025-06-30_Annual-Report-2024.pdf" TargetMode="External"/><Relationship Id="rId32" Type="http://schemas.openxmlformats.org/officeDocument/2006/relationships/hyperlink" Target="https://www.eba.europa.eu/publications-and-media/press-releases/market-share-eu-subsidiaries-third-country-banking-groups-remains-stable-98-total-assets" TargetMode="External"/><Relationship Id="rId37" Type="http://schemas.openxmlformats.org/officeDocument/2006/relationships/hyperlink" Target="https://www.sciencedirect.com/science/article/pii/S0304405X1600026X" TargetMode="External"/><Relationship Id="rId40" Type="http://schemas.openxmlformats.org/officeDocument/2006/relationships/hyperlink" Target="https://www.brookings.edu/research/understanding-ring-fencing-and-how-it-could-make-banking-riskier/" TargetMode="External"/><Relationship Id="rId45" Type="http://schemas.openxmlformats.org/officeDocument/2006/relationships/hyperlink" Target="https://www.ecb.europa.eu/pub/pdf/scpops/ecb.op308~9f3b17784f.en.pdf" TargetMode="External"/><Relationship Id="rId53" Type="http://schemas.openxmlformats.org/officeDocument/2006/relationships/hyperlink" Target="https://www.fsb.org/uploads/P240326.pdf" TargetMode="External"/><Relationship Id="rId58" Type="http://schemas.openxmlformats.org/officeDocument/2006/relationships/hyperlink" Target="https://ec.europa.eu/finance/docs/law/221018-communication-non-performing-loans_en.pdf" TargetMode="External"/><Relationship Id="rId66" Type="http://schemas.openxmlformats.org/officeDocument/2006/relationships/hyperlink" Target="https://eba.europa.eu/publications-and-media/press-releases/ebas-feasibility-study-integrated-reporting-system-provides" TargetMode="External"/><Relationship Id="rId74" Type="http://schemas.openxmlformats.org/officeDocument/2006/relationships/hyperlink" Target="https://eur-lex.europa.eu/legal-content/EN/TXT/?uri=CELEX:52025PC0080" TargetMode="External"/><Relationship Id="rId79" Type="http://schemas.openxmlformats.org/officeDocument/2006/relationships/hyperlink" Target="https://www.ecb.europa.eu/press/pubbydate/2025/html/ecb.simplification_supervisory_reporting_framework202512.en.html" TargetMode="External"/><Relationship Id="rId5" Type="http://schemas.openxmlformats.org/officeDocument/2006/relationships/hyperlink" Target="https://finance.ec.europa.eu/regulation-and-supervision/consultations-0/targeted-consultation-competitiveness-eu-banking-sector-2026_en" TargetMode="External"/><Relationship Id="rId61" Type="http://schemas.openxmlformats.org/officeDocument/2006/relationships/hyperlink" Target="https://www.bis.org/bcbs/publ/d542.pdf" TargetMode="External"/><Relationship Id="rId10" Type="http://schemas.openxmlformats.org/officeDocument/2006/relationships/hyperlink" Target="https://www.ecb.europa.eu/pub/pdf/scpops/ecb.op369~246a103ed8.en.pdf" TargetMode="External"/><Relationship Id="rId19" Type="http://schemas.openxmlformats.org/officeDocument/2006/relationships/hyperlink" Target="https://www.eba.europa.eu/sites/default/files/2026-03/f99324ee-6d5c-451f-9cfa-5b58a908c18d/EBA%20Risk%20Dashboard%20-%20Q4%202025.pdf" TargetMode="External"/><Relationship Id="rId31" Type="http://schemas.openxmlformats.org/officeDocument/2006/relationships/hyperlink" Target="https://www.afme.eu/media/ntlodudx/afme-banking-union-report-september-25.pdf" TargetMode="External"/><Relationship Id="rId44" Type="http://schemas.openxmlformats.org/officeDocument/2006/relationships/hyperlink" Target="https://www.sciencedirect.com/science/article/pii/S0889158316300028" TargetMode="External"/><Relationship Id="rId52" Type="http://schemas.openxmlformats.org/officeDocument/2006/relationships/hyperlink" Target="https://www.tradefinanceglobal.com/posts/breaking-trade-finance-default-rates-rise-icc-trade-finance-register/" TargetMode="External"/><Relationship Id="rId60" Type="http://schemas.openxmlformats.org/officeDocument/2006/relationships/hyperlink" Target="https://www.esrb.europa.eu/pub/pdf/reports/esrb.ATFreport211217_capitalbuffers~a1d4725ab0.en.pdf" TargetMode="External"/><Relationship Id="rId65" Type="http://schemas.openxmlformats.org/officeDocument/2006/relationships/hyperlink" Target="https://eur-lex.europa.eu/legal-content/EN/TXT/?uri=celex:52021SC0081" TargetMode="External"/><Relationship Id="rId73" Type="http://schemas.openxmlformats.org/officeDocument/2006/relationships/hyperlink" Target="http://data.europa.eu/eli/reg/2024/1623/oj" TargetMode="External"/><Relationship Id="rId78" Type="http://schemas.openxmlformats.org/officeDocument/2006/relationships/hyperlink" Target="https://www.eba.europa.eu/sites/default/files/2025-10/b8e0ef8e-2d49-43fc-b917-dbca3423588c/Report%20on%20the%20efficiency%20of%20the%20regulatory%20and%20supervisory%20framework.pdf" TargetMode="External"/><Relationship Id="rId4" Type="http://schemas.openxmlformats.org/officeDocument/2006/relationships/hyperlink" Target="https://finance.ec.europa.eu/events/implementation-dialogue-banking-integration-and-competitiveness-2025-12-02_en" TargetMode="External"/><Relationship Id="rId9" Type="http://schemas.openxmlformats.org/officeDocument/2006/relationships/hyperlink" Target="https://www.ecb.europa.eu/home/search/financial_integration/html/index.en.html" TargetMode="External"/><Relationship Id="rId14" Type="http://schemas.openxmlformats.org/officeDocument/2006/relationships/hyperlink" Target="https://economy-finance.ec.europa.eu/publications/mid-tech-europe-sectoral-account-total-factor-productivity-growth-latest-vintage-eu-klems-database_en" TargetMode="External"/><Relationship Id="rId22" Type="http://schemas.openxmlformats.org/officeDocument/2006/relationships/hyperlink" Target="https://www.europarl.europa.eu/RegData/etudes/IDAN/2025/764380/ECTI_IDA(2025)764380_EN.pdf" TargetMode="External"/><Relationship Id="rId27" Type="http://schemas.openxmlformats.org/officeDocument/2006/relationships/hyperlink" Target="https://www.afme.eu/media/lcki31x0/afme-equity-primary-markets-and-trading_report_2025-q4.pdf" TargetMode="External"/><Relationship Id="rId30" Type="http://schemas.openxmlformats.org/officeDocument/2006/relationships/hyperlink" Target="https://www.imf.org/-/media/files/publications/sdn/2026/english/sdnea2026002.pdf" TargetMode="External"/><Relationship Id="rId35" Type="http://schemas.openxmlformats.org/officeDocument/2006/relationships/hyperlink" Target="https://www.bankofengland.co.uk/-/media/boe/files/working-paper/2017/liquidity-holdings-diversification-and-aggregate-shocks.pdf?la=en&amp;hash=AE6810232D82B2831183B54027C177982568D319" TargetMode="External"/><Relationship Id="rId43" Type="http://schemas.openxmlformats.org/officeDocument/2006/relationships/hyperlink" Target="https://www.afme.eu/publications/reports/bank-taxes-in-europe-eu-and-uk/" TargetMode="External"/><Relationship Id="rId48" Type="http://schemas.openxmlformats.org/officeDocument/2006/relationships/hyperlink" Target="https://www.fsb.org/uploads/Guiding-principles-on-the-temporary-funding-needed-to-support-the-orderly-resolution-of-a-global-systemically-important-bank-G-SIB.pdf" TargetMode="External"/><Relationship Id="rId56" Type="http://schemas.openxmlformats.org/officeDocument/2006/relationships/hyperlink" Target="https://www.enisa.europa.eu/publications/enisa-threat-landscape-finance-sector" TargetMode="External"/><Relationship Id="rId64" Type="http://schemas.openxmlformats.org/officeDocument/2006/relationships/hyperlink" Target="https://finance.ec.europa.eu/document/download/c99c0611-635b-4adb-bd25-a0776cefab85_en?filename=191107-fitness-check-supervisory-reporting-staff-working-paper_en.pdf" TargetMode="External"/><Relationship Id="rId69" Type="http://schemas.openxmlformats.org/officeDocument/2006/relationships/hyperlink" Target="https://www.eba.europa.eu/sites/default/files/document_library/Publications/Reports/2021/1013948/Study%20of%20the%20cost%20of%20compliance%20with%20supervisory%20reporting%20requirement.pdf" TargetMode="External"/><Relationship Id="rId77" Type="http://schemas.openxmlformats.org/officeDocument/2006/relationships/hyperlink" Target="https://www.eba.europa.eu/publications-and-media/press-releases/ecb-and-eba-step-efforts-make-banking-industry-data-reporting" TargetMode="External"/><Relationship Id="rId8" Type="http://schemas.openxmlformats.org/officeDocument/2006/relationships/hyperlink" Target="https://finance.ec.europa.eu/document/download/3aec0fd2-9c5c-462c-89ec-083cdf14f526_en?filename=european-financial-stability-and-integration-review-2026_en.pdf" TargetMode="External"/><Relationship Id="rId51" Type="http://schemas.openxmlformats.org/officeDocument/2006/relationships/hyperlink" Target="https://www.gihub.org/infrastructure-monitor/insights/infrastructure-debt-default-rates-by-region/" TargetMode="External"/><Relationship Id="rId72" Type="http://schemas.openxmlformats.org/officeDocument/2006/relationships/hyperlink" Target="https://finance.ec.europa.eu/publications/strategy-supervisory-data-eu-financial-services_en" TargetMode="External"/><Relationship Id="rId3" Type="http://schemas.openxmlformats.org/officeDocument/2006/relationships/hyperlink" Target="https://finance.ec.europa.eu/events/reality-check-complexity-eu-banking-regulatory-framework-2025-11-28_en" TargetMode="External"/><Relationship Id="rId12" Type="http://schemas.openxmlformats.org/officeDocument/2006/relationships/hyperlink" Target="https://commission.europa.eu/topics/competitiveness/draghi-report_en" TargetMode="External"/><Relationship Id="rId17" Type="http://schemas.openxmlformats.org/officeDocument/2006/relationships/hyperlink" Target="https://www.ecb.europa.eu/press/financial-stability-publications/fsr/special/html/ecb.fsrart202511_02~e2f82a64bf.en.html" TargetMode="External"/><Relationship Id="rId25" Type="http://schemas.openxmlformats.org/officeDocument/2006/relationships/hyperlink" Target="https://www.ecb.europa.eu/pub/pdf/scpops/ecb.op387.en.pdf?pdf" TargetMode="External"/><Relationship Id="rId33" Type="http://schemas.openxmlformats.org/officeDocument/2006/relationships/hyperlink" Target="https://www.ft.com/content/232bc04a-d2b9-42a2-a38f-eca48c734eb4?shareType=nongift" TargetMode="External"/><Relationship Id="rId38" Type="http://schemas.openxmlformats.org/officeDocument/2006/relationships/hyperlink" Target="https://ideas.repec.org/a/ecb/ecbart/201800033.html" TargetMode="External"/><Relationship Id="rId46" Type="http://schemas.openxmlformats.org/officeDocument/2006/relationships/hyperlink" Target="https://publications.jrc.ec.europa.eu/repository/handle/JRC132364" TargetMode="External"/><Relationship Id="rId59" Type="http://schemas.openxmlformats.org/officeDocument/2006/relationships/hyperlink" Target="https://www.srb.europa.eu/system/files/media/document/The%20SRB%27s%20approach%20to%20simplification.pdf" TargetMode="External"/><Relationship Id="rId67" Type="http://schemas.openxmlformats.org/officeDocument/2006/relationships/hyperlink" Target="https://www.ecb.europa.eu/pub/pdf/scpops/ecb.op363~44def4c17a.en.pdf" TargetMode="External"/><Relationship Id="rId20" Type="http://schemas.openxmlformats.org/officeDocument/2006/relationships/hyperlink" Target="https://www.bankingsupervision.europa.eu/press/pr/date/2023/html/ssm.pr230320~9f0ae34dc5.it.html" TargetMode="External"/><Relationship Id="rId41" Type="http://schemas.openxmlformats.org/officeDocument/2006/relationships/hyperlink" Target="https://www.bankingsupervision.europa.eu/press/interviews/date/2025/html/ssm.in250408_1~4ee69bd0d3.bg.html" TargetMode="External"/><Relationship Id="rId54" Type="http://schemas.openxmlformats.org/officeDocument/2006/relationships/hyperlink" Target="https://www.eba.europa.eu/publications-and-media/press-releases/eba-publishes-roadmap-implementation-eu-banking-package" TargetMode="External"/><Relationship Id="rId62" Type="http://schemas.openxmlformats.org/officeDocument/2006/relationships/hyperlink" Target="https://www.srb.europa.eu/system/files/media/document/2023-10-17_Staff-Working-paper-2_0.pdf" TargetMode="External"/><Relationship Id="rId70" Type="http://schemas.openxmlformats.org/officeDocument/2006/relationships/hyperlink" Target="https://op.europa.eu/en/publication-detail/-/publication/4b62e682-4e0f-11ea-aece-01aa75ed71a1/language-en" TargetMode="External"/><Relationship Id="rId75" Type="http://schemas.openxmlformats.org/officeDocument/2006/relationships/hyperlink" Target="https://www.eba.europa.eu/regulation-and-policy/simplification-and-efficiency-regulatory-and-supervisory-framework" TargetMode="External"/><Relationship Id="rId1" Type="http://schemas.openxmlformats.org/officeDocument/2006/relationships/hyperlink" Target="https://eur-lex.europa.eu/legal-content/EN/TXT/HTML/?uri=CELEX:52025DC0124" TargetMode="External"/><Relationship Id="rId6" Type="http://schemas.openxmlformats.org/officeDocument/2006/relationships/hyperlink" Target="https://www.ecb.europa.eu/press/economic-bulletin/focus/2024/html/ecb.ebbox202406_07~925b6bd4c3.en.html" TargetMode="External"/><Relationship Id="rId15" Type="http://schemas.openxmlformats.org/officeDocument/2006/relationships/hyperlink" Target="https://www.ecb.europa.eu/press/financial-stability-publications/fsr/special/html/ecb.fsrart202411_02~4161cc6124.en.html" TargetMode="External"/><Relationship Id="rId23" Type="http://schemas.openxmlformats.org/officeDocument/2006/relationships/hyperlink" Target="https://www.europarl.europa.eu/RegData/etudes/IDAN/2025/764378/ECTI_IDA(2025)764378_EN.pdf" TargetMode="External"/><Relationship Id="rId28" Type="http://schemas.openxmlformats.org/officeDocument/2006/relationships/hyperlink" Target="https://www.afme.eu/media/ntlodudx/afme-banking-union-report-september-25.pdf" TargetMode="External"/><Relationship Id="rId36" Type="http://schemas.openxmlformats.org/officeDocument/2006/relationships/hyperlink" Target="https://www.sciencedirect.com/science/article/pii/S0261560616300869" TargetMode="External"/><Relationship Id="rId49" Type="http://schemas.openxmlformats.org/officeDocument/2006/relationships/hyperlink" Target="https://www.bankingsupervision.europa.eu/ecb/pub/pdf/ssm.trim_project_report~aa49bb624c.en.pdf" TargetMode="External"/><Relationship Id="rId57" Type="http://schemas.openxmlformats.org/officeDocument/2006/relationships/hyperlink" Target="https://eur-lex.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8D6E8-7E29-46AC-A3AB-B0BC9C445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29060</Words>
  <Characters>165645</Characters>
  <Application>Microsoft Office Word</Application>
  <DocSecurity>0</DocSecurity>
  <Lines>1380</Lines>
  <Paragraphs>388</Paragraphs>
  <ScaleCrop>false</ScaleCrop>
  <Manager/>
  <Company/>
  <LinksUpToDate>false</LinksUpToDate>
  <CharactersWithSpaces>194317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cp:lastPrinted>2026-07-15T21:00:00Z</cp:lastPrinted>
  <dcterms:created xsi:type="dcterms:W3CDTF">2026-07-15T20:59:00Z</dcterms:created>
  <dcterms:modified xsi:type="dcterms:W3CDTF">2026-07-17T04:54:00Z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2026-07-15T20:03:56Z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de4ec8a0-b124-47dd-ab71-cc037658cbbd</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CP-025</vt:lpwstr>
  </property>
</Properties>
</file>